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7221300464</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obec</w:t>
      </w:r>
      <w:r>
        <w:rPr>
          <w:spacing w:val="-7"/>
        </w:rPr>
        <w:t> </w:t>
      </w:r>
      <w:r>
        <w:rPr/>
        <w:t>Hřivínův</w:t>
      </w:r>
      <w:r>
        <w:rPr>
          <w:spacing w:val="-7"/>
        </w:rPr>
        <w:t> </w:t>
      </w:r>
      <w:r>
        <w:rPr>
          <w:spacing w:val="-2"/>
        </w:rPr>
        <w:t>Újezd</w:t>
      </w:r>
    </w:p>
    <w:p>
      <w:pPr>
        <w:pStyle w:val="BodyText"/>
        <w:tabs>
          <w:tab w:pos="2982" w:val="left" w:leader="none"/>
        </w:tabs>
        <w:ind w:left="102"/>
      </w:pPr>
      <w:r>
        <w:rPr/>
        <w:t>kontaktní</w:t>
      </w:r>
      <w:r>
        <w:rPr>
          <w:spacing w:val="-11"/>
        </w:rPr>
        <w:t> </w:t>
      </w:r>
      <w:r>
        <w:rPr>
          <w:spacing w:val="-2"/>
        </w:rPr>
        <w:t>adresa:</w:t>
      </w:r>
      <w:r>
        <w:rPr/>
        <w:tab/>
        <w:t>Obecní</w:t>
      </w:r>
      <w:r>
        <w:rPr>
          <w:spacing w:val="-8"/>
        </w:rPr>
        <w:t> </w:t>
      </w:r>
      <w:r>
        <w:rPr/>
        <w:t>úřad</w:t>
      </w:r>
      <w:r>
        <w:rPr>
          <w:spacing w:val="-8"/>
        </w:rPr>
        <w:t> </w:t>
      </w:r>
      <w:r>
        <w:rPr/>
        <w:t>Hřivínův</w:t>
      </w:r>
      <w:r>
        <w:rPr>
          <w:spacing w:val="-7"/>
        </w:rPr>
        <w:t> </w:t>
      </w:r>
      <w:r>
        <w:rPr/>
        <w:t>Újezd,</w:t>
      </w:r>
      <w:r>
        <w:rPr>
          <w:spacing w:val="-8"/>
        </w:rPr>
        <w:t> </w:t>
      </w:r>
      <w:r>
        <w:rPr/>
        <w:t>Hřivínův</w:t>
      </w:r>
      <w:r>
        <w:rPr>
          <w:spacing w:val="-6"/>
        </w:rPr>
        <w:t> </w:t>
      </w:r>
      <w:r>
        <w:rPr/>
        <w:t>Újezd</w:t>
      </w:r>
      <w:r>
        <w:rPr>
          <w:spacing w:val="-5"/>
        </w:rPr>
        <w:t> 50,</w:t>
      </w:r>
    </w:p>
    <w:p>
      <w:pPr>
        <w:pStyle w:val="BodyText"/>
        <w:spacing w:before="1"/>
        <w:ind w:left="2953"/>
      </w:pPr>
      <w:r>
        <w:rPr/>
        <w:t>763</w:t>
      </w:r>
      <w:r>
        <w:rPr>
          <w:spacing w:val="-5"/>
        </w:rPr>
        <w:t> </w:t>
      </w:r>
      <w:r>
        <w:rPr/>
        <w:t>07</w:t>
      </w:r>
      <w:r>
        <w:rPr>
          <w:spacing w:val="-4"/>
        </w:rPr>
        <w:t> </w:t>
      </w:r>
      <w:r>
        <w:rPr/>
        <w:t>Velký</w:t>
      </w:r>
      <w:r>
        <w:rPr>
          <w:spacing w:val="-6"/>
        </w:rPr>
        <w:t> </w:t>
      </w:r>
      <w:r>
        <w:rPr>
          <w:spacing w:val="-2"/>
        </w:rPr>
        <w:t>Ořechov</w:t>
      </w:r>
    </w:p>
    <w:p>
      <w:pPr>
        <w:pStyle w:val="BodyText"/>
        <w:tabs>
          <w:tab w:pos="2982" w:val="left" w:leader="none"/>
        </w:tabs>
        <w:spacing w:line="265" w:lineRule="exact"/>
        <w:ind w:left="102"/>
      </w:pPr>
      <w:r>
        <w:rPr>
          <w:spacing w:val="-4"/>
        </w:rPr>
        <w:t>IČO:</w:t>
      </w:r>
      <w:r>
        <w:rPr/>
        <w:tab/>
      </w:r>
      <w:r>
        <w:rPr>
          <w:spacing w:val="-2"/>
        </w:rPr>
        <w:t>00283983</w:t>
      </w:r>
    </w:p>
    <w:p>
      <w:pPr>
        <w:pStyle w:val="BodyText"/>
        <w:tabs>
          <w:tab w:pos="2982" w:val="left" w:leader="none"/>
        </w:tabs>
        <w:spacing w:line="265" w:lineRule="exact"/>
        <w:ind w:left="102"/>
      </w:pPr>
      <w:r>
        <w:rPr>
          <w:spacing w:val="-2"/>
        </w:rPr>
        <w:t>zastoupená:</w:t>
      </w:r>
      <w:r>
        <w:rPr/>
        <w:tab/>
        <w:t>Josefem P</w:t>
      </w:r>
      <w:r>
        <w:rPr>
          <w:spacing w:val="-1"/>
        </w:rPr>
        <w:t> </w:t>
      </w:r>
      <w:r>
        <w:rPr/>
        <w:t>o</w:t>
      </w:r>
      <w:r>
        <w:rPr>
          <w:spacing w:val="-2"/>
        </w:rPr>
        <w:t> </w:t>
      </w:r>
      <w:r>
        <w:rPr/>
        <w:t>s</w:t>
      </w:r>
      <w:r>
        <w:rPr>
          <w:spacing w:val="-2"/>
        </w:rPr>
        <w:t> </w:t>
      </w:r>
      <w:r>
        <w:rPr/>
        <w:t>p</w:t>
      </w:r>
      <w:r>
        <w:rPr>
          <w:spacing w:val="-2"/>
        </w:rPr>
        <w:t> </w:t>
      </w:r>
      <w:r>
        <w:rPr/>
        <w:t>í</w:t>
      </w:r>
      <w:r>
        <w:rPr>
          <w:spacing w:val="-3"/>
        </w:rPr>
        <w:t> </w:t>
      </w:r>
      <w:r>
        <w:rPr/>
        <w:t>š</w:t>
      </w:r>
      <w:r>
        <w:rPr>
          <w:spacing w:val="-3"/>
        </w:rPr>
        <w:t> </w:t>
      </w:r>
      <w:r>
        <w:rPr/>
        <w:t>i</w:t>
      </w:r>
      <w:r>
        <w:rPr>
          <w:spacing w:val="-2"/>
        </w:rPr>
        <w:t> </w:t>
      </w:r>
      <w:r>
        <w:rPr/>
        <w:t>l</w:t>
      </w:r>
      <w:r>
        <w:rPr>
          <w:spacing w:val="-3"/>
        </w:rPr>
        <w:t> </w:t>
      </w:r>
      <w:r>
        <w:rPr/>
        <w:t>e</w:t>
      </w:r>
      <w:r>
        <w:rPr>
          <w:spacing w:val="-2"/>
        </w:rPr>
        <w:t> </w:t>
      </w:r>
      <w:r>
        <w:rPr/>
        <w:t>m,</w:t>
      </w:r>
      <w:r>
        <w:rPr>
          <w:spacing w:val="-2"/>
        </w:rPr>
        <w:t> 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2211661/0710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7221300464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69"/>
        <w:jc w:val="both"/>
      </w:pPr>
      <w:r>
        <w:rPr/>
        <w:t>„FVE</w:t>
      </w:r>
      <w:r>
        <w:rPr>
          <w:spacing w:val="-7"/>
        </w:rPr>
        <w:t> </w:t>
      </w:r>
      <w:r>
        <w:rPr/>
        <w:t>pro</w:t>
      </w:r>
      <w:r>
        <w:rPr>
          <w:spacing w:val="-6"/>
        </w:rPr>
        <w:t> </w:t>
      </w:r>
      <w:r>
        <w:rPr/>
        <w:t>obec</w:t>
      </w:r>
      <w:r>
        <w:rPr>
          <w:spacing w:val="-6"/>
        </w:rPr>
        <w:t> </w:t>
      </w:r>
      <w:r>
        <w:rPr/>
        <w:t>Hřivínův</w:t>
      </w:r>
      <w:r>
        <w:rPr>
          <w:spacing w:val="-5"/>
        </w:rPr>
        <w:t> </w:t>
      </w:r>
      <w:r>
        <w:rPr>
          <w:spacing w:val="-2"/>
        </w:rPr>
        <w:t>Újezd“</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w:t>
      </w:r>
      <w:r>
        <w:rPr>
          <w:b/>
          <w:spacing w:val="-3"/>
          <w:sz w:val="20"/>
        </w:rPr>
        <w:t> </w:t>
      </w:r>
      <w:r>
        <w:rPr>
          <w:b/>
          <w:sz w:val="20"/>
        </w:rPr>
        <w:t>693</w:t>
      </w:r>
      <w:r>
        <w:rPr>
          <w:b/>
          <w:spacing w:val="-3"/>
          <w:sz w:val="20"/>
        </w:rPr>
        <w:t> </w:t>
      </w:r>
      <w:r>
        <w:rPr>
          <w:b/>
          <w:sz w:val="20"/>
        </w:rPr>
        <w:t>505,37 Kč </w:t>
      </w:r>
      <w:r>
        <w:rPr>
          <w:sz w:val="20"/>
        </w:rPr>
        <w:t>(slovy: dva miliony šest set devadesát tři tisíc pět set pět korun českých, třicet sedm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3 591 340,50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2"/>
        <w:rPr>
          <w:sz w:val="19"/>
        </w:rPr>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20" w:after="0"/>
        <w:ind w:left="745" w:right="111" w:hanging="360"/>
        <w:jc w:val="left"/>
        <w:rPr>
          <w:sz w:val="20"/>
        </w:rPr>
      </w:pPr>
      <w:r>
        <w:rPr>
          <w:sz w:val="20"/>
        </w:rPr>
        <w:t>splní</w:t>
      </w:r>
      <w:r>
        <w:rPr>
          <w:spacing w:val="25"/>
          <w:sz w:val="20"/>
        </w:rPr>
        <w:t> </w:t>
      </w:r>
      <w:r>
        <w:rPr>
          <w:sz w:val="20"/>
        </w:rPr>
        <w:t>účel</w:t>
      </w:r>
      <w:r>
        <w:rPr>
          <w:spacing w:val="26"/>
          <w:sz w:val="20"/>
        </w:rPr>
        <w:t> </w:t>
      </w:r>
      <w:r>
        <w:rPr>
          <w:sz w:val="20"/>
        </w:rPr>
        <w:t>akce</w:t>
      </w:r>
      <w:r>
        <w:rPr>
          <w:spacing w:val="25"/>
          <w:sz w:val="20"/>
        </w:rPr>
        <w:t> </w:t>
      </w:r>
      <w:r>
        <w:rPr>
          <w:sz w:val="20"/>
        </w:rPr>
        <w:t>„FVE</w:t>
      </w:r>
      <w:r>
        <w:rPr>
          <w:spacing w:val="26"/>
          <w:sz w:val="20"/>
        </w:rPr>
        <w:t> </w:t>
      </w:r>
      <w:r>
        <w:rPr>
          <w:sz w:val="20"/>
        </w:rPr>
        <w:t>pro</w:t>
      </w:r>
      <w:r>
        <w:rPr>
          <w:spacing w:val="26"/>
          <w:sz w:val="20"/>
        </w:rPr>
        <w:t> </w:t>
      </w:r>
      <w:r>
        <w:rPr>
          <w:sz w:val="20"/>
        </w:rPr>
        <w:t>obec</w:t>
      </w:r>
      <w:r>
        <w:rPr>
          <w:spacing w:val="24"/>
          <w:sz w:val="20"/>
        </w:rPr>
        <w:t> </w:t>
      </w:r>
      <w:r>
        <w:rPr>
          <w:sz w:val="20"/>
        </w:rPr>
        <w:t>Hřivínův</w:t>
      </w:r>
      <w:r>
        <w:rPr>
          <w:spacing w:val="26"/>
          <w:sz w:val="20"/>
        </w:rPr>
        <w:t> </w:t>
      </w:r>
      <w:r>
        <w:rPr>
          <w:sz w:val="20"/>
        </w:rPr>
        <w:t>Újezd“</w:t>
      </w:r>
      <w:r>
        <w:rPr>
          <w:spacing w:val="25"/>
          <w:sz w:val="20"/>
        </w:rPr>
        <w:t> </w:t>
      </w:r>
      <w:r>
        <w:rPr>
          <w:sz w:val="20"/>
        </w:rPr>
        <w:t>tím,</w:t>
      </w:r>
      <w:r>
        <w:rPr>
          <w:spacing w:val="26"/>
          <w:sz w:val="20"/>
        </w:rPr>
        <w:t> </w:t>
      </w:r>
      <w:r>
        <w:rPr>
          <w:sz w:val="20"/>
        </w:rPr>
        <w:t>že</w:t>
      </w:r>
      <w:r>
        <w:rPr>
          <w:spacing w:val="25"/>
          <w:sz w:val="20"/>
        </w:rPr>
        <w:t> </w:t>
      </w:r>
      <w:r>
        <w:rPr>
          <w:sz w:val="20"/>
        </w:rPr>
        <w:t>akce</w:t>
      </w:r>
      <w:r>
        <w:rPr>
          <w:spacing w:val="25"/>
          <w:sz w:val="20"/>
        </w:rPr>
        <w:t> </w:t>
      </w:r>
      <w:r>
        <w:rPr>
          <w:sz w:val="20"/>
        </w:rPr>
        <w:t>bude</w:t>
      </w:r>
      <w:r>
        <w:rPr>
          <w:spacing w:val="25"/>
          <w:sz w:val="20"/>
        </w:rPr>
        <w:t> </w:t>
      </w:r>
      <w:r>
        <w:rPr>
          <w:sz w:val="20"/>
        </w:rPr>
        <w:t>provedena</w:t>
      </w:r>
      <w:r>
        <w:rPr>
          <w:spacing w:val="25"/>
          <w:sz w:val="20"/>
        </w:rPr>
        <w:t> </w:t>
      </w:r>
      <w:r>
        <w:rPr>
          <w:sz w:val="20"/>
        </w:rPr>
        <w:t>v souladu</w:t>
      </w:r>
      <w:r>
        <w:rPr>
          <w:spacing w:val="26"/>
          <w:sz w:val="20"/>
        </w:rPr>
        <w:t> </w:t>
      </w:r>
      <w:r>
        <w:rPr>
          <w:sz w:val="20"/>
        </w:rPr>
        <w:t>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76" w:lineRule="auto" w:before="120" w:after="0"/>
        <w:ind w:left="745" w:right="119" w:hanging="360"/>
        <w:jc w:val="left"/>
        <w:rPr>
          <w:sz w:val="20"/>
        </w:rPr>
      </w:pPr>
      <w:r>
        <w:rPr>
          <w:sz w:val="20"/>
        </w:rPr>
        <w:t>realizací</w:t>
      </w:r>
      <w:r>
        <w:rPr>
          <w:spacing w:val="76"/>
          <w:w w:val="150"/>
          <w:sz w:val="20"/>
        </w:rPr>
        <w:t> </w:t>
      </w:r>
      <w:r>
        <w:rPr>
          <w:sz w:val="20"/>
        </w:rPr>
        <w:t>projektu</w:t>
      </w:r>
      <w:r>
        <w:rPr>
          <w:spacing w:val="76"/>
          <w:w w:val="150"/>
          <w:sz w:val="20"/>
        </w:rPr>
        <w:t> </w:t>
      </w:r>
      <w:r>
        <w:rPr>
          <w:sz w:val="20"/>
        </w:rPr>
        <w:t>dojde</w:t>
      </w:r>
      <w:r>
        <w:rPr>
          <w:spacing w:val="78"/>
          <w:w w:val="150"/>
          <w:sz w:val="20"/>
        </w:rPr>
        <w:t> </w:t>
      </w:r>
      <w:r>
        <w:rPr>
          <w:sz w:val="20"/>
        </w:rPr>
        <w:t>k</w:t>
      </w:r>
      <w:r>
        <w:rPr>
          <w:spacing w:val="75"/>
          <w:w w:val="150"/>
          <w:sz w:val="20"/>
        </w:rPr>
        <w:t> </w:t>
      </w:r>
      <w:r>
        <w:rPr>
          <w:sz w:val="20"/>
        </w:rPr>
        <w:t>výstavbě</w:t>
      </w:r>
      <w:r>
        <w:rPr>
          <w:spacing w:val="75"/>
          <w:w w:val="150"/>
          <w:sz w:val="20"/>
        </w:rPr>
        <w:t> </w:t>
      </w:r>
      <w:r>
        <w:rPr>
          <w:sz w:val="20"/>
        </w:rPr>
        <w:t>nových</w:t>
      </w:r>
      <w:r>
        <w:rPr>
          <w:spacing w:val="76"/>
          <w:w w:val="150"/>
          <w:sz w:val="20"/>
        </w:rPr>
        <w:t> </w:t>
      </w:r>
      <w:r>
        <w:rPr>
          <w:sz w:val="20"/>
        </w:rPr>
        <w:t>fotovoltaických</w:t>
      </w:r>
      <w:r>
        <w:rPr>
          <w:spacing w:val="76"/>
          <w:w w:val="150"/>
          <w:sz w:val="20"/>
        </w:rPr>
        <w:t> </w:t>
      </w:r>
      <w:r>
        <w:rPr>
          <w:sz w:val="20"/>
        </w:rPr>
        <w:t>elektráren</w:t>
      </w:r>
      <w:r>
        <w:rPr>
          <w:spacing w:val="76"/>
          <w:w w:val="150"/>
          <w:sz w:val="20"/>
        </w:rPr>
        <w:t> </w:t>
      </w:r>
      <w:r>
        <w:rPr>
          <w:sz w:val="20"/>
        </w:rPr>
        <w:t>se</w:t>
      </w:r>
      <w:r>
        <w:rPr>
          <w:spacing w:val="76"/>
          <w:w w:val="150"/>
          <w:sz w:val="20"/>
        </w:rPr>
        <w:t> </w:t>
      </w:r>
      <w:r>
        <w:rPr>
          <w:sz w:val="20"/>
        </w:rPr>
        <w:t>střešní</w:t>
      </w:r>
      <w:r>
        <w:rPr>
          <w:spacing w:val="75"/>
          <w:w w:val="150"/>
          <w:sz w:val="20"/>
        </w:rPr>
        <w:t> </w:t>
      </w:r>
      <w:r>
        <w:rPr>
          <w:sz w:val="20"/>
        </w:rPr>
        <w:t>instalací s předpokládaným výkonem 127,90 kWp a instalací akumulace o kapacitě 36,20 kWh,</w:t>
      </w:r>
    </w:p>
    <w:p>
      <w:pPr>
        <w:pStyle w:val="ListParagraph"/>
        <w:numPr>
          <w:ilvl w:val="1"/>
          <w:numId w:val="4"/>
        </w:numPr>
        <w:tabs>
          <w:tab w:pos="742" w:val="left" w:leader="none"/>
          <w:tab w:pos="743" w:val="left" w:leader="none"/>
        </w:tabs>
        <w:spacing w:line="240" w:lineRule="auto" w:before="120" w:after="0"/>
        <w:ind w:left="742" w:right="0" w:hanging="358"/>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4"/>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5"/>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2" w:after="1"/>
        <w:rPr>
          <w:sz w:val="11"/>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0"/>
              <w:ind w:left="108"/>
              <w:rPr>
                <w:b/>
                <w:sz w:val="20"/>
              </w:rPr>
            </w:pPr>
            <w:r>
              <w:rPr>
                <w:b/>
                <w:sz w:val="20"/>
              </w:rPr>
              <w:t>Cílová</w:t>
            </w:r>
            <w:r>
              <w:rPr>
                <w:b/>
                <w:spacing w:val="-4"/>
                <w:sz w:val="20"/>
              </w:rPr>
              <w:t> </w:t>
            </w:r>
            <w:r>
              <w:rPr>
                <w:b/>
                <w:spacing w:val="-2"/>
                <w:sz w:val="20"/>
              </w:rPr>
              <w:t>hodnota</w:t>
            </w:r>
          </w:p>
        </w:tc>
      </w:tr>
      <w:tr>
        <w:trPr>
          <w:trHeight w:val="532" w:hRule="atLeast"/>
        </w:trPr>
        <w:tc>
          <w:tcPr>
            <w:tcW w:w="3749"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36,20</w:t>
            </w:r>
          </w:p>
        </w:tc>
      </w:tr>
      <w:tr>
        <w:trPr>
          <w:trHeight w:val="505" w:hRule="atLeast"/>
        </w:trPr>
        <w:tc>
          <w:tcPr>
            <w:tcW w:w="374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127,90</w:t>
            </w:r>
          </w:p>
        </w:tc>
      </w:tr>
      <w:tr>
        <w:trPr>
          <w:trHeight w:val="505" w:hRule="atLeast"/>
        </w:trPr>
        <w:tc>
          <w:tcPr>
            <w:tcW w:w="3749" w:type="dxa"/>
          </w:tcPr>
          <w:p>
            <w:pPr>
              <w:pStyle w:val="TableParagraph"/>
              <w:spacing w:line="268" w:lineRule="exact"/>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5" w:type="dxa"/>
          </w:tcPr>
          <w:p>
            <w:pPr>
              <w:pStyle w:val="TableParagraph"/>
              <w:spacing w:before="119"/>
              <w:ind w:left="0" w:right="452"/>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97,33</w:t>
            </w:r>
          </w:p>
        </w:tc>
      </w:tr>
      <w:tr>
        <w:trPr>
          <w:trHeight w:val="532" w:hRule="atLeast"/>
        </w:trPr>
        <w:tc>
          <w:tcPr>
            <w:tcW w:w="374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294,26</w:t>
            </w:r>
          </w:p>
        </w:tc>
      </w:tr>
      <w:tr>
        <w:trPr>
          <w:trHeight w:val="506" w:hRule="atLeast"/>
        </w:trPr>
        <w:tc>
          <w:tcPr>
            <w:tcW w:w="374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113,17</w:t>
            </w:r>
          </w:p>
        </w:tc>
      </w:tr>
    </w:tbl>
    <w:p>
      <w:pPr>
        <w:pStyle w:val="BodyText"/>
        <w:spacing w:before="3"/>
        <w:rPr>
          <w:sz w:val="18"/>
        </w:rPr>
      </w:pPr>
    </w:p>
    <w:p>
      <w:pPr>
        <w:pStyle w:val="ListParagraph"/>
        <w:numPr>
          <w:ilvl w:val="1"/>
          <w:numId w:val="4"/>
        </w:numPr>
        <w:tabs>
          <w:tab w:pos="743" w:val="left" w:leader="none"/>
        </w:tabs>
        <w:spacing w:line="276" w:lineRule="auto" w:before="1"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8" w:after="0"/>
        <w:ind w:left="745" w:right="110"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nejpozději</w:t>
      </w:r>
      <w:r>
        <w:rPr>
          <w:spacing w:val="-7"/>
        </w:rPr>
        <w:t> </w:t>
      </w:r>
      <w:r>
        <w:rPr/>
        <w:t>do</w:t>
      </w:r>
      <w:r>
        <w:rPr>
          <w:spacing w:val="-5"/>
        </w:rPr>
        <w:t> </w:t>
      </w:r>
      <w:r>
        <w:rPr/>
        <w:t>30</w:t>
      </w:r>
      <w:r>
        <w:rPr>
          <w:spacing w:val="-5"/>
        </w:rPr>
        <w:t> </w:t>
      </w:r>
      <w:r>
        <w:rPr/>
        <w:t>kalendářních</w:t>
      </w:r>
      <w:r>
        <w:rPr>
          <w:spacing w:val="-6"/>
        </w:rPr>
        <w:t> </w:t>
      </w:r>
      <w:r>
        <w:rPr/>
        <w:t>dnů</w:t>
      </w:r>
      <w:r>
        <w:rPr>
          <w:spacing w:val="-5"/>
        </w:rPr>
        <w:t> </w:t>
      </w:r>
      <w:r>
        <w:rPr/>
        <w:t>poté,</w:t>
      </w:r>
      <w:r>
        <w:rPr>
          <w:spacing w:val="-4"/>
        </w:rPr>
        <w:t> </w:t>
      </w:r>
      <w:r>
        <w:rPr/>
        <w:t>kdy</w:t>
      </w:r>
      <w:r>
        <w:rPr>
          <w:spacing w:val="-6"/>
        </w:rPr>
        <w:t> </w:t>
      </w:r>
      <w:r>
        <w:rPr/>
        <w:t>mu</w:t>
      </w:r>
      <w:r>
        <w:rPr>
          <w:spacing w:val="-6"/>
        </w:rPr>
        <w:t> </w:t>
      </w:r>
      <w:r>
        <w:rPr/>
        <w:t>zákonný</w:t>
      </w:r>
      <w:r>
        <w:rPr>
          <w:spacing w:val="-6"/>
        </w:rPr>
        <w:t> </w:t>
      </w:r>
      <w:r>
        <w:rPr/>
        <w:t>nárok</w:t>
      </w:r>
      <w:r>
        <w:rPr>
          <w:spacing w:val="-7"/>
        </w:rPr>
        <w:t> </w:t>
      </w:r>
      <w:r>
        <w:rPr>
          <w:spacing w:val="-2"/>
        </w:rPr>
        <w:t>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line="237" w:lineRule="auto" w:before="122"/>
        <w:ind w:left="385"/>
      </w:pPr>
      <w:r>
        <w:rPr/>
        <w:t>V případě nesplnění nebo částečného naplnění více než jednoho ze závazných indikátorů akce podle</w:t>
      </w:r>
      <w:r>
        <w:rPr>
          <w:spacing w:val="40"/>
        </w:rPr>
        <w:t> </w:t>
      </w:r>
      <w:r>
        <w:rPr/>
        <w:t>článku</w:t>
      </w:r>
      <w:r>
        <w:rPr>
          <w:spacing w:val="43"/>
        </w:rPr>
        <w:t> </w:t>
      </w:r>
      <w:r>
        <w:rPr/>
        <w:t>IV</w:t>
      </w:r>
      <w:r>
        <w:rPr>
          <w:spacing w:val="44"/>
        </w:rPr>
        <w:t> </w:t>
      </w:r>
      <w:r>
        <w:rPr/>
        <w:t>bodu</w:t>
      </w:r>
      <w:r>
        <w:rPr>
          <w:spacing w:val="47"/>
        </w:rPr>
        <w:t> </w:t>
      </w:r>
      <w:r>
        <w:rPr/>
        <w:t>1</w:t>
      </w:r>
      <w:r>
        <w:rPr>
          <w:spacing w:val="43"/>
        </w:rPr>
        <w:t> </w:t>
      </w:r>
      <w:r>
        <w:rPr/>
        <w:t>písm.</w:t>
      </w:r>
      <w:r>
        <w:rPr>
          <w:spacing w:val="43"/>
        </w:rPr>
        <w:t> </w:t>
      </w:r>
      <w:r>
        <w:rPr/>
        <w:t>c)</w:t>
      </w:r>
      <w:r>
        <w:rPr>
          <w:spacing w:val="44"/>
        </w:rPr>
        <w:t> </w:t>
      </w:r>
      <w:r>
        <w:rPr/>
        <w:t>bude</w:t>
      </w:r>
      <w:r>
        <w:rPr>
          <w:spacing w:val="44"/>
        </w:rPr>
        <w:t> </w:t>
      </w:r>
      <w:r>
        <w:rPr/>
        <w:t>odvod</w:t>
      </w:r>
      <w:r>
        <w:rPr>
          <w:spacing w:val="44"/>
        </w:rPr>
        <w:t> </w:t>
      </w:r>
      <w:r>
        <w:rPr/>
        <w:t>uplatněn</w:t>
      </w:r>
      <w:r>
        <w:rPr>
          <w:spacing w:val="43"/>
        </w:rPr>
        <w:t> </w:t>
      </w:r>
      <w:r>
        <w:rPr/>
        <w:t>pouze</w:t>
      </w:r>
      <w:r>
        <w:rPr>
          <w:spacing w:val="42"/>
        </w:rPr>
        <w:t> </w:t>
      </w:r>
      <w:r>
        <w:rPr/>
        <w:t>v</w:t>
      </w:r>
      <w:r>
        <w:rPr>
          <w:spacing w:val="45"/>
        </w:rPr>
        <w:t> </w:t>
      </w:r>
      <w:r>
        <w:rPr/>
        <w:t>sazbě</w:t>
      </w:r>
      <w:r>
        <w:rPr>
          <w:spacing w:val="42"/>
        </w:rPr>
        <w:t> </w:t>
      </w:r>
      <w:r>
        <w:rPr/>
        <w:t>podle</w:t>
      </w:r>
      <w:r>
        <w:rPr>
          <w:spacing w:val="43"/>
        </w:rPr>
        <w:t> </w:t>
      </w:r>
      <w:r>
        <w:rPr/>
        <w:t>indikátoru,</w:t>
      </w:r>
      <w:r>
        <w:rPr>
          <w:spacing w:val="43"/>
        </w:rPr>
        <w:t> </w:t>
      </w:r>
      <w:r>
        <w:rPr/>
        <w:t>u</w:t>
      </w:r>
      <w:r>
        <w:rPr>
          <w:spacing w:val="45"/>
        </w:rPr>
        <w:t> </w:t>
      </w:r>
      <w:r>
        <w:rPr/>
        <w:t>něhož</w:t>
      </w:r>
      <w:r>
        <w:rPr>
          <w:spacing w:val="45"/>
        </w:rPr>
        <w:t> </w:t>
      </w:r>
      <w:r>
        <w:rPr>
          <w:spacing w:val="-2"/>
        </w:rPr>
        <w:t>došlo</w:t>
      </w:r>
    </w:p>
    <w:p>
      <w:pPr>
        <w:spacing w:after="0" w:line="237" w:lineRule="auto"/>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k</w:t>
      </w:r>
      <w:r>
        <w:rPr>
          <w:spacing w:val="-10"/>
        </w:rPr>
        <w:t> </w:t>
      </w:r>
      <w:r>
        <w:rPr/>
        <w:t>nejnižšímu</w:t>
      </w:r>
      <w:r>
        <w:rPr>
          <w:spacing w:val="-8"/>
        </w:rPr>
        <w:t> </w:t>
      </w:r>
      <w:r>
        <w:rPr/>
        <w:t>naplnění</w:t>
      </w:r>
      <w:r>
        <w:rPr>
          <w:spacing w:val="-7"/>
        </w:rPr>
        <w:t> </w:t>
      </w:r>
      <w:r>
        <w:rPr/>
        <w:t>stanoveného</w:t>
      </w:r>
      <w:r>
        <w:rPr>
          <w:spacing w:val="-8"/>
        </w:rPr>
        <w:t> </w:t>
      </w:r>
      <w:r>
        <w:rPr>
          <w:spacing w:val="-2"/>
        </w:rPr>
        <w:t>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4"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2"/>
          <w:sz w:val="20"/>
        </w:rPr>
        <w:t> </w:t>
      </w:r>
      <w:r>
        <w:rPr>
          <w:sz w:val="20"/>
        </w:rPr>
        <w:t>podle</w:t>
      </w:r>
      <w:r>
        <w:rPr>
          <w:spacing w:val="-2"/>
          <w:sz w:val="20"/>
        </w:rPr>
        <w:t> </w:t>
      </w:r>
      <w:r>
        <w:rPr>
          <w:sz w:val="20"/>
        </w:rPr>
        <w:t>této Smlouvy</w:t>
      </w:r>
      <w:r>
        <w:rPr>
          <w:spacing w:val="-1"/>
          <w:sz w:val="20"/>
        </w:rPr>
        <w:t> </w:t>
      </w:r>
      <w:r>
        <w:rPr>
          <w:sz w:val="20"/>
        </w:rPr>
        <w:t>bude</w:t>
      </w:r>
      <w:r>
        <w:rPr>
          <w:spacing w:val="-1"/>
          <w:sz w:val="20"/>
        </w:rPr>
        <w:t> </w:t>
      </w:r>
      <w:r>
        <w:rPr>
          <w:sz w:val="20"/>
        </w:rPr>
        <w:t>postiženo odvodem ve</w:t>
      </w:r>
      <w:r>
        <w:rPr>
          <w:spacing w:val="-1"/>
          <w:sz w:val="20"/>
        </w:rPr>
        <w:t> </w:t>
      </w:r>
      <w:r>
        <w:rPr>
          <w:sz w:val="20"/>
        </w:rPr>
        <w:t>výši</w:t>
      </w:r>
      <w:r>
        <w:rPr>
          <w:spacing w:val="-1"/>
          <w:sz w:val="20"/>
        </w:rPr>
        <w:t> </w:t>
      </w:r>
      <w:r>
        <w:rPr>
          <w:sz w:val="20"/>
        </w:rPr>
        <w:t>0,1 %</w:t>
      </w:r>
      <w:r>
        <w:rPr>
          <w:spacing w:val="1"/>
          <w:sz w:val="20"/>
        </w:rPr>
        <w:t> </w:t>
      </w:r>
      <w:r>
        <w:rPr>
          <w:sz w:val="20"/>
        </w:rPr>
        <w:t>z</w:t>
      </w:r>
      <w:r>
        <w:rPr>
          <w:spacing w:val="2"/>
          <w:sz w:val="20"/>
        </w:rPr>
        <w:t> </w:t>
      </w:r>
      <w:r>
        <w:rPr>
          <w:spacing w:val="-2"/>
          <w:sz w:val="20"/>
        </w:rPr>
        <w:t>poskytnuté</w:t>
      </w:r>
    </w:p>
    <w:p>
      <w:pPr>
        <w:pStyle w:val="BodyText"/>
        <w:ind w:left="385"/>
      </w:pPr>
      <w:r>
        <w:rPr>
          <w:spacing w:val="-2"/>
        </w:rPr>
        <w:t>podpory.</w:t>
      </w:r>
    </w:p>
    <w:p>
      <w:pPr>
        <w:pStyle w:val="BodyText"/>
        <w:spacing w:before="12"/>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 o</w:t>
      </w:r>
      <w:r>
        <w:rPr>
          <w:spacing w:val="-3"/>
          <w:sz w:val="20"/>
        </w:rPr>
        <w:t> </w:t>
      </w:r>
      <w:r>
        <w:rPr>
          <w:sz w:val="20"/>
        </w:rPr>
        <w:t>registru smluv (zákon o registru smluv), ve</w:t>
      </w:r>
      <w:r>
        <w:rPr>
          <w:spacing w:val="-1"/>
          <w:sz w:val="20"/>
        </w:rPr>
        <w:t> </w:t>
      </w:r>
      <w:r>
        <w:rPr>
          <w:sz w:val="20"/>
        </w:rPr>
        <w:t>znění pozdějších předpisů, pokud zveřejnění této Smlouvy tento zákon ukládá.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3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6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2024-04-08T11:13:04Z</dcterms:created>
  <dcterms:modified xsi:type="dcterms:W3CDTF">2024-04-08T11:13:04Z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pro Microsoft 365</vt:lpwstr>
  </property>
  <property fmtid="{D5CDD505-2E9C-101B-9397-08002B2CF9AE}" pid="4" name="LastSaved">
    <vt:filetime>2024-04-08T00:00:00Z</vt:filetime>
  </property>
</Properties>
</file>