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52"/>
        <w:ind w:left="0" w:right="107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567690</wp:posOffset>
            </wp:positionH>
            <wp:positionV relativeFrom="paragraph">
              <wp:posOffset>-437949</wp:posOffset>
            </wp:positionV>
            <wp:extent cx="2505075" cy="9334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čj. NPU-311/17680/2024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9961" w:val="left" w:leader="none"/>
        </w:tabs>
        <w:spacing w:before="84"/>
        <w:ind w:left="465" w:right="0" w:firstLine="0"/>
        <w:jc w:val="left"/>
        <w:rPr>
          <w:b/>
          <w:sz w:val="28"/>
        </w:rPr>
      </w:pPr>
      <w:r>
        <w:rPr>
          <w:rFonts w:ascii="Times New Roman" w:hAnsi="Times New Roman"/>
          <w:w w:val="100"/>
          <w:sz w:val="28"/>
          <w:shd w:fill="C0C0C0" w:color="auto" w:val="clear"/>
        </w:rPr>
        <w:t> </w:t>
      </w:r>
      <w:r>
        <w:rPr>
          <w:rFonts w:ascii="Times New Roman" w:hAnsi="Times New Roman"/>
          <w:spacing w:val="-27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CENÍK</w:t>
      </w:r>
      <w:r>
        <w:rPr>
          <w:b/>
          <w:spacing w:val="-9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ODBORNÝCH</w:t>
      </w:r>
      <w:r>
        <w:rPr>
          <w:b/>
          <w:spacing w:val="-9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ARCHEOLOGICKÝCH</w:t>
      </w:r>
      <w:r>
        <w:rPr>
          <w:b/>
          <w:spacing w:val="-8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PRACÍ</w:t>
      </w:r>
      <w:r>
        <w:rPr>
          <w:b/>
          <w:spacing w:val="-8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NPÚ</w:t>
      </w:r>
      <w:r>
        <w:rPr>
          <w:b/>
          <w:spacing w:val="-9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ÚOP</w:t>
      </w:r>
      <w:r>
        <w:rPr>
          <w:b/>
          <w:spacing w:val="-8"/>
          <w:sz w:val="28"/>
          <w:shd w:fill="C0C0C0" w:color="auto" w:val="clear"/>
        </w:rPr>
        <w:t> </w:t>
      </w:r>
      <w:r>
        <w:rPr>
          <w:b/>
          <w:sz w:val="28"/>
          <w:shd w:fill="C0C0C0" w:color="auto" w:val="clear"/>
        </w:rPr>
        <w:t>PRAHA</w:t>
        <w:tab/>
      </w:r>
    </w:p>
    <w:p>
      <w:pPr>
        <w:pStyle w:val="BodyText"/>
        <w:spacing w:before="7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299999pt;margin-top:16.192812pt;width:474.75pt;height:15.25pt;mso-position-horizontal-relative:page;mso-position-vertical-relative:paragraph;z-index:-251658240;mso-wrap-distance-left:0;mso-wrap-distance-right:0" type="#_x0000_t202" filled="false" stroked="true" strokeweight="2.02pt" strokecolor="#000000">
            <v:textbox inset="0,0,0,0">
              <w:txbxContent>
                <w:p>
                  <w:pPr>
                    <w:tabs>
                      <w:tab w:pos="8558" w:val="left" w:leader="none"/>
                    </w:tabs>
                    <w:spacing w:line="265" w:lineRule="exact" w:before="0"/>
                    <w:ind w:left="9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position w:val="1"/>
                      <w:sz w:val="24"/>
                    </w:rPr>
                    <w:t>činnost/funkce</w:t>
                    <w:tab/>
                  </w:r>
                  <w:r>
                    <w:rPr>
                      <w:b/>
                      <w:sz w:val="24"/>
                    </w:rPr>
                    <w:t>(Kč/hod)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9"/>
        <w:gridCol w:w="3548"/>
      </w:tblGrid>
      <w:tr>
        <w:trPr>
          <w:trHeight w:val="280" w:hRule="atLeast"/>
        </w:trPr>
        <w:tc>
          <w:tcPr>
            <w:tcW w:w="5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Archeolog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NPÚ/jiný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VŠ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specialista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(stavební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historik,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geolog)</w:t>
            </w:r>
          </w:p>
        </w:tc>
        <w:tc>
          <w:tcPr>
            <w:tcW w:w="35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580</w:t>
            </w:r>
          </w:p>
        </w:tc>
      </w:tr>
      <w:tr>
        <w:trPr>
          <w:trHeight w:val="263" w:hRule="atLeast"/>
        </w:trPr>
        <w:tc>
          <w:tcPr>
            <w:tcW w:w="5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Asistent výzkumu NPÚ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490</w:t>
            </w:r>
          </w:p>
        </w:tc>
      </w:tr>
      <w:tr>
        <w:trPr>
          <w:trHeight w:val="275" w:hRule="atLeast"/>
        </w:trPr>
        <w:tc>
          <w:tcPr>
            <w:tcW w:w="5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Konzervátor /restaurátor NPÚ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490</w:t>
            </w:r>
          </w:p>
        </w:tc>
      </w:tr>
      <w:tr>
        <w:trPr>
          <w:trHeight w:val="270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Terénní pracovník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245</w:t>
            </w:r>
          </w:p>
        </w:tc>
      </w:tr>
      <w:tr>
        <w:trPr>
          <w:trHeight w:val="270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Odborný dokumentátor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Vedoucí dokumentátor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395</w:t>
            </w:r>
          </w:p>
        </w:tc>
      </w:tr>
      <w:tr>
        <w:trPr>
          <w:trHeight w:val="270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Geodet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360</w:t>
            </w:r>
          </w:p>
        </w:tc>
      </w:tr>
      <w:tr>
        <w:trPr>
          <w:trHeight w:val="267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Malá mechanizace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Velká mechanizace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Převoz materiálu a nálezů (Kč/km)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Antropologická asistence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1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* cena dohodou</w:t>
            </w:r>
          </w:p>
        </w:tc>
      </w:tr>
      <w:tr>
        <w:trPr>
          <w:trHeight w:val="270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Archivní rešerše/specializovaný posudek</w:t>
            </w: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** cena dohodou</w:t>
            </w:r>
          </w:p>
        </w:tc>
      </w:tr>
      <w:tr>
        <w:trPr>
          <w:trHeight w:val="270" w:hRule="atLeast"/>
        </w:trPr>
        <w:tc>
          <w:tcPr>
            <w:tcW w:w="59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813" w:hRule="atLeast"/>
        </w:trPr>
        <w:tc>
          <w:tcPr>
            <w:tcW w:w="5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Cena za zpracování archeologického výzkumu</w:t>
            </w:r>
          </w:p>
        </w:tc>
        <w:tc>
          <w:tcPr>
            <w:tcW w:w="35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obvykle 45 % z ceny terénních prací</w:t>
            </w:r>
          </w:p>
        </w:tc>
      </w:tr>
    </w:tbl>
    <w:p>
      <w:pPr>
        <w:pStyle w:val="BodyText"/>
        <w:rPr>
          <w:b/>
          <w:sz w:val="11"/>
        </w:rPr>
      </w:pPr>
    </w:p>
    <w:p>
      <w:pPr>
        <w:pStyle w:val="BodyText"/>
        <w:spacing w:before="68"/>
        <w:ind w:left="352"/>
      </w:pPr>
      <w:r>
        <w:rPr>
          <w:b/>
        </w:rPr>
        <w:t>* </w:t>
      </w:r>
      <w:r>
        <w:rPr/>
        <w:t>Jednotková sazba za odborně vyjmutý a posouzený hrob vychází z aktuálně platného ceníku odborné instituce.</w:t>
      </w:r>
    </w:p>
    <w:p>
      <w:pPr>
        <w:pStyle w:val="BodyText"/>
        <w:spacing w:before="2"/>
        <w:ind w:left="352"/>
      </w:pPr>
      <w:r>
        <w:rPr>
          <w:b/>
        </w:rPr>
        <w:t>** </w:t>
      </w:r>
      <w:r>
        <w:rPr/>
        <w:t>Zjištění údajů o lokalitě na základě archivních pramenů; zajištění specializovaných průzkumů pro potřebu výzkumu).</w:t>
      </w:r>
    </w:p>
    <w:p>
      <w:pPr>
        <w:pStyle w:val="BodyText"/>
      </w:pPr>
    </w:p>
    <w:p>
      <w:pPr>
        <w:pStyle w:val="BodyText"/>
        <w:spacing w:before="7"/>
      </w:pPr>
    </w:p>
    <w:p>
      <w:pPr>
        <w:spacing w:before="0"/>
        <w:ind w:left="352" w:right="0" w:firstLine="0"/>
        <w:jc w:val="left"/>
        <w:rPr>
          <w:b/>
          <w:sz w:val="22"/>
        </w:rPr>
      </w:pPr>
      <w:r>
        <w:rPr>
          <w:b/>
          <w:sz w:val="22"/>
        </w:rPr>
        <w:t>K výsledné částce za práce je připočteno DPH v platné sazbě.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1"/>
        <w:tabs>
          <w:tab w:pos="1855" w:val="left" w:leader="none"/>
        </w:tabs>
      </w:pPr>
      <w:r>
        <w:rPr/>
        <w:t>Platnost</w:t>
      </w:r>
      <w:r>
        <w:rPr>
          <w:spacing w:val="-7"/>
        </w:rPr>
        <w:t> </w:t>
      </w:r>
      <w:r>
        <w:rPr/>
        <w:t>od:</w:t>
        <w:tab/>
        <w:t>01. 03.</w:t>
      </w:r>
      <w:r>
        <w:rPr>
          <w:spacing w:val="-10"/>
        </w:rPr>
        <w:t> </w:t>
      </w:r>
      <w:r>
        <w:rPr/>
        <w:t>2024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1855" w:val="left" w:leader="none"/>
        </w:tabs>
        <w:spacing w:line="580" w:lineRule="atLeast" w:before="0"/>
        <w:ind w:left="586" w:right="6289" w:firstLine="0"/>
        <w:jc w:val="left"/>
        <w:rPr>
          <w:sz w:val="22"/>
        </w:rPr>
      </w:pPr>
      <w:r>
        <w:rPr>
          <w:sz w:val="22"/>
        </w:rPr>
        <w:t>Zpracoval:</w:t>
        <w:tab/>
        <w:t>Mgr. Cymbalak Kontroloval:  Ing. Dolínková Schválil:</w:t>
        <w:tab/>
        <w:t>PhDr. Podliska, Ph.D. Dne:</w:t>
        <w:tab/>
        <w:t>viz. datum el.</w:t>
      </w:r>
      <w:r>
        <w:rPr>
          <w:spacing w:val="4"/>
          <w:sz w:val="22"/>
        </w:rPr>
        <w:t> </w:t>
      </w:r>
      <w:r>
        <w:rPr>
          <w:spacing w:val="-3"/>
          <w:sz w:val="22"/>
        </w:rPr>
        <w:t>podpisu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spacing w:line="228" w:lineRule="auto" w:before="0"/>
        <w:ind w:left="1980" w:right="7351" w:firstLine="0"/>
        <w:jc w:val="left"/>
        <w:rPr>
          <w:rFonts w:ascii="Arial Black" w:hAnsi="Arial Black"/>
          <w:sz w:val="5"/>
        </w:rPr>
      </w:pPr>
      <w:r>
        <w:rPr>
          <w:rFonts w:ascii="Arial Black" w:hAnsi="Arial Black"/>
          <w:w w:val="85"/>
          <w:sz w:val="5"/>
        </w:rPr>
        <w:t>Elektronický podpis - 26.02.2024 </w:t>
      </w:r>
      <w:r>
        <w:rPr>
          <w:rFonts w:ascii="Arial Black" w:hAnsi="Arial Black"/>
          <w:w w:val="95"/>
          <w:sz w:val="5"/>
        </w:rPr>
        <w:t>Certifikát autora podpisu:</w:t>
      </w:r>
    </w:p>
    <w:p>
      <w:pPr>
        <w:spacing w:line="228" w:lineRule="auto" w:before="0"/>
        <w:ind w:left="2006" w:right="7185" w:firstLine="0"/>
        <w:jc w:val="left"/>
        <w:rPr>
          <w:rFonts w:ascii="Arial Black" w:hAnsi="Arial Black"/>
          <w:sz w:val="5"/>
        </w:rPr>
      </w:pPr>
      <w:r>
        <w:rPr>
          <w:rFonts w:ascii="Arial Black" w:hAnsi="Arial Black"/>
          <w:w w:val="85"/>
          <w:sz w:val="5"/>
        </w:rPr>
        <w:t>Jméno: PhDr. Jaroslav Podliska\, PhD.</w:t>
      </w:r>
    </w:p>
    <w:p>
      <w:pPr>
        <w:spacing w:line="228" w:lineRule="auto" w:before="0"/>
        <w:ind w:left="2006" w:right="7227" w:firstLine="0"/>
        <w:jc w:val="left"/>
        <w:rPr>
          <w:rFonts w:ascii="Arial Black" w:hAnsi="Arial Black"/>
          <w:sz w:val="5"/>
        </w:rPr>
      </w:pPr>
      <w:r>
        <w:rPr>
          <w:rFonts w:ascii="Arial Black" w:hAnsi="Arial Black"/>
          <w:w w:val="85"/>
          <w:sz w:val="5"/>
        </w:rPr>
        <w:t>IČO:</w:t>
      </w:r>
      <w:r>
        <w:rPr>
          <w:rFonts w:ascii="Arial Black" w:hAnsi="Arial Black"/>
          <w:spacing w:val="-1"/>
          <w:w w:val="85"/>
          <w:sz w:val="5"/>
        </w:rPr>
        <w:t> </w:t>
      </w:r>
      <w:r>
        <w:rPr>
          <w:rFonts w:ascii="Arial Black" w:hAnsi="Arial Black"/>
          <w:w w:val="85"/>
          <w:sz w:val="5"/>
        </w:rPr>
        <w:t>NTRCZ-75032333</w:t>
      </w:r>
    </w:p>
    <w:p>
      <w:pPr>
        <w:spacing w:line="228" w:lineRule="auto" w:before="0"/>
        <w:ind w:left="2006" w:right="7308" w:firstLine="0"/>
        <w:jc w:val="left"/>
        <w:rPr>
          <w:rFonts w:ascii="Arial Black"/>
          <w:sz w:val="5"/>
        </w:rPr>
      </w:pPr>
      <w:r>
        <w:rPr>
          <w:rFonts w:ascii="Arial Black"/>
          <w:w w:val="90"/>
          <w:sz w:val="5"/>
        </w:rPr>
        <w:t>Vydal:</w:t>
      </w:r>
      <w:r>
        <w:rPr>
          <w:rFonts w:ascii="Arial Black"/>
          <w:spacing w:val="-10"/>
          <w:w w:val="90"/>
          <w:sz w:val="5"/>
        </w:rPr>
        <w:t> </w:t>
      </w:r>
      <w:r>
        <w:rPr>
          <w:rFonts w:ascii="Arial Black"/>
          <w:w w:val="90"/>
          <w:sz w:val="5"/>
        </w:rPr>
        <w:t>PostSignum</w:t>
      </w:r>
      <w:r>
        <w:rPr>
          <w:rFonts w:ascii="Arial Black"/>
          <w:spacing w:val="-10"/>
          <w:w w:val="90"/>
          <w:sz w:val="5"/>
        </w:rPr>
        <w:t> </w:t>
      </w:r>
      <w:r>
        <w:rPr>
          <w:rFonts w:ascii="Arial Black"/>
          <w:w w:val="90"/>
          <w:sz w:val="5"/>
        </w:rPr>
        <w:t>Qualified</w:t>
      </w:r>
      <w:r>
        <w:rPr>
          <w:rFonts w:ascii="Arial Black"/>
          <w:spacing w:val="-9"/>
          <w:w w:val="90"/>
          <w:sz w:val="5"/>
        </w:rPr>
        <w:t> </w:t>
      </w:r>
      <w:r>
        <w:rPr>
          <w:rFonts w:ascii="Arial Black"/>
          <w:w w:val="90"/>
          <w:sz w:val="5"/>
        </w:rPr>
        <w:t>CA</w:t>
      </w:r>
      <w:r>
        <w:rPr>
          <w:rFonts w:ascii="Arial Black"/>
          <w:spacing w:val="-10"/>
          <w:w w:val="90"/>
          <w:sz w:val="5"/>
        </w:rPr>
        <w:t> </w:t>
      </w:r>
      <w:r>
        <w:rPr>
          <w:rFonts w:ascii="Arial Black"/>
          <w:spacing w:val="-11"/>
          <w:w w:val="90"/>
          <w:sz w:val="5"/>
        </w:rPr>
        <w:t>4 </w:t>
      </w:r>
      <w:r>
        <w:rPr>
          <w:rFonts w:ascii="Arial Black"/>
          <w:w w:val="95"/>
          <w:sz w:val="5"/>
        </w:rPr>
        <w:t>Platnost do:</w:t>
      </w:r>
      <w:r>
        <w:rPr>
          <w:rFonts w:ascii="Arial Black"/>
          <w:spacing w:val="-12"/>
          <w:w w:val="95"/>
          <w:sz w:val="5"/>
        </w:rPr>
        <w:t> </w:t>
      </w:r>
      <w:r>
        <w:rPr>
          <w:rFonts w:ascii="Arial Black"/>
          <w:w w:val="95"/>
          <w:sz w:val="5"/>
        </w:rPr>
        <w:t>30.09.2026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17"/>
        </w:rPr>
      </w:pPr>
    </w:p>
    <w:p>
      <w:pPr>
        <w:pStyle w:val="BodyText"/>
        <w:spacing w:line="177" w:lineRule="exact" w:before="68"/>
        <w:ind w:left="352"/>
        <w:rPr>
          <w:rFonts w:ascii="Calibri Light" w:hAnsi="Calibri Light"/>
          <w:b w:val="0"/>
        </w:rPr>
      </w:pPr>
      <w:r>
        <w:rPr/>
        <w:pict>
          <v:group style="position:absolute;margin-left:41.040001pt;margin-top:3.457186pt;width:2.2pt;height:19.6pt;mso-position-horizontal-relative:page;mso-position-vertical-relative:paragraph;z-index:251659264" coordorigin="821,69" coordsize="44,392">
            <v:line style="position:absolute" from="842,69" to="842,266" stroked="true" strokeweight="2.16pt" strokecolor="#d92910">
              <v:stroke dashstyle="solid"/>
            </v:line>
            <v:line style="position:absolute" from="842,266" to="842,461" stroked="true" strokeweight="2.16pt" strokecolor="#d92910">
              <v:stroke dashstyle="solid"/>
            </v:line>
            <w10:wrap type="none"/>
          </v:group>
        </w:pict>
      </w:r>
      <w:r>
        <w:rPr>
          <w:rFonts w:ascii="Calibri Light" w:hAnsi="Calibri Light"/>
          <w:b w:val="0"/>
        </w:rPr>
        <w:t>Národní památkový ústav, územní odborné pracoviště v Praze | Na Perštýně 356/12, 110 00 Praha 1</w:t>
      </w:r>
    </w:p>
    <w:p>
      <w:pPr>
        <w:pStyle w:val="BodyText"/>
        <w:tabs>
          <w:tab w:pos="8961" w:val="left" w:leader="none"/>
        </w:tabs>
        <w:spacing w:line="226" w:lineRule="exact"/>
        <w:ind w:left="352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</w:rPr>
        <w:t>T +420 234 653 111 | F +420 234 653 119 | E </w:t>
      </w:r>
      <w:hyperlink r:id="rId6">
        <w:r>
          <w:rPr>
            <w:rFonts w:ascii="Calibri Light" w:hAnsi="Calibri Light"/>
            <w:b w:val="0"/>
          </w:rPr>
          <w:t>epodatelna@npu.cz </w:t>
        </w:r>
      </w:hyperlink>
      <w:r>
        <w:rPr>
          <w:rFonts w:ascii="Calibri Light" w:hAnsi="Calibri Light"/>
          <w:b w:val="0"/>
        </w:rPr>
        <w:t>| DS 2cy8h6t | IČO 75032333 |</w:t>
      </w:r>
      <w:r>
        <w:rPr>
          <w:rFonts w:ascii="Calibri Light" w:hAnsi="Calibri Light"/>
          <w:b w:val="0"/>
          <w:spacing w:val="-24"/>
        </w:rPr>
        <w:t> </w:t>
      </w:r>
      <w:r>
        <w:rPr>
          <w:rFonts w:ascii="Calibri Light" w:hAnsi="Calibri Light"/>
          <w:b w:val="0"/>
        </w:rPr>
        <w:t>DIČ CZ75032333</w:t>
        <w:tab/>
      </w:r>
      <w:r>
        <w:rPr>
          <w:rFonts w:ascii="Calibri Light" w:hAnsi="Calibri Light"/>
          <w:b w:val="0"/>
          <w:sz w:val="20"/>
        </w:rPr>
        <w:t>1/1</w:t>
      </w:r>
    </w:p>
    <w:sectPr>
      <w:type w:val="continuous"/>
      <w:pgSz w:w="11910" w:h="16850"/>
      <w:pgMar w:top="880" w:bottom="280" w:left="7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586"/>
      <w:outlineLvl w:val="1"/>
    </w:pPr>
    <w:rPr>
      <w:rFonts w:ascii="Calibri" w:hAnsi="Calibri" w:eastAsia="Calibri" w:cs="Calibri"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spacing w:line="250" w:lineRule="exact"/>
    </w:pPr>
    <w:rPr>
      <w:rFonts w:ascii="Calibri" w:hAnsi="Calibri" w:eastAsia="Calibri" w:cs="Calibri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podatelna@np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dcterms:created xsi:type="dcterms:W3CDTF">2024-04-24T08:13:19Z</dcterms:created>
  <dcterms:modified xsi:type="dcterms:W3CDTF">2024-04-24T08:13:19Z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