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520E798F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105A5358" w14:textId="77777777">
      <w:pPr>
        <w:rPr>
          <w:b/>
        </w:rPr>
      </w:pPr>
    </w:p>
    <w:p w:rsidR="00966764" w:rsidRPr="00966764" w:rsidP="00966764" w14:paraId="743C1C20" w14:textId="77777777"/>
    <w:p w:rsidR="00966764" w:rsidP="00B83332" w14:paraId="410FEA91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P="00B83332" w14:paraId="1AA688B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AC7B10">
        <w:rPr>
          <w:rFonts w:ascii="Tahoma" w:hAnsi="Tahoma" w:cs="Tahoma"/>
          <w:b/>
          <w:sz w:val="20"/>
          <w:szCs w:val="20"/>
        </w:rPr>
        <w:t>Zadavatel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Pr="00AC7B10" w:rsidR="004C5B0E">
        <w:rPr>
          <w:rFonts w:ascii="Tahoma" w:hAnsi="Tahoma" w:cs="Tahoma"/>
          <w:b/>
          <w:sz w:val="20"/>
          <w:szCs w:val="20"/>
        </w:rPr>
        <w:t>Dodavatel</w:t>
      </w:r>
    </w:p>
    <w:p w:rsidR="000D01A0" w:rsidP="00B83332" w14:paraId="01D82F6D" w14:textId="3A0BDA1D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Státní fond podpory investic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>Terre Due s.r.o.</w:t>
      </w:r>
    </w:p>
    <w:p w:rsidR="000D01A0" w:rsidP="00B83332" w14:paraId="5DA012A2" w14:textId="323DCBDB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>Sokolská 1605/66</w:t>
      </w:r>
    </w:p>
    <w:p w:rsidR="000D01A0" w:rsidP="00B83332" w14:paraId="60F7A6DF" w14:textId="1F8B7C43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>120 00 Praha 2</w:t>
      </w:r>
    </w:p>
    <w:p w:rsidR="000D01A0" w:rsidP="00B83332" w14:paraId="17C99793" w14:textId="4A79FF96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3B2294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: 70856</w:t>
      </w:r>
      <w:r>
        <w:rPr>
          <w:rFonts w:ascii="Tahoma" w:hAnsi="Tahoma" w:cs="Tahoma"/>
          <w:sz w:val="20"/>
          <w:szCs w:val="20"/>
        </w:rPr>
        <w:t>788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="003B2294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IČ</w:t>
      </w:r>
      <w:r w:rsidR="003B2294">
        <w:rPr>
          <w:rFonts w:ascii="Tahoma" w:hAnsi="Tahoma" w:cs="Tahoma"/>
          <w:sz w:val="20"/>
          <w:szCs w:val="20"/>
        </w:rPr>
        <w:t>O</w:t>
      </w:r>
      <w:r w:rsidR="004C5B0E">
        <w:rPr>
          <w:rFonts w:ascii="Tahoma" w:hAnsi="Tahoma" w:cs="Tahoma"/>
          <w:sz w:val="20"/>
          <w:szCs w:val="20"/>
        </w:rPr>
        <w:t>:</w:t>
      </w:r>
      <w:r w:rsidR="00574339">
        <w:rPr>
          <w:rFonts w:ascii="Tahoma" w:hAnsi="Tahoma" w:cs="Tahoma"/>
          <w:sz w:val="20"/>
          <w:szCs w:val="20"/>
        </w:rPr>
        <w:t xml:space="preserve"> </w:t>
      </w:r>
      <w:r w:rsidR="0031071B">
        <w:rPr>
          <w:rFonts w:ascii="Tahoma" w:hAnsi="Tahoma" w:cs="Tahoma"/>
          <w:sz w:val="20"/>
          <w:szCs w:val="20"/>
        </w:rPr>
        <w:t>05901766</w:t>
      </w:r>
    </w:p>
    <w:p w:rsidR="00A4693E" w:rsidP="00B83332" w14:paraId="2BC89EB9" w14:textId="27CE8272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„Fon</w:t>
      </w:r>
      <w:r w:rsidR="004C5B0E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“</w:t>
      </w:r>
      <w:r w:rsidR="00241119">
        <w:rPr>
          <w:rFonts w:ascii="Tahoma" w:hAnsi="Tahoma" w:cs="Tahoma"/>
          <w:sz w:val="20"/>
          <w:szCs w:val="20"/>
        </w:rPr>
        <w:t>)</w:t>
      </w:r>
      <w:r w:rsidR="00241119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 xml:space="preserve">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="00241119">
        <w:rPr>
          <w:rFonts w:ascii="Tahoma" w:hAnsi="Tahoma" w:cs="Tahoma"/>
          <w:sz w:val="20"/>
          <w:szCs w:val="20"/>
        </w:rPr>
        <w:tab/>
      </w:r>
      <w:r w:rsidR="003B2294">
        <w:rPr>
          <w:rFonts w:ascii="Tahoma" w:hAnsi="Tahoma" w:cs="Tahoma"/>
          <w:sz w:val="20"/>
          <w:szCs w:val="20"/>
        </w:rPr>
        <w:t>(dále jen „Dodavatel“)</w:t>
      </w:r>
    </w:p>
    <w:p w:rsidR="004C5B0E" w:rsidP="00B83332" w14:paraId="4A7DDB26" w14:textId="1F9B6716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="00574339">
        <w:rPr>
          <w:rFonts w:ascii="Tahoma" w:hAnsi="Tahoma" w:cs="Tahoma"/>
          <w:sz w:val="20"/>
          <w:szCs w:val="20"/>
        </w:rPr>
        <w:tab/>
      </w:r>
    </w:p>
    <w:p w:rsidR="00422C3F" w:rsidP="00B83332" w14:paraId="594D26A2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P="00B83332" w14:paraId="7FCFE8E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P="001163CB" w14:paraId="662777EE" w14:textId="40B22BA2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Objednávka</w:t>
      </w:r>
      <w:r w:rsidRPr="006B060D" w:rsidR="00422C3F">
        <w:rPr>
          <w:rFonts w:ascii="Tahoma" w:hAnsi="Tahoma" w:cs="Tahoma"/>
          <w:b/>
          <w:sz w:val="20"/>
          <w:szCs w:val="20"/>
        </w:rPr>
        <w:t xml:space="preserve"> č.</w:t>
      </w:r>
      <w:r w:rsidR="0031071B">
        <w:rPr>
          <w:rFonts w:ascii="Tahoma" w:hAnsi="Tahoma" w:cs="Tahoma"/>
          <w:b/>
          <w:sz w:val="20"/>
          <w:szCs w:val="20"/>
        </w:rPr>
        <w:t xml:space="preserve"> 41</w:t>
      </w:r>
      <w:r w:rsidRPr="006B060D" w:rsidR="0087418E">
        <w:rPr>
          <w:rFonts w:ascii="Tahoma" w:hAnsi="Tahoma" w:cs="Tahoma"/>
          <w:b/>
          <w:sz w:val="20"/>
          <w:szCs w:val="20"/>
        </w:rPr>
        <w:t>/2</w:t>
      </w:r>
      <w:r w:rsidR="00D81F1C">
        <w:rPr>
          <w:rFonts w:ascii="Tahoma" w:hAnsi="Tahoma" w:cs="Tahoma"/>
          <w:b/>
          <w:sz w:val="20"/>
          <w:szCs w:val="20"/>
        </w:rPr>
        <w:t>4</w:t>
      </w:r>
      <w:r w:rsidRPr="006B060D" w:rsidR="0087418E">
        <w:rPr>
          <w:rFonts w:ascii="Tahoma" w:hAnsi="Tahoma" w:cs="Tahoma"/>
          <w:b/>
          <w:sz w:val="20"/>
          <w:szCs w:val="20"/>
        </w:rPr>
        <w:t>/IND</w:t>
      </w:r>
      <w:r w:rsidR="00422C3F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1163CB" w14:paraId="1330C958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51A8ED50" w14:textId="54E2085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</w:t>
      </w:r>
      <w:r w:rsidR="00032B1A">
        <w:rPr>
          <w:rFonts w:ascii="Tahoma" w:hAnsi="Tahoma" w:cs="Tahoma"/>
          <w:sz w:val="20"/>
          <w:szCs w:val="20"/>
        </w:rPr>
        <w:t>ý</w:t>
      </w:r>
      <w:r>
        <w:rPr>
          <w:rFonts w:ascii="Tahoma" w:hAnsi="Tahoma" w:cs="Tahoma"/>
          <w:sz w:val="20"/>
          <w:szCs w:val="20"/>
        </w:rPr>
        <w:t xml:space="preserve"> pan</w:t>
      </w:r>
      <w:r w:rsidR="00032B1A">
        <w:rPr>
          <w:rFonts w:ascii="Tahoma" w:hAnsi="Tahoma" w:cs="Tahoma"/>
          <w:sz w:val="20"/>
          <w:szCs w:val="20"/>
        </w:rPr>
        <w:t>e</w:t>
      </w:r>
      <w:r w:rsidR="006B060D">
        <w:rPr>
          <w:rFonts w:ascii="Tahoma" w:hAnsi="Tahoma" w:cs="Tahoma"/>
          <w:sz w:val="20"/>
          <w:szCs w:val="20"/>
        </w:rPr>
        <w:t xml:space="preserve"> </w:t>
      </w:r>
      <w:r w:rsidR="00ED6E5B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>,</w:t>
      </w:r>
    </w:p>
    <w:p w:rsidR="00422C3F" w:rsidP="001163CB" w14:paraId="58A506A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4DFE1B46" w14:textId="681156A3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 základě Vaší ce</w:t>
      </w:r>
      <w:r w:rsidR="009F5543">
        <w:rPr>
          <w:rFonts w:ascii="Tahoma" w:hAnsi="Tahoma" w:cs="Tahoma"/>
          <w:sz w:val="20"/>
          <w:szCs w:val="20"/>
        </w:rPr>
        <w:t xml:space="preserve">nové nabídky ze dne </w:t>
      </w:r>
      <w:r w:rsidR="0031071B">
        <w:rPr>
          <w:rFonts w:ascii="Tahoma" w:hAnsi="Tahoma" w:cs="Tahoma"/>
          <w:sz w:val="20"/>
          <w:szCs w:val="20"/>
        </w:rPr>
        <w:t>1</w:t>
      </w:r>
      <w:r w:rsidR="009F5543">
        <w:rPr>
          <w:rFonts w:ascii="Tahoma" w:hAnsi="Tahoma" w:cs="Tahoma"/>
          <w:sz w:val="20"/>
          <w:szCs w:val="20"/>
        </w:rPr>
        <w:t xml:space="preserve">. </w:t>
      </w:r>
      <w:r w:rsidR="00D81F1C">
        <w:rPr>
          <w:rFonts w:ascii="Tahoma" w:hAnsi="Tahoma" w:cs="Tahoma"/>
          <w:sz w:val="20"/>
          <w:szCs w:val="20"/>
        </w:rPr>
        <w:t>3</w:t>
      </w:r>
      <w:r w:rsidR="009F5543">
        <w:rPr>
          <w:rFonts w:ascii="Tahoma" w:hAnsi="Tahoma" w:cs="Tahoma"/>
          <w:sz w:val="20"/>
          <w:szCs w:val="20"/>
        </w:rPr>
        <w:t>. 202</w:t>
      </w:r>
      <w:r w:rsidR="00D81F1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u Vás objednáváme následující dodávku služby.</w:t>
      </w:r>
    </w:p>
    <w:p w:rsidR="003B2294" w:rsidP="001163CB" w14:paraId="6628B176" w14:textId="77777777">
      <w:pPr>
        <w:jc w:val="left"/>
        <w:rPr>
          <w:rFonts w:ascii="Tahoma" w:hAnsi="Tahoma" w:cs="Tahoma"/>
          <w:sz w:val="20"/>
          <w:szCs w:val="20"/>
        </w:rPr>
      </w:pPr>
    </w:p>
    <w:p w:rsidR="003B2294" w:rsidRPr="0031071B" w:rsidP="0031071B" w14:paraId="18AC229B" w14:textId="20EB8273">
      <w:pPr>
        <w:spacing w:before="16" w:line="280" w:lineRule="exact"/>
        <w:jc w:val="left"/>
        <w:rPr>
          <w:rFonts w:ascii="Tahoma" w:hAnsi="Tahoma" w:cs="Tahoma"/>
          <w:bCs/>
          <w:sz w:val="20"/>
          <w:szCs w:val="20"/>
        </w:rPr>
      </w:pPr>
      <w:r w:rsidRPr="00655A17">
        <w:rPr>
          <w:rFonts w:ascii="Tahoma" w:hAnsi="Tahoma" w:cs="Tahoma"/>
          <w:b/>
          <w:sz w:val="20"/>
          <w:szCs w:val="20"/>
        </w:rPr>
        <w:t>Předmět plnění:</w:t>
      </w:r>
      <w:r w:rsidR="0031071B">
        <w:rPr>
          <w:rFonts w:ascii="Tahoma" w:hAnsi="Tahoma" w:cs="Tahoma"/>
          <w:b/>
          <w:sz w:val="20"/>
          <w:szCs w:val="20"/>
        </w:rPr>
        <w:t xml:space="preserve"> </w:t>
      </w:r>
      <w:r w:rsidR="0031071B">
        <w:rPr>
          <w:rFonts w:ascii="Tahoma" w:hAnsi="Tahoma" w:cs="Tahoma"/>
          <w:bCs/>
          <w:sz w:val="20"/>
          <w:szCs w:val="20"/>
        </w:rPr>
        <w:t>provedení kontrolní činnosti prostavěnosti investičních prostředků u projektu DELTA – Vsetínská pila s.r.o. Kontrolní činnost bude rozdělena do 6 kontrolních prohlídek projektu</w:t>
      </w:r>
      <w:r w:rsidR="008A031F">
        <w:rPr>
          <w:rFonts w:ascii="Tahoma" w:hAnsi="Tahoma" w:cs="Tahoma"/>
          <w:bCs/>
          <w:sz w:val="20"/>
          <w:szCs w:val="20"/>
        </w:rPr>
        <w:t xml:space="preserve"> na místě</w:t>
      </w:r>
      <w:r w:rsidR="0031071B">
        <w:rPr>
          <w:rFonts w:ascii="Tahoma" w:hAnsi="Tahoma" w:cs="Tahoma"/>
          <w:bCs/>
          <w:sz w:val="20"/>
          <w:szCs w:val="20"/>
        </w:rPr>
        <w:t xml:space="preserve">. První kontrolní projektu bude provedena po nabytí účinnosti této Objednávky. Další kontrolní prohlídky projektu budou prováděny vždy po </w:t>
      </w:r>
      <w:r w:rsidR="008A031F">
        <w:rPr>
          <w:rFonts w:ascii="Tahoma" w:hAnsi="Tahoma" w:cs="Tahoma"/>
          <w:bCs/>
          <w:sz w:val="20"/>
          <w:szCs w:val="20"/>
        </w:rPr>
        <w:t>prostavěnosti 20 milionů Kč od poslední kontrolní prohlídky. Výstupem z každé kontrolní prohlídky projektu bude vypracování zprávy o prostavěnosti.</w:t>
      </w:r>
    </w:p>
    <w:p w:rsidR="00205DD1" w:rsidRPr="00655A17" w:rsidP="00205DD1" w14:paraId="57598C30" w14:textId="77777777">
      <w:pPr>
        <w:pStyle w:val="ListParagraph"/>
        <w:ind w:left="1287"/>
        <w:rPr>
          <w:rFonts w:ascii="Tahoma" w:hAnsi="Tahoma" w:cs="Tahoma"/>
          <w:lang w:val="cs-CZ"/>
        </w:rPr>
      </w:pPr>
    </w:p>
    <w:p w:rsidR="00422C3F" w:rsidP="003B2294" w14:paraId="1A9D7CFB" w14:textId="271F4424">
      <w:pPr>
        <w:ind w:left="0" w:firstLine="567"/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Termín dodání:</w:t>
      </w:r>
      <w:r>
        <w:rPr>
          <w:rFonts w:ascii="Tahoma" w:hAnsi="Tahoma" w:cs="Tahoma"/>
          <w:sz w:val="20"/>
          <w:szCs w:val="20"/>
        </w:rPr>
        <w:t xml:space="preserve"> </w:t>
      </w:r>
      <w:r w:rsidR="0031071B">
        <w:rPr>
          <w:rFonts w:ascii="Tahoma" w:hAnsi="Tahoma" w:cs="Tahoma"/>
          <w:sz w:val="20"/>
          <w:szCs w:val="20"/>
        </w:rPr>
        <w:t>od nabytí účinnosti Objednávky do provedení závěrečné kontrolní prohlídky projektu.</w:t>
      </w:r>
    </w:p>
    <w:p w:rsidR="00422C3F" w:rsidP="001163CB" w14:paraId="26D06F3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254870FF" w14:textId="48232E3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Platební podmínky: </w:t>
      </w:r>
      <w:r w:rsidR="00375BF4">
        <w:rPr>
          <w:rFonts w:ascii="Tahoma" w:hAnsi="Tahoma" w:cs="Tahoma"/>
          <w:sz w:val="20"/>
          <w:szCs w:val="20"/>
        </w:rPr>
        <w:t>Faktura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data doručení faktury. V tomto případě není Fond v prodlení s úhradou a Dodavatel není oprávněn požadovat penále za pozdní úhradu. Smluvní cena</w:t>
      </w:r>
      <w:r w:rsidR="008A031F">
        <w:rPr>
          <w:rFonts w:ascii="Tahoma" w:hAnsi="Tahoma" w:cs="Tahoma"/>
          <w:sz w:val="20"/>
          <w:szCs w:val="20"/>
        </w:rPr>
        <w:t xml:space="preserve"> za každou provedenou kontrolní prohlídku</w:t>
      </w:r>
      <w:r>
        <w:rPr>
          <w:rFonts w:ascii="Tahoma" w:hAnsi="Tahoma" w:cs="Tahoma"/>
          <w:sz w:val="20"/>
          <w:szCs w:val="20"/>
        </w:rPr>
        <w:t xml:space="preserve">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6723A773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5DDBC52F" w14:textId="2A3A0A2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</w:t>
      </w:r>
      <w:r w:rsidR="0031071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31071B" w14:paraId="5328972E" w14:textId="0FA56F3D">
      <w:pPr>
        <w:ind w:left="4107" w:firstLine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</w:p>
    <w:p w:rsidR="0088548E" w:rsidP="0031071B" w14:paraId="573CAA42" w14:textId="58A9398C">
      <w:pPr>
        <w:ind w:left="3966" w:firstLine="2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</w:p>
    <w:p w:rsidR="0088548E" w:rsidP="00772A23" w14:paraId="4D5C8B0E" w14:textId="4D78FE7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nebo elektronicky na:</w:t>
      </w:r>
      <w:r w:rsidR="0031071B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ED6E5B">
        <w:rPr>
          <w:rFonts w:ascii="Tahoma" w:hAnsi="Tahoma" w:cs="Tahoma"/>
          <w:sz w:val="20"/>
          <w:szCs w:val="20"/>
        </w:rPr>
        <w:t>XXXXX</w:t>
      </w:r>
    </w:p>
    <w:p w:rsidR="0088548E" w:rsidP="00772A23" w14:paraId="724F7332" w14:textId="6E02F61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</w:t>
      </w:r>
      <w:r w:rsidR="0031071B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wikaiz5</w:t>
      </w:r>
    </w:p>
    <w:p w:rsidR="006B10F1" w:rsidP="00772A23" w14:paraId="6D034092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30D1012C" w14:textId="00205B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>
        <w:rPr>
          <w:rFonts w:ascii="Tahoma" w:hAnsi="Tahoma" w:cs="Tahoma"/>
          <w:sz w:val="20"/>
          <w:szCs w:val="20"/>
        </w:rPr>
        <w:t>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ED6E5B">
        <w:rPr>
          <w:rFonts w:ascii="Tahoma" w:hAnsi="Tahoma" w:cs="Tahoma"/>
          <w:sz w:val="20"/>
          <w:szCs w:val="20"/>
        </w:rPr>
        <w:t>XXXXX</w:t>
      </w:r>
    </w:p>
    <w:p w:rsidR="0088548E" w:rsidP="00772A23" w14:paraId="5D26D09F" w14:textId="6F31C5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ED6E5B">
        <w:rPr>
          <w:rFonts w:ascii="Tahoma" w:hAnsi="Tahoma" w:cs="Tahoma"/>
          <w:sz w:val="20"/>
          <w:szCs w:val="20"/>
        </w:rPr>
        <w:t>XXXXX</w:t>
      </w:r>
    </w:p>
    <w:p w:rsidR="0088548E" w:rsidP="00772A23" w14:paraId="351E4339" w14:textId="28C822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 w:rsidR="006B060D">
        <w:rPr>
          <w:rFonts w:ascii="Tahoma" w:hAnsi="Tahoma" w:cs="Tahoma"/>
          <w:sz w:val="20"/>
          <w:szCs w:val="20"/>
        </w:rPr>
        <w:t>y: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b/>
          <w:sz w:val="20"/>
          <w:szCs w:val="20"/>
        </w:rPr>
        <w:t>110.000</w:t>
      </w:r>
      <w:r w:rsidR="00655A17">
        <w:rPr>
          <w:rFonts w:ascii="Tahoma" w:hAnsi="Tahoma" w:cs="Tahoma"/>
          <w:b/>
          <w:sz w:val="20"/>
          <w:szCs w:val="20"/>
        </w:rPr>
        <w:t>,-</w:t>
      </w:r>
      <w:r w:rsidR="003B2294">
        <w:rPr>
          <w:rFonts w:ascii="Tahoma" w:hAnsi="Tahoma" w:cs="Tahoma"/>
          <w:b/>
          <w:sz w:val="20"/>
          <w:szCs w:val="20"/>
        </w:rPr>
        <w:t xml:space="preserve"> </w:t>
      </w:r>
      <w:r w:rsidRPr="006B060D" w:rsidR="004A70E0">
        <w:rPr>
          <w:rFonts w:ascii="Tahoma" w:hAnsi="Tahoma" w:cs="Tahoma"/>
          <w:b/>
          <w:sz w:val="20"/>
          <w:szCs w:val="20"/>
        </w:rPr>
        <w:t xml:space="preserve">Kč </w:t>
      </w:r>
      <w:r w:rsidR="0031071B">
        <w:rPr>
          <w:rFonts w:ascii="Tahoma" w:hAnsi="Tahoma" w:cs="Tahoma"/>
          <w:b/>
          <w:sz w:val="20"/>
          <w:szCs w:val="20"/>
        </w:rPr>
        <w:t>bez</w:t>
      </w:r>
      <w:r w:rsidRPr="006B060D" w:rsidR="004A70E0">
        <w:rPr>
          <w:rFonts w:ascii="Tahoma" w:hAnsi="Tahoma" w:cs="Tahoma"/>
          <w:b/>
          <w:sz w:val="20"/>
          <w:szCs w:val="20"/>
        </w:rPr>
        <w:t xml:space="preserve"> </w:t>
      </w:r>
      <w:r w:rsidRPr="006B060D" w:rsidR="00C639CA">
        <w:rPr>
          <w:rFonts w:ascii="Tahoma" w:hAnsi="Tahoma" w:cs="Tahoma"/>
          <w:b/>
          <w:sz w:val="20"/>
          <w:szCs w:val="20"/>
        </w:rPr>
        <w:t xml:space="preserve">DPH </w:t>
      </w:r>
    </w:p>
    <w:p w:rsidR="0088548E" w:rsidP="00772A23" w14:paraId="6505A4EA" w14:textId="6ECC4A2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31071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ČNB – číslo účtu </w:t>
      </w:r>
      <w:r w:rsidR="00ED6E5B">
        <w:rPr>
          <w:rFonts w:ascii="Tahoma" w:hAnsi="Tahoma" w:cs="Tahoma"/>
          <w:sz w:val="20"/>
          <w:szCs w:val="20"/>
        </w:rPr>
        <w:t>XXXXX</w:t>
      </w:r>
    </w:p>
    <w:p w:rsidR="0088548E" w:rsidP="0088548E" w14:paraId="2494A297" w14:textId="77777777">
      <w:pPr>
        <w:ind w:left="0"/>
        <w:rPr>
          <w:rFonts w:ascii="Tahoma" w:hAnsi="Tahoma" w:cs="Tahoma"/>
          <w:sz w:val="20"/>
          <w:szCs w:val="20"/>
        </w:rPr>
      </w:pPr>
    </w:p>
    <w:p w:rsidR="00655A17" w:rsidRPr="008E620F" w:rsidP="00655A17" w14:paraId="4B4995F9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oprávněných zastupovat Dodavatele za účelem a v rozsahu nezbytném pro plnění této Objednávky a za účelem a v rozsahu nezbytném pro splnění </w:t>
      </w:r>
      <w:r>
        <w:rPr>
          <w:rFonts w:ascii="Tahoma" w:hAnsi="Tahoma" w:cs="Tahoma"/>
          <w:sz w:val="20"/>
          <w:szCs w:val="20"/>
        </w:rPr>
        <w:t>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655A17" w:rsidRPr="00E73CE2" w:rsidP="00655A17" w14:paraId="610B61B3" w14:textId="77777777">
      <w:pPr>
        <w:spacing w:after="60"/>
        <w:jc w:val="left"/>
        <w:rPr>
          <w:rFonts w:ascii="Tahoma" w:hAnsi="Tahoma" w:cs="Tahoma"/>
          <w:sz w:val="20"/>
          <w:szCs w:val="20"/>
        </w:rPr>
      </w:pPr>
      <w:r w:rsidRPr="00E73CE2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655A17" w:rsidRPr="00E73CE2" w:rsidP="00655A17" w14:paraId="0CB0049F" w14:textId="77777777">
      <w:pPr>
        <w:pStyle w:val="ListParagraph"/>
        <w:numPr>
          <w:ilvl w:val="0"/>
          <w:numId w:val="15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655A17" w:rsidRPr="00E73CE2" w:rsidP="00655A17" w14:paraId="57ADED26" w14:textId="77777777">
      <w:pPr>
        <w:pStyle w:val="ListParagraph"/>
        <w:numPr>
          <w:ilvl w:val="0"/>
          <w:numId w:val="15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655A17" w:rsidRPr="008E620F" w:rsidP="00655A17" w14:paraId="466FBD25" w14:textId="45832C09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655A17" w:rsidRPr="008E620F" w:rsidP="00655A17" w14:paraId="47B81553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655A17" w:rsidRPr="008E620F" w:rsidP="00655A17" w14:paraId="7C16E5AB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655A17" w:rsidRPr="008E620F" w:rsidP="00655A17" w14:paraId="1575CD21" w14:textId="138D215D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ED6E5B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655A17" w:rsidRPr="009478DC" w:rsidP="00655A17" w14:paraId="634B3624" w14:textId="77777777">
      <w:pPr>
        <w:pStyle w:val="ListParagraph"/>
        <w:numPr>
          <w:ilvl w:val="0"/>
          <w:numId w:val="15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655A17" w:rsidP="00655A17" w14:paraId="5768E409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655A17" w:rsidP="00655A17" w14:paraId="6E0108C1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655A17" w:rsidP="00655A17" w14:paraId="38B9CC00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655A17" w:rsidP="00655A17" w14:paraId="4AD3E774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655A17" w:rsidP="00655A17" w14:paraId="3E63239C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655A17" w:rsidP="00655A17" w14:paraId="7C59E2AC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0CFA84B0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1F59D9DF" w14:textId="4C23AB5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ED6E5B">
        <w:rPr>
          <w:rFonts w:ascii="Tahoma" w:hAnsi="Tahoma" w:cs="Tahoma"/>
          <w:sz w:val="20"/>
          <w:szCs w:val="20"/>
        </w:rPr>
        <w:t>17.4.2024</w:t>
      </w:r>
      <w:r w:rsidR="00ED6E5B">
        <w:rPr>
          <w:rFonts w:ascii="Tahoma" w:hAnsi="Tahoma" w:cs="Tahoma"/>
          <w:sz w:val="20"/>
          <w:szCs w:val="20"/>
        </w:rPr>
        <w:tab/>
      </w:r>
      <w:r w:rsidR="00ED6E5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                          .............................................</w:t>
      </w:r>
    </w:p>
    <w:p w:rsidR="00655A17" w:rsidP="00655A17" w14:paraId="5507FD61" w14:textId="0528294C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  <w:r w:rsidR="00ED6E5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D6E5B">
        <w:rPr>
          <w:rFonts w:ascii="Tahoma" w:hAnsi="Tahoma" w:cs="Tahoma"/>
          <w:sz w:val="20"/>
          <w:szCs w:val="20"/>
        </w:rPr>
        <w:t>XXXXX</w:t>
      </w:r>
    </w:p>
    <w:p w:rsidR="00655A17" w:rsidP="00655A17" w14:paraId="2E904303" w14:textId="57DC1AC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ředitel Fondu</w:t>
      </w:r>
    </w:p>
    <w:p w:rsidR="00655A17" w:rsidP="00655A17" w14:paraId="6F679C95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0FD86F76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7D38AB73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 tímto potvrzuje přijetí této Objednávky a akceptuje výše uvedené podmínky.</w:t>
      </w:r>
    </w:p>
    <w:p w:rsidR="00655A17" w:rsidP="00655A17" w14:paraId="021653B7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2D964D8D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7A29EB4B" w14:textId="0C8E4DD8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</w:t>
      </w:r>
      <w:r w:rsidR="00350C44">
        <w:rPr>
          <w:rFonts w:ascii="Tahoma" w:hAnsi="Tahoma" w:cs="Tahoma"/>
          <w:sz w:val="20"/>
          <w:szCs w:val="20"/>
        </w:rPr>
        <w:t>Praze</w:t>
      </w:r>
      <w:r>
        <w:rPr>
          <w:rFonts w:ascii="Tahoma" w:hAnsi="Tahoma" w:cs="Tahoma"/>
          <w:sz w:val="20"/>
          <w:szCs w:val="20"/>
        </w:rPr>
        <w:t xml:space="preserve"> </w:t>
      </w:r>
      <w:r w:rsidR="00350C44">
        <w:rPr>
          <w:rFonts w:ascii="Tahoma" w:hAnsi="Tahoma" w:cs="Tahoma"/>
          <w:sz w:val="20"/>
          <w:szCs w:val="20"/>
        </w:rPr>
        <w:t>19.4.2024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55A17" w:rsidP="00655A17" w14:paraId="3534A19F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3F291087" w14:textId="77777777">
      <w:pPr>
        <w:jc w:val="left"/>
        <w:rPr>
          <w:rFonts w:ascii="Tahoma" w:hAnsi="Tahoma" w:cs="Tahoma"/>
          <w:sz w:val="20"/>
          <w:szCs w:val="20"/>
        </w:rPr>
      </w:pPr>
    </w:p>
    <w:p w:rsidR="00655A17" w:rsidP="00655A17" w14:paraId="256BD4A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655A17" w14:paraId="7EAD19AF" w14:textId="508BFB5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4E5323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0BF41B10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2E03572D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51341B5C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570A733C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2FA2"/>
    <w:multiLevelType w:val="hybridMultilevel"/>
    <w:tmpl w:val="33F80386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0E34"/>
    <w:multiLevelType w:val="hybridMultilevel"/>
    <w:tmpl w:val="473E72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D7772B6"/>
    <w:multiLevelType w:val="multilevel"/>
    <w:tmpl w:val="06C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32B1A"/>
    <w:rsid w:val="00052008"/>
    <w:rsid w:val="00065192"/>
    <w:rsid w:val="0008144B"/>
    <w:rsid w:val="000D01A0"/>
    <w:rsid w:val="0010192E"/>
    <w:rsid w:val="001163CB"/>
    <w:rsid w:val="001714F7"/>
    <w:rsid w:val="001878C6"/>
    <w:rsid w:val="001B5092"/>
    <w:rsid w:val="001E1477"/>
    <w:rsid w:val="00205DD1"/>
    <w:rsid w:val="00213909"/>
    <w:rsid w:val="00241119"/>
    <w:rsid w:val="002445F4"/>
    <w:rsid w:val="00296C0E"/>
    <w:rsid w:val="002974E9"/>
    <w:rsid w:val="002E395F"/>
    <w:rsid w:val="0031071B"/>
    <w:rsid w:val="00350C44"/>
    <w:rsid w:val="00354AFF"/>
    <w:rsid w:val="00375BF4"/>
    <w:rsid w:val="003775E2"/>
    <w:rsid w:val="0039116A"/>
    <w:rsid w:val="003B2294"/>
    <w:rsid w:val="003E4A66"/>
    <w:rsid w:val="003F1F24"/>
    <w:rsid w:val="00403323"/>
    <w:rsid w:val="00422C3F"/>
    <w:rsid w:val="00441BC8"/>
    <w:rsid w:val="0046309B"/>
    <w:rsid w:val="00472B69"/>
    <w:rsid w:val="004820C8"/>
    <w:rsid w:val="00493CF2"/>
    <w:rsid w:val="004A70E0"/>
    <w:rsid w:val="004C5B0E"/>
    <w:rsid w:val="004D6006"/>
    <w:rsid w:val="004E5323"/>
    <w:rsid w:val="00512AA9"/>
    <w:rsid w:val="0053362B"/>
    <w:rsid w:val="00534E7A"/>
    <w:rsid w:val="00574339"/>
    <w:rsid w:val="0057769C"/>
    <w:rsid w:val="006321AE"/>
    <w:rsid w:val="00655A17"/>
    <w:rsid w:val="006B060D"/>
    <w:rsid w:val="006B0F23"/>
    <w:rsid w:val="006B10F1"/>
    <w:rsid w:val="006F7A3F"/>
    <w:rsid w:val="00707201"/>
    <w:rsid w:val="007250EE"/>
    <w:rsid w:val="00756B9C"/>
    <w:rsid w:val="0076141B"/>
    <w:rsid w:val="00772A23"/>
    <w:rsid w:val="0077403D"/>
    <w:rsid w:val="00774B87"/>
    <w:rsid w:val="008138E7"/>
    <w:rsid w:val="00836468"/>
    <w:rsid w:val="00863857"/>
    <w:rsid w:val="0087418E"/>
    <w:rsid w:val="0088548E"/>
    <w:rsid w:val="00890B89"/>
    <w:rsid w:val="008A031F"/>
    <w:rsid w:val="008A22DE"/>
    <w:rsid w:val="008A43C3"/>
    <w:rsid w:val="008A6328"/>
    <w:rsid w:val="008B40F0"/>
    <w:rsid w:val="008E56EA"/>
    <w:rsid w:val="008E620F"/>
    <w:rsid w:val="009478DC"/>
    <w:rsid w:val="00964657"/>
    <w:rsid w:val="00966764"/>
    <w:rsid w:val="009B1C64"/>
    <w:rsid w:val="009F5543"/>
    <w:rsid w:val="00A130D8"/>
    <w:rsid w:val="00A23094"/>
    <w:rsid w:val="00A255D5"/>
    <w:rsid w:val="00A4693E"/>
    <w:rsid w:val="00A54FBC"/>
    <w:rsid w:val="00AA16BF"/>
    <w:rsid w:val="00AB4DCF"/>
    <w:rsid w:val="00AC7B10"/>
    <w:rsid w:val="00AD0077"/>
    <w:rsid w:val="00AE7C9E"/>
    <w:rsid w:val="00AF26A8"/>
    <w:rsid w:val="00B253D2"/>
    <w:rsid w:val="00B5179D"/>
    <w:rsid w:val="00B55E35"/>
    <w:rsid w:val="00B609FF"/>
    <w:rsid w:val="00B83332"/>
    <w:rsid w:val="00B86FF5"/>
    <w:rsid w:val="00BE2167"/>
    <w:rsid w:val="00C01970"/>
    <w:rsid w:val="00C639CA"/>
    <w:rsid w:val="00C8397B"/>
    <w:rsid w:val="00C9536F"/>
    <w:rsid w:val="00CF678E"/>
    <w:rsid w:val="00D13526"/>
    <w:rsid w:val="00D1759E"/>
    <w:rsid w:val="00D372F9"/>
    <w:rsid w:val="00D81F1C"/>
    <w:rsid w:val="00DC27FC"/>
    <w:rsid w:val="00DF4576"/>
    <w:rsid w:val="00E159C7"/>
    <w:rsid w:val="00E73CE2"/>
    <w:rsid w:val="00ED6E5B"/>
    <w:rsid w:val="00EE6CD6"/>
    <w:rsid w:val="00F50189"/>
    <w:rsid w:val="00FA4159"/>
    <w:rsid w:val="00FE248B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031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8A03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8A031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8A031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8A031F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3</cp:revision>
  <cp:lastPrinted>2024-04-15T09:38:00Z</cp:lastPrinted>
  <dcterms:created xsi:type="dcterms:W3CDTF">2024-04-24T07:31:00Z</dcterms:created>
  <dcterms:modified xsi:type="dcterms:W3CDTF">2024-04-24T07:32:00Z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770/24/SEP-SFPI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24.4.2024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&lt;TABLE&gt;&lt;TR&gt;&lt;TD&gt;Č.j.:&lt;/TD&gt;&lt;TD&gt;770/24/SEP-SFPI&lt;/TD&gt;&lt;/TR&gt;&lt;TR&gt;&lt;TD&gt;&lt;/TD&gt;&lt;TD&gt;&lt;/TD&gt;&lt;/TR&gt;&lt;/TABLE&gt;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15266/24-SFPI</vt:lpwstr>
  </property>
  <property fmtid="{D5CDD505-2E9C-101B-9397-08002B2CF9AE}" pid="19" name="Key_BarCode_Pisemnost">
    <vt:lpwstr>*B000744489*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15266/24-SFPI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objednávky 41/24/IND -	
Terre Due s.r.o., kontrola prostavěnosti inv. prostředků</vt:lpwstr>
  </property>
  <property fmtid="{D5CDD505-2E9C-101B-9397-08002B2CF9AE}" pid="41" name="Zkratka_SpisovyUzel_PoziceZodpo_Pisemnost">
    <vt:lpwstr>SEP</vt:lpwstr>
  </property>
</Properties>
</file>