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12A3" w14:textId="08B9A584" w:rsidR="00D050F2" w:rsidRPr="003D05C9" w:rsidRDefault="00D050F2" w:rsidP="00D050F2">
      <w:pPr>
        <w:rPr>
          <w:rFonts w:ascii="Arial" w:hAnsi="Arial" w:cs="Arial"/>
          <w:b/>
          <w:sz w:val="20"/>
          <w:szCs w:val="20"/>
          <w:u w:val="single"/>
        </w:rPr>
      </w:pPr>
      <w:r w:rsidRPr="003D05C9">
        <w:rPr>
          <w:rFonts w:ascii="Arial" w:hAnsi="Arial" w:cs="Arial"/>
          <w:b/>
          <w:sz w:val="20"/>
          <w:szCs w:val="20"/>
          <w:u w:val="single"/>
        </w:rPr>
        <w:t xml:space="preserve">Příloha č. </w:t>
      </w:r>
      <w:r w:rsidR="002E77EE" w:rsidRPr="003D05C9">
        <w:rPr>
          <w:rFonts w:ascii="Arial" w:hAnsi="Arial" w:cs="Arial"/>
          <w:b/>
          <w:sz w:val="20"/>
          <w:szCs w:val="20"/>
          <w:u w:val="single"/>
        </w:rPr>
        <w:t>2</w:t>
      </w:r>
      <w:r w:rsidRPr="003D05C9">
        <w:rPr>
          <w:rFonts w:ascii="Arial" w:hAnsi="Arial" w:cs="Arial"/>
          <w:b/>
          <w:sz w:val="20"/>
          <w:szCs w:val="20"/>
          <w:u w:val="single"/>
        </w:rPr>
        <w:t xml:space="preserve"> ke smlouvě o dílo:</w:t>
      </w:r>
    </w:p>
    <w:p w14:paraId="7471E4AF" w14:textId="77777777" w:rsidR="00D050F2" w:rsidRPr="003D05C9" w:rsidRDefault="00D050F2" w:rsidP="00D050F2">
      <w:pPr>
        <w:rPr>
          <w:rFonts w:ascii="Arial" w:hAnsi="Arial" w:cs="Arial"/>
          <w:b/>
          <w:sz w:val="20"/>
          <w:szCs w:val="20"/>
          <w:u w:val="single"/>
        </w:rPr>
      </w:pPr>
    </w:p>
    <w:p w14:paraId="505F0156" w14:textId="07CFF03C" w:rsidR="00D050F2" w:rsidRPr="003D05C9" w:rsidRDefault="00D050F2" w:rsidP="00D050F2">
      <w:pPr>
        <w:jc w:val="center"/>
        <w:rPr>
          <w:rFonts w:ascii="Arial" w:hAnsi="Arial" w:cs="Arial"/>
          <w:b/>
          <w:sz w:val="20"/>
          <w:szCs w:val="20"/>
          <w:u w:val="single"/>
        </w:rPr>
      </w:pPr>
      <w:r w:rsidRPr="003D05C9">
        <w:rPr>
          <w:rFonts w:ascii="Arial" w:hAnsi="Arial" w:cs="Arial"/>
          <w:b/>
          <w:sz w:val="20"/>
          <w:szCs w:val="20"/>
          <w:u w:val="single"/>
        </w:rPr>
        <w:t>Podrobná specifikace požadavků objednatele</w:t>
      </w:r>
    </w:p>
    <w:p w14:paraId="4F3FCFAA" w14:textId="5E0E8A7E" w:rsidR="00EF2A56" w:rsidRPr="003D05C9" w:rsidRDefault="00EF2A56" w:rsidP="00D050F2">
      <w:pPr>
        <w:jc w:val="center"/>
        <w:rPr>
          <w:rFonts w:ascii="Arial" w:hAnsi="Arial" w:cs="Arial"/>
          <w:b/>
          <w:sz w:val="20"/>
          <w:szCs w:val="20"/>
          <w:u w:val="single"/>
        </w:rPr>
      </w:pPr>
    </w:p>
    <w:p w14:paraId="3CFE5530" w14:textId="0416E802" w:rsidR="00FB79A4" w:rsidRDefault="00FB79A4" w:rsidP="003D05C9">
      <w:pPr>
        <w:spacing w:after="200" w:line="276" w:lineRule="auto"/>
        <w:contextualSpacing/>
        <w:jc w:val="both"/>
        <w:rPr>
          <w:rFonts w:ascii="Arial" w:hAnsi="Arial" w:cs="Arial"/>
          <w:bCs/>
          <w:sz w:val="20"/>
          <w:szCs w:val="20"/>
        </w:rPr>
      </w:pPr>
    </w:p>
    <w:p w14:paraId="59C2BF07" w14:textId="77777777" w:rsidR="00426D52" w:rsidRDefault="00426D52" w:rsidP="003D05C9">
      <w:pPr>
        <w:spacing w:after="200" w:line="276" w:lineRule="auto"/>
        <w:contextualSpacing/>
        <w:jc w:val="both"/>
        <w:rPr>
          <w:rFonts w:ascii="Arial" w:hAnsi="Arial" w:cs="Arial"/>
          <w:b/>
          <w:sz w:val="20"/>
          <w:szCs w:val="20"/>
          <w:u w:val="single"/>
        </w:rPr>
      </w:pPr>
    </w:p>
    <w:p w14:paraId="7DCF58D5" w14:textId="7A2B6377" w:rsidR="00FB79A4" w:rsidRPr="005263DF" w:rsidRDefault="00FB79A4" w:rsidP="003D05C9">
      <w:pPr>
        <w:spacing w:after="200" w:line="276" w:lineRule="auto"/>
        <w:contextualSpacing/>
        <w:jc w:val="both"/>
        <w:rPr>
          <w:rFonts w:ascii="Arial" w:hAnsi="Arial" w:cs="Arial"/>
          <w:b/>
          <w:sz w:val="20"/>
          <w:szCs w:val="20"/>
          <w:u w:val="single"/>
        </w:rPr>
      </w:pPr>
      <w:r w:rsidRPr="005263DF">
        <w:rPr>
          <w:rFonts w:ascii="Arial" w:hAnsi="Arial" w:cs="Arial"/>
          <w:b/>
          <w:sz w:val="20"/>
          <w:szCs w:val="20"/>
          <w:u w:val="single"/>
        </w:rPr>
        <w:t>Stavebně-technický průzkum objekt</w:t>
      </w:r>
      <w:r w:rsidR="00E6520E">
        <w:rPr>
          <w:rFonts w:ascii="Arial" w:hAnsi="Arial" w:cs="Arial"/>
          <w:b/>
          <w:sz w:val="20"/>
          <w:szCs w:val="20"/>
          <w:u w:val="single"/>
        </w:rPr>
        <w:t>u</w:t>
      </w:r>
      <w:r w:rsidRPr="005263DF">
        <w:rPr>
          <w:rFonts w:ascii="Arial" w:hAnsi="Arial" w:cs="Arial"/>
          <w:b/>
          <w:sz w:val="20"/>
          <w:szCs w:val="20"/>
          <w:u w:val="single"/>
        </w:rPr>
        <w:t>:</w:t>
      </w:r>
    </w:p>
    <w:p w14:paraId="37845EF3" w14:textId="361DC7C3" w:rsidR="00426D52" w:rsidRPr="00E6520E" w:rsidRDefault="00E6520E" w:rsidP="00E6520E">
      <w:pPr>
        <w:pStyle w:val="Odstavecseseznamem"/>
        <w:numPr>
          <w:ilvl w:val="0"/>
          <w:numId w:val="13"/>
        </w:numPr>
        <w:spacing w:after="200" w:line="276" w:lineRule="auto"/>
        <w:jc w:val="both"/>
        <w:rPr>
          <w:rFonts w:ascii="Arial" w:hAnsi="Arial" w:cs="Arial"/>
          <w:bCs/>
          <w:sz w:val="20"/>
          <w:szCs w:val="20"/>
          <w:lang w:eastAsia="en-US"/>
        </w:rPr>
      </w:pPr>
      <w:r w:rsidRPr="00E6520E">
        <w:rPr>
          <w:rFonts w:ascii="Arial" w:hAnsi="Arial" w:cs="Arial"/>
          <w:bCs/>
          <w:sz w:val="20"/>
          <w:szCs w:val="20"/>
          <w:lang w:eastAsia="en-US"/>
        </w:rPr>
        <w:t>Diagnostika základ</w:t>
      </w:r>
      <w:r>
        <w:rPr>
          <w:rFonts w:ascii="Arial" w:hAnsi="Arial" w:cs="Arial"/>
          <w:bCs/>
          <w:sz w:val="20"/>
          <w:szCs w:val="20"/>
          <w:lang w:eastAsia="en-US"/>
        </w:rPr>
        <w:t>ů, která je zmíněna v provedeném stavebně technickém posouzení zpracovaném pro účely studie. V rámci tohoto průzkumu bude zdokumentována pevnost stávajícího zdiva, základové poměry (rozměry a materiál základových konstrukcí, zemina podloží) a stav stávajících betonových konstrukcí.</w:t>
      </w:r>
    </w:p>
    <w:p w14:paraId="651C1470" w14:textId="17846B7B" w:rsidR="00FB79A4" w:rsidRDefault="00FB79A4" w:rsidP="006E01A8">
      <w:pPr>
        <w:widowControl w:val="0"/>
        <w:autoSpaceDE w:val="0"/>
        <w:autoSpaceDN w:val="0"/>
        <w:adjustRightInd w:val="0"/>
        <w:jc w:val="both"/>
        <w:rPr>
          <w:rFonts w:ascii="Arial" w:hAnsi="Arial" w:cs="Arial"/>
          <w:sz w:val="20"/>
          <w:szCs w:val="20"/>
        </w:rPr>
      </w:pPr>
      <w:r w:rsidRPr="00FB79A4">
        <w:rPr>
          <w:rFonts w:ascii="Arial" w:hAnsi="Arial" w:cs="Arial"/>
          <w:sz w:val="20"/>
          <w:szCs w:val="20"/>
        </w:rPr>
        <w:t>Stavebně</w:t>
      </w:r>
      <w:r>
        <w:rPr>
          <w:rFonts w:ascii="Arial" w:hAnsi="Arial" w:cs="Arial"/>
          <w:sz w:val="20"/>
          <w:szCs w:val="20"/>
        </w:rPr>
        <w:t xml:space="preserve">-technickým průzkumem objektů dle této smlouvy se rozumí provedení </w:t>
      </w:r>
      <w:r w:rsidR="00F0053F">
        <w:rPr>
          <w:rFonts w:ascii="Arial" w:hAnsi="Arial" w:cs="Arial"/>
          <w:sz w:val="20"/>
          <w:szCs w:val="20"/>
        </w:rPr>
        <w:t>výše</w:t>
      </w:r>
      <w:r>
        <w:rPr>
          <w:rFonts w:ascii="Arial" w:hAnsi="Arial" w:cs="Arial"/>
          <w:sz w:val="20"/>
          <w:szCs w:val="20"/>
        </w:rPr>
        <w:t xml:space="preserve"> uvedených průzkumů, které zajistí objednatel. Závěry z provedených průzkumů předá objednatel zhotoviteli. O předání průzkumů bude vyhotoven předávací protokol. </w:t>
      </w:r>
      <w:r w:rsidR="004660A7">
        <w:rPr>
          <w:rFonts w:ascii="Arial" w:hAnsi="Arial" w:cs="Arial"/>
          <w:sz w:val="20"/>
          <w:szCs w:val="20"/>
        </w:rPr>
        <w:t xml:space="preserve">Závěry z provedených průzkumů budou zohledněny při zpracování </w:t>
      </w:r>
      <w:r w:rsidR="00F0053F">
        <w:rPr>
          <w:rFonts w:ascii="Arial" w:hAnsi="Arial" w:cs="Arial"/>
          <w:sz w:val="20"/>
          <w:szCs w:val="20"/>
        </w:rPr>
        <w:t>d</w:t>
      </w:r>
      <w:r w:rsidR="004660A7">
        <w:rPr>
          <w:rFonts w:ascii="Arial" w:hAnsi="Arial" w:cs="Arial"/>
          <w:sz w:val="20"/>
          <w:szCs w:val="20"/>
        </w:rPr>
        <w:t>okumentace pro provedení stavby.</w:t>
      </w:r>
    </w:p>
    <w:p w14:paraId="19BE6D6B" w14:textId="39786203" w:rsidR="00F0053F" w:rsidRDefault="00F0053F" w:rsidP="006E01A8">
      <w:pPr>
        <w:widowControl w:val="0"/>
        <w:autoSpaceDE w:val="0"/>
        <w:autoSpaceDN w:val="0"/>
        <w:adjustRightInd w:val="0"/>
        <w:jc w:val="both"/>
        <w:rPr>
          <w:rFonts w:ascii="Arial" w:hAnsi="Arial" w:cs="Arial"/>
          <w:sz w:val="20"/>
          <w:szCs w:val="20"/>
        </w:rPr>
      </w:pPr>
    </w:p>
    <w:p w14:paraId="6A92CA2C" w14:textId="6F35FD55" w:rsidR="00831E45" w:rsidRPr="00831E45" w:rsidRDefault="00831E45" w:rsidP="00831E45">
      <w:pPr>
        <w:tabs>
          <w:tab w:val="left" w:pos="284"/>
        </w:tabs>
        <w:jc w:val="both"/>
        <w:rPr>
          <w:rFonts w:ascii="Arial" w:hAnsi="Arial" w:cs="Arial"/>
          <w:b/>
          <w:bCs/>
          <w:sz w:val="20"/>
          <w:szCs w:val="20"/>
          <w:u w:val="single"/>
        </w:rPr>
      </w:pPr>
      <w:r w:rsidRPr="00831E45">
        <w:rPr>
          <w:rFonts w:ascii="Arial" w:hAnsi="Arial" w:cs="Arial"/>
          <w:b/>
          <w:bCs/>
          <w:sz w:val="20"/>
          <w:szCs w:val="20"/>
          <w:u w:val="single"/>
        </w:rPr>
        <w:t xml:space="preserve">Dokumentace pro povolení záměru dle § 157 zákona č. 283/2021 Sb., Stavební zákon </w:t>
      </w:r>
    </w:p>
    <w:p w14:paraId="5A54D326" w14:textId="77777777" w:rsidR="00F0053F" w:rsidRPr="00FB79A4" w:rsidRDefault="00F0053F" w:rsidP="006E01A8">
      <w:pPr>
        <w:widowControl w:val="0"/>
        <w:autoSpaceDE w:val="0"/>
        <w:autoSpaceDN w:val="0"/>
        <w:adjustRightInd w:val="0"/>
        <w:jc w:val="both"/>
        <w:rPr>
          <w:rFonts w:ascii="Arial" w:hAnsi="Arial" w:cs="Arial"/>
          <w:sz w:val="20"/>
          <w:szCs w:val="20"/>
        </w:rPr>
      </w:pPr>
    </w:p>
    <w:p w14:paraId="0FE9CA4C" w14:textId="34E61F36" w:rsidR="006E01A8" w:rsidRDefault="00831E45" w:rsidP="00EF2A56">
      <w:pPr>
        <w:rPr>
          <w:rFonts w:ascii="Arial" w:hAnsi="Arial" w:cs="Arial"/>
          <w:bCs/>
          <w:sz w:val="20"/>
          <w:szCs w:val="20"/>
        </w:rPr>
      </w:pPr>
      <w:bookmarkStart w:id="0" w:name="_Hlk158283022"/>
      <w:r w:rsidRPr="00831E45">
        <w:rPr>
          <w:rFonts w:ascii="Arial" w:hAnsi="Arial" w:cs="Arial"/>
          <w:sz w:val="20"/>
          <w:szCs w:val="20"/>
        </w:rPr>
        <w:t xml:space="preserve">Projektová dokumentace bude vyhotovena </w:t>
      </w:r>
      <w:r w:rsidRPr="00831E45">
        <w:rPr>
          <w:rFonts w:ascii="Arial" w:hAnsi="Arial" w:cs="Arial"/>
          <w:bCs/>
          <w:sz w:val="20"/>
          <w:szCs w:val="20"/>
        </w:rPr>
        <w:t xml:space="preserve">v souladu se zákonem </w:t>
      </w:r>
      <w:r w:rsidRPr="00831E45">
        <w:rPr>
          <w:rFonts w:ascii="Arial" w:hAnsi="Arial" w:cs="Arial"/>
          <w:sz w:val="20"/>
          <w:szCs w:val="20"/>
        </w:rPr>
        <w:t>č. 283/2021 Sb., Stavební zákon</w:t>
      </w:r>
      <w:bookmarkEnd w:id="0"/>
      <w:r w:rsidRPr="00831E45">
        <w:rPr>
          <w:rFonts w:ascii="Arial" w:hAnsi="Arial" w:cs="Arial"/>
          <w:bCs/>
          <w:sz w:val="20"/>
          <w:szCs w:val="20"/>
        </w:rPr>
        <w:t>, a veškerých prováděcích vyhlášek ke stavebnímu zákonu</w:t>
      </w:r>
      <w:r>
        <w:rPr>
          <w:rFonts w:ascii="Arial" w:hAnsi="Arial" w:cs="Arial"/>
          <w:bCs/>
          <w:sz w:val="20"/>
          <w:szCs w:val="20"/>
        </w:rPr>
        <w:t>.</w:t>
      </w:r>
      <w:r w:rsidR="00426D52">
        <w:rPr>
          <w:rFonts w:ascii="Arial" w:hAnsi="Arial" w:cs="Arial"/>
          <w:bCs/>
          <w:sz w:val="20"/>
          <w:szCs w:val="20"/>
        </w:rPr>
        <w:t xml:space="preserve"> </w:t>
      </w:r>
      <w:r w:rsidR="00426D52" w:rsidRPr="00831E45">
        <w:rPr>
          <w:rFonts w:ascii="Arial" w:hAnsi="Arial" w:cs="Arial"/>
          <w:sz w:val="20"/>
          <w:szCs w:val="20"/>
        </w:rPr>
        <w:t xml:space="preserve">Projektová dokumentace </w:t>
      </w:r>
      <w:r w:rsidR="00426D52" w:rsidRPr="00426D52">
        <w:rPr>
          <w:rFonts w:ascii="Arial" w:hAnsi="Arial" w:cs="Arial"/>
          <w:bCs/>
          <w:sz w:val="20"/>
          <w:szCs w:val="20"/>
        </w:rPr>
        <w:t xml:space="preserve">bude zpracována tak, aby na jejím základě bylo vydáno </w:t>
      </w:r>
      <w:r w:rsidR="00426D52">
        <w:rPr>
          <w:rFonts w:ascii="Arial" w:hAnsi="Arial" w:cs="Arial"/>
          <w:bCs/>
          <w:sz w:val="20"/>
          <w:szCs w:val="20"/>
        </w:rPr>
        <w:t xml:space="preserve">územní rozhodnutí a </w:t>
      </w:r>
      <w:r w:rsidR="00426D52" w:rsidRPr="00426D52">
        <w:rPr>
          <w:rFonts w:ascii="Arial" w:hAnsi="Arial" w:cs="Arial"/>
          <w:bCs/>
          <w:sz w:val="20"/>
          <w:szCs w:val="20"/>
        </w:rPr>
        <w:t>stavební povolení.</w:t>
      </w:r>
    </w:p>
    <w:p w14:paraId="092F0E46" w14:textId="77777777" w:rsidR="00831E45" w:rsidRPr="00831E45" w:rsidRDefault="00831E45" w:rsidP="00EF2A56">
      <w:pPr>
        <w:rPr>
          <w:rFonts w:ascii="Arial" w:hAnsi="Arial" w:cs="Arial"/>
          <w:bCs/>
          <w:sz w:val="20"/>
          <w:szCs w:val="20"/>
        </w:rPr>
      </w:pPr>
    </w:p>
    <w:p w14:paraId="46757F24" w14:textId="77777777" w:rsidR="00D050F2" w:rsidRPr="003D05C9" w:rsidRDefault="00D050F2" w:rsidP="00D050F2">
      <w:pPr>
        <w:autoSpaceDE w:val="0"/>
        <w:autoSpaceDN w:val="0"/>
        <w:adjustRightInd w:val="0"/>
        <w:jc w:val="both"/>
        <w:rPr>
          <w:rFonts w:ascii="Arial" w:hAnsi="Arial" w:cs="Arial"/>
          <w:color w:val="000000"/>
          <w:sz w:val="20"/>
          <w:szCs w:val="20"/>
          <w:u w:val="single"/>
        </w:rPr>
      </w:pPr>
    </w:p>
    <w:p w14:paraId="249B60B8" w14:textId="4854ABD7" w:rsidR="00D050F2" w:rsidRPr="003D05C9" w:rsidRDefault="00D050F2" w:rsidP="00D050F2">
      <w:pPr>
        <w:jc w:val="both"/>
        <w:rPr>
          <w:rFonts w:ascii="Arial" w:hAnsi="Arial" w:cs="Arial"/>
          <w:b/>
          <w:sz w:val="20"/>
          <w:szCs w:val="20"/>
          <w:u w:val="single"/>
        </w:rPr>
      </w:pPr>
      <w:r w:rsidRPr="003D05C9">
        <w:rPr>
          <w:rFonts w:ascii="Arial" w:hAnsi="Arial" w:cs="Arial"/>
          <w:b/>
          <w:sz w:val="20"/>
          <w:szCs w:val="20"/>
          <w:u w:val="single"/>
        </w:rPr>
        <w:t xml:space="preserve">Vypracování </w:t>
      </w:r>
      <w:r w:rsidR="00D85676" w:rsidRPr="003D05C9">
        <w:rPr>
          <w:rFonts w:ascii="Arial" w:hAnsi="Arial" w:cs="Arial"/>
          <w:b/>
          <w:sz w:val="20"/>
          <w:szCs w:val="20"/>
          <w:u w:val="single"/>
        </w:rPr>
        <w:t xml:space="preserve">projektové dokumentace pro provedení stavby </w:t>
      </w:r>
    </w:p>
    <w:p w14:paraId="77DA481C" w14:textId="77777777" w:rsidR="00D050F2" w:rsidRPr="003D05C9" w:rsidRDefault="00D050F2" w:rsidP="00D050F2">
      <w:pPr>
        <w:rPr>
          <w:rFonts w:ascii="Arial" w:hAnsi="Arial" w:cs="Arial"/>
          <w:b/>
          <w:sz w:val="20"/>
          <w:szCs w:val="20"/>
          <w:u w:val="single"/>
          <w:lang w:eastAsia="en-US"/>
        </w:rPr>
      </w:pPr>
    </w:p>
    <w:p w14:paraId="0C0D4F23" w14:textId="52D3CBC9" w:rsidR="00D050F2" w:rsidRDefault="00831E45" w:rsidP="00D050F2">
      <w:pPr>
        <w:jc w:val="both"/>
        <w:rPr>
          <w:rFonts w:ascii="Arial" w:hAnsi="Arial" w:cs="Arial"/>
          <w:bCs/>
          <w:sz w:val="20"/>
          <w:szCs w:val="20"/>
        </w:rPr>
      </w:pPr>
      <w:r w:rsidRPr="00831E45">
        <w:rPr>
          <w:rFonts w:ascii="Arial" w:hAnsi="Arial" w:cs="Arial"/>
          <w:sz w:val="20"/>
          <w:szCs w:val="20"/>
        </w:rPr>
        <w:t>Projektová dokumentace bude vyhotovena v souladu se zákonem č. 283/2021 Sb., Stavební zákon, a veškerých prováděcích vyhlášek ke stavebnímu zákonu</w:t>
      </w:r>
      <w:r w:rsidR="00D050F2" w:rsidRPr="003D05C9">
        <w:rPr>
          <w:rFonts w:ascii="Arial" w:hAnsi="Arial" w:cs="Arial"/>
          <w:bCs/>
          <w:sz w:val="20"/>
          <w:szCs w:val="20"/>
        </w:rPr>
        <w:t>, dále v souladu s požadavky zákona č. 134/2016 Sb., o zadávání veřejných zakázek, v platném znění, a vyhláškou č. 169/2016 Sb., o stanovení rozsahu dokumentace veřejné zakázky na stavební práce a soupisu stavebních prací, dodávek a služeb s výkazem výměr</w:t>
      </w:r>
      <w:r w:rsidR="00392CB0" w:rsidRPr="003D05C9">
        <w:rPr>
          <w:rFonts w:ascii="Arial" w:hAnsi="Arial" w:cs="Arial"/>
          <w:bCs/>
          <w:sz w:val="20"/>
          <w:szCs w:val="20"/>
        </w:rPr>
        <w:t>.</w:t>
      </w:r>
    </w:p>
    <w:p w14:paraId="333599B0" w14:textId="77777777" w:rsidR="00831E45" w:rsidRDefault="00831E45" w:rsidP="00D050F2">
      <w:pPr>
        <w:jc w:val="both"/>
        <w:rPr>
          <w:rFonts w:ascii="Arial" w:hAnsi="Arial" w:cs="Arial"/>
          <w:bCs/>
          <w:sz w:val="20"/>
          <w:szCs w:val="20"/>
        </w:rPr>
      </w:pPr>
    </w:p>
    <w:p w14:paraId="1268ECE3" w14:textId="15D96750" w:rsidR="00831E45" w:rsidRPr="00FD0236" w:rsidRDefault="00831E45" w:rsidP="00831E45">
      <w:pPr>
        <w:spacing w:line="280" w:lineRule="atLeast"/>
        <w:jc w:val="both"/>
        <w:rPr>
          <w:rFonts w:ascii="Arial" w:hAnsi="Arial" w:cs="Arial"/>
          <w:bCs/>
          <w:iCs/>
          <w:sz w:val="20"/>
          <w:szCs w:val="20"/>
        </w:rPr>
      </w:pPr>
      <w:r w:rsidRPr="00FD0236">
        <w:rPr>
          <w:rFonts w:ascii="Arial" w:hAnsi="Arial" w:cs="Arial"/>
          <w:bCs/>
          <w:iCs/>
          <w:sz w:val="20"/>
          <w:szCs w:val="20"/>
        </w:rPr>
        <w:t>Projektová dokumentace pro provedení stavby bude propracována až do úrovně jednoznačně určující požadavky na kvalitu a charakteristické vlastnosti stavby, přičemž nesmí být uváděny přímé či nepřímé odkazy na určité dodavatele, výrobky, patenty na vynálezy, užitné vzory, průmyslové vzory, ochranné známky nebo označení původu. Odkaz lze použít, pokud stanovení technických podmínek podle § 89 odst. 1 zákona č. 134/2016 Sb</w:t>
      </w:r>
      <w:r>
        <w:rPr>
          <w:rFonts w:ascii="Arial" w:hAnsi="Arial" w:cs="Arial"/>
          <w:bCs/>
          <w:iCs/>
          <w:sz w:val="20"/>
          <w:szCs w:val="20"/>
        </w:rPr>
        <w:t xml:space="preserve"> o zadávání veřejných zakázek</w:t>
      </w:r>
      <w:r w:rsidRPr="00FD0236">
        <w:rPr>
          <w:rFonts w:ascii="Arial" w:hAnsi="Arial" w:cs="Arial"/>
          <w:bCs/>
          <w:iCs/>
          <w:sz w:val="20"/>
          <w:szCs w:val="20"/>
        </w:rPr>
        <w:t>. nemůže být dostatečně přesné a srozumitelné. U každého takového odkazu je nutno uvést možnost nabídnout rovnocenné řešení. Součástí dokumentace bude zpracování kompletního a přesného položkového rozpočtu a zpracování kompletního a přesného soupisu prací vč. výkazu výměr („slepý rozpočet“).</w:t>
      </w:r>
    </w:p>
    <w:p w14:paraId="38D65ADF" w14:textId="77777777" w:rsidR="00831E45" w:rsidRPr="003D05C9" w:rsidRDefault="00831E45" w:rsidP="00D050F2">
      <w:pPr>
        <w:jc w:val="both"/>
        <w:rPr>
          <w:rFonts w:ascii="Arial" w:hAnsi="Arial" w:cs="Arial"/>
          <w:bCs/>
          <w:sz w:val="20"/>
          <w:szCs w:val="20"/>
        </w:rPr>
      </w:pPr>
    </w:p>
    <w:p w14:paraId="75A1BA05" w14:textId="77777777" w:rsidR="00D050F2" w:rsidRPr="003D05C9" w:rsidRDefault="00D050F2" w:rsidP="00D050F2">
      <w:pPr>
        <w:rPr>
          <w:rFonts w:ascii="Arial" w:hAnsi="Arial" w:cs="Arial"/>
          <w:bCs/>
          <w:sz w:val="20"/>
          <w:szCs w:val="20"/>
        </w:rPr>
      </w:pPr>
    </w:p>
    <w:p w14:paraId="07CA4578" w14:textId="77777777" w:rsidR="00183403" w:rsidRDefault="00183403" w:rsidP="00183403">
      <w:pPr>
        <w:tabs>
          <w:tab w:val="center" w:pos="4536"/>
          <w:tab w:val="right" w:pos="9072"/>
        </w:tabs>
        <w:spacing w:after="200" w:line="276" w:lineRule="auto"/>
        <w:jc w:val="both"/>
        <w:rPr>
          <w:rFonts w:ascii="Arial" w:hAnsi="Arial" w:cs="Arial"/>
          <w:sz w:val="20"/>
          <w:szCs w:val="20"/>
          <w:lang w:eastAsia="en-US"/>
        </w:rPr>
      </w:pPr>
      <w:r w:rsidRPr="00183403">
        <w:rPr>
          <w:rFonts w:ascii="Arial" w:hAnsi="Arial" w:cs="Arial"/>
          <w:bCs/>
          <w:sz w:val="20"/>
          <w:szCs w:val="20"/>
        </w:rPr>
        <w:t>S</w:t>
      </w:r>
      <w:r w:rsidR="005C5357" w:rsidRPr="00183403">
        <w:rPr>
          <w:rFonts w:ascii="Arial" w:hAnsi="Arial" w:cs="Arial"/>
          <w:bCs/>
          <w:sz w:val="20"/>
          <w:szCs w:val="20"/>
        </w:rPr>
        <w:t>oučástí</w:t>
      </w:r>
      <w:r>
        <w:rPr>
          <w:rFonts w:ascii="Arial" w:hAnsi="Arial" w:cs="Arial"/>
          <w:bCs/>
          <w:sz w:val="20"/>
          <w:szCs w:val="20"/>
        </w:rPr>
        <w:t xml:space="preserve"> </w:t>
      </w:r>
      <w:r>
        <w:rPr>
          <w:rFonts w:ascii="Arial" w:hAnsi="Arial" w:cs="Arial"/>
          <w:bCs/>
          <w:iCs/>
          <w:sz w:val="20"/>
          <w:szCs w:val="20"/>
        </w:rPr>
        <w:t>p</w:t>
      </w:r>
      <w:r w:rsidRPr="00FD0236">
        <w:rPr>
          <w:rFonts w:ascii="Arial" w:hAnsi="Arial" w:cs="Arial"/>
          <w:bCs/>
          <w:iCs/>
          <w:sz w:val="20"/>
          <w:szCs w:val="20"/>
        </w:rPr>
        <w:t>rojektov</w:t>
      </w:r>
      <w:r>
        <w:rPr>
          <w:rFonts w:ascii="Arial" w:hAnsi="Arial" w:cs="Arial"/>
          <w:bCs/>
          <w:iCs/>
          <w:sz w:val="20"/>
          <w:szCs w:val="20"/>
        </w:rPr>
        <w:t>é</w:t>
      </w:r>
      <w:r w:rsidRPr="00FD0236">
        <w:rPr>
          <w:rFonts w:ascii="Arial" w:hAnsi="Arial" w:cs="Arial"/>
          <w:bCs/>
          <w:iCs/>
          <w:sz w:val="20"/>
          <w:szCs w:val="20"/>
        </w:rPr>
        <w:t xml:space="preserve"> dokumentace pro provedení stavby</w:t>
      </w:r>
      <w:r w:rsidR="005C5357" w:rsidRPr="00183403">
        <w:rPr>
          <w:rFonts w:ascii="Arial" w:hAnsi="Arial" w:cs="Arial"/>
          <w:bCs/>
          <w:sz w:val="20"/>
          <w:szCs w:val="20"/>
        </w:rPr>
        <w:t xml:space="preserve"> budou technické podmínky (specifikace), včetně seznamu norem, použitých při jejím zpracování, zpracovaná </w:t>
      </w:r>
      <w:r>
        <w:rPr>
          <w:rFonts w:ascii="Arial" w:hAnsi="Arial" w:cs="Arial"/>
          <w:bCs/>
          <w:sz w:val="20"/>
          <w:szCs w:val="20"/>
        </w:rPr>
        <w:t>dokumentace</w:t>
      </w:r>
      <w:r w:rsidR="005C5357" w:rsidRPr="00183403">
        <w:rPr>
          <w:rFonts w:ascii="Arial" w:hAnsi="Arial" w:cs="Arial"/>
          <w:bCs/>
          <w:sz w:val="20"/>
          <w:szCs w:val="20"/>
        </w:rPr>
        <w:t xml:space="preserve"> bude obsahovat zatřídění odpadů včetně návrhu jejich likvidace. Do </w:t>
      </w:r>
      <w:r>
        <w:rPr>
          <w:rFonts w:ascii="Arial" w:hAnsi="Arial" w:cs="Arial"/>
          <w:bCs/>
          <w:sz w:val="20"/>
          <w:szCs w:val="20"/>
        </w:rPr>
        <w:t>dokumentace</w:t>
      </w:r>
      <w:r w:rsidR="005C5357" w:rsidRPr="00183403">
        <w:rPr>
          <w:rFonts w:ascii="Arial" w:hAnsi="Arial" w:cs="Arial"/>
          <w:bCs/>
          <w:sz w:val="20"/>
          <w:szCs w:val="20"/>
        </w:rPr>
        <w:t xml:space="preserve"> budou zapracovány případné podmínky a požadavky plynoucí ze stavebního povolení a vyjádření dotčených orgánů</w:t>
      </w:r>
      <w:r w:rsidR="003B6576" w:rsidRPr="00183403">
        <w:rPr>
          <w:rFonts w:ascii="Arial" w:hAnsi="Arial" w:cs="Arial"/>
          <w:bCs/>
          <w:sz w:val="20"/>
          <w:szCs w:val="20"/>
        </w:rPr>
        <w:t xml:space="preserve"> státní správy</w:t>
      </w:r>
      <w:r w:rsidR="005C5357" w:rsidRPr="00183403">
        <w:rPr>
          <w:rFonts w:ascii="Arial" w:hAnsi="Arial" w:cs="Arial"/>
          <w:bCs/>
          <w:sz w:val="20"/>
          <w:szCs w:val="20"/>
        </w:rPr>
        <w:t xml:space="preserve">. </w:t>
      </w:r>
    </w:p>
    <w:p w14:paraId="30A92EA3" w14:textId="05B464D0" w:rsidR="00D050F2" w:rsidRPr="003D05C9" w:rsidRDefault="00183403" w:rsidP="00183403">
      <w:pPr>
        <w:tabs>
          <w:tab w:val="center" w:pos="4536"/>
          <w:tab w:val="right" w:pos="9072"/>
        </w:tabs>
        <w:spacing w:after="200" w:line="276" w:lineRule="auto"/>
        <w:jc w:val="both"/>
        <w:rPr>
          <w:rFonts w:ascii="Arial" w:hAnsi="Arial" w:cs="Arial"/>
          <w:sz w:val="20"/>
          <w:szCs w:val="20"/>
          <w:lang w:eastAsia="en-US"/>
        </w:rPr>
      </w:pPr>
      <w:r>
        <w:rPr>
          <w:rFonts w:ascii="Arial" w:hAnsi="Arial" w:cs="Arial"/>
          <w:sz w:val="20"/>
          <w:szCs w:val="20"/>
          <w:lang w:eastAsia="en-US"/>
        </w:rPr>
        <w:t>R</w:t>
      </w:r>
      <w:r w:rsidR="00D050F2" w:rsidRPr="003D05C9">
        <w:rPr>
          <w:rFonts w:ascii="Arial" w:hAnsi="Arial" w:cs="Arial"/>
          <w:sz w:val="20"/>
          <w:szCs w:val="20"/>
        </w:rPr>
        <w:t xml:space="preserve">ozpracovaná </w:t>
      </w:r>
      <w:r>
        <w:rPr>
          <w:rFonts w:ascii="Arial" w:hAnsi="Arial" w:cs="Arial"/>
          <w:sz w:val="20"/>
          <w:szCs w:val="20"/>
        </w:rPr>
        <w:t>dokumentace</w:t>
      </w:r>
      <w:r w:rsidR="00D050F2" w:rsidRPr="003D05C9">
        <w:rPr>
          <w:rFonts w:ascii="Arial" w:hAnsi="Arial" w:cs="Arial"/>
          <w:sz w:val="20"/>
          <w:szCs w:val="20"/>
        </w:rPr>
        <w:t xml:space="preserve"> musí být projednána se všemi vlastníky dotčených pozemků a zařízení</w:t>
      </w:r>
      <w:r>
        <w:rPr>
          <w:rFonts w:ascii="Arial" w:hAnsi="Arial" w:cs="Arial"/>
          <w:sz w:val="20"/>
          <w:szCs w:val="20"/>
        </w:rPr>
        <w:t>.</w:t>
      </w:r>
    </w:p>
    <w:p w14:paraId="69E9C20E" w14:textId="371DCDE6" w:rsidR="00D050F2" w:rsidRPr="003D05C9" w:rsidRDefault="00183403" w:rsidP="00183403">
      <w:pPr>
        <w:spacing w:after="200" w:line="276" w:lineRule="auto"/>
        <w:jc w:val="both"/>
        <w:rPr>
          <w:rFonts w:ascii="Arial" w:hAnsi="Arial" w:cs="Arial"/>
          <w:sz w:val="20"/>
          <w:szCs w:val="20"/>
        </w:rPr>
      </w:pPr>
      <w:r>
        <w:rPr>
          <w:rFonts w:ascii="Arial" w:hAnsi="Arial" w:cs="Arial"/>
          <w:sz w:val="20"/>
          <w:szCs w:val="20"/>
        </w:rPr>
        <w:t>V</w:t>
      </w:r>
      <w:r w:rsidR="00D050F2" w:rsidRPr="003D05C9">
        <w:rPr>
          <w:rFonts w:ascii="Arial" w:hAnsi="Arial" w:cs="Arial"/>
          <w:sz w:val="20"/>
          <w:szCs w:val="20"/>
        </w:rPr>
        <w:t> průběhu projektování bude zhotovitel svolávat jednání týkající se zpracování dokumentace, popřípadě včasné projednání vzniklé problematiky za účasti všech zainteresovaných</w:t>
      </w:r>
    </w:p>
    <w:p w14:paraId="47C67E02" w14:textId="687EA66B" w:rsidR="00D050F2" w:rsidRPr="003D05C9" w:rsidRDefault="00183403" w:rsidP="00183403">
      <w:pPr>
        <w:tabs>
          <w:tab w:val="center" w:pos="4536"/>
          <w:tab w:val="right" w:pos="9072"/>
        </w:tabs>
        <w:spacing w:after="200" w:line="276" w:lineRule="auto"/>
        <w:jc w:val="both"/>
        <w:rPr>
          <w:rFonts w:ascii="Arial" w:hAnsi="Arial" w:cs="Arial"/>
          <w:sz w:val="20"/>
          <w:szCs w:val="20"/>
        </w:rPr>
      </w:pPr>
      <w:r>
        <w:rPr>
          <w:rFonts w:ascii="Arial" w:hAnsi="Arial" w:cs="Arial"/>
          <w:bCs/>
          <w:sz w:val="20"/>
          <w:szCs w:val="20"/>
        </w:rPr>
        <w:t>Z</w:t>
      </w:r>
      <w:r w:rsidR="00D050F2" w:rsidRPr="003D05C9">
        <w:rPr>
          <w:rFonts w:ascii="Arial" w:hAnsi="Arial" w:cs="Arial"/>
          <w:bCs/>
          <w:sz w:val="20"/>
          <w:szCs w:val="20"/>
        </w:rPr>
        <w:t xml:space="preserve">hotovitel je povinen na základě výzvy Objednatele předložit rozpracovanou </w:t>
      </w:r>
      <w:r>
        <w:rPr>
          <w:rFonts w:ascii="Arial" w:hAnsi="Arial" w:cs="Arial"/>
          <w:bCs/>
          <w:sz w:val="20"/>
          <w:szCs w:val="20"/>
        </w:rPr>
        <w:t>dokumentaci</w:t>
      </w:r>
      <w:r w:rsidR="00D050F2" w:rsidRPr="003D05C9">
        <w:rPr>
          <w:rFonts w:ascii="Arial" w:hAnsi="Arial" w:cs="Arial"/>
          <w:bCs/>
          <w:sz w:val="20"/>
          <w:szCs w:val="20"/>
        </w:rPr>
        <w:t xml:space="preserve"> k</w:t>
      </w:r>
      <w:r w:rsidR="00CC71B5">
        <w:rPr>
          <w:rFonts w:ascii="Arial" w:hAnsi="Arial" w:cs="Arial"/>
          <w:bCs/>
          <w:sz w:val="20"/>
          <w:szCs w:val="20"/>
        </w:rPr>
        <w:t> dílčímu projednání</w:t>
      </w:r>
      <w:r w:rsidR="009205DC">
        <w:rPr>
          <w:rFonts w:ascii="Arial" w:hAnsi="Arial" w:cs="Arial"/>
          <w:bCs/>
          <w:sz w:val="20"/>
          <w:szCs w:val="20"/>
        </w:rPr>
        <w:t>,</w:t>
      </w:r>
      <w:r w:rsidR="00D050F2" w:rsidRPr="003D05C9">
        <w:rPr>
          <w:rFonts w:ascii="Arial" w:hAnsi="Arial" w:cs="Arial"/>
          <w:bCs/>
          <w:sz w:val="20"/>
          <w:szCs w:val="20"/>
        </w:rPr>
        <w:t xml:space="preserve"> a to do tří (3) pracovních dnů ode dne doručení emailové písemné výzvy Objednatele. Zhotovitel je povinen v průběhu jejího zpracování projednávat řešení </w:t>
      </w:r>
      <w:r>
        <w:rPr>
          <w:rFonts w:ascii="Arial" w:hAnsi="Arial" w:cs="Arial"/>
          <w:bCs/>
          <w:sz w:val="20"/>
          <w:szCs w:val="20"/>
        </w:rPr>
        <w:t>dokumentace</w:t>
      </w:r>
      <w:r w:rsidR="00D050F2" w:rsidRPr="003D05C9">
        <w:rPr>
          <w:rFonts w:ascii="Arial" w:hAnsi="Arial" w:cs="Arial"/>
          <w:bCs/>
          <w:sz w:val="20"/>
          <w:szCs w:val="20"/>
        </w:rPr>
        <w:t xml:space="preserve"> s Objednatelem na výrobních výborech, a to minimálně v rozsahu vstupního výrobního výboru před zahájením prací dle </w:t>
      </w:r>
      <w:r w:rsidR="00D050F2" w:rsidRPr="003D05C9">
        <w:rPr>
          <w:rFonts w:ascii="Arial" w:hAnsi="Arial" w:cs="Arial"/>
          <w:bCs/>
          <w:sz w:val="20"/>
          <w:szCs w:val="20"/>
        </w:rPr>
        <w:lastRenderedPageBreak/>
        <w:t xml:space="preserve">této Smlouvy a jednoho výrobního výboru v průběhu provádění prací a závěrečného výrobního výboru před předáním </w:t>
      </w:r>
      <w:r>
        <w:rPr>
          <w:rFonts w:ascii="Arial" w:hAnsi="Arial" w:cs="Arial"/>
          <w:bCs/>
          <w:sz w:val="20"/>
          <w:szCs w:val="20"/>
        </w:rPr>
        <w:t>dokumentace</w:t>
      </w:r>
      <w:r w:rsidR="00D050F2" w:rsidRPr="003D05C9">
        <w:rPr>
          <w:rFonts w:ascii="Arial" w:hAnsi="Arial" w:cs="Arial"/>
          <w:bCs/>
          <w:sz w:val="20"/>
          <w:szCs w:val="20"/>
        </w:rPr>
        <w:t xml:space="preserve"> Objednateli k jejímu odsouhlasení (1 stejnopis). O konkrétním termínu konání výrobního výboru bude Zhotovitel informovat Objednatele písemně nejméně 5 pracovních dnů před jeho konáním.  Jakékoliv schválení </w:t>
      </w:r>
      <w:r>
        <w:rPr>
          <w:rFonts w:ascii="Arial" w:hAnsi="Arial" w:cs="Arial"/>
          <w:bCs/>
          <w:sz w:val="20"/>
          <w:szCs w:val="20"/>
        </w:rPr>
        <w:t>dokumentace</w:t>
      </w:r>
      <w:r w:rsidR="00D050F2" w:rsidRPr="003D05C9">
        <w:rPr>
          <w:rFonts w:ascii="Arial" w:hAnsi="Arial" w:cs="Arial"/>
          <w:bCs/>
          <w:sz w:val="20"/>
          <w:szCs w:val="20"/>
        </w:rPr>
        <w:t xml:space="preserve"> ze strany Objednatele v žádném případě nenahrazuje výstupní kontrolu Zhotovitele a nezbavuje Zhotovitele jeho odpovědnosti za správnost, úplnost a proveditelnost </w:t>
      </w:r>
      <w:r>
        <w:rPr>
          <w:rFonts w:ascii="Arial" w:hAnsi="Arial" w:cs="Arial"/>
          <w:bCs/>
          <w:sz w:val="20"/>
          <w:szCs w:val="20"/>
        </w:rPr>
        <w:t>dokumentace</w:t>
      </w:r>
      <w:r w:rsidR="00D050F2" w:rsidRPr="003D05C9">
        <w:rPr>
          <w:rFonts w:ascii="Arial" w:hAnsi="Arial" w:cs="Arial"/>
          <w:bCs/>
          <w:sz w:val="20"/>
          <w:szCs w:val="20"/>
        </w:rPr>
        <w:t>.</w:t>
      </w:r>
    </w:p>
    <w:p w14:paraId="64A0F69F" w14:textId="2F8562ED" w:rsidR="005C5357" w:rsidRPr="003D05C9" w:rsidRDefault="00183403" w:rsidP="00E6520E">
      <w:pPr>
        <w:tabs>
          <w:tab w:val="left" w:pos="284"/>
        </w:tabs>
        <w:spacing w:after="200" w:line="276" w:lineRule="auto"/>
        <w:jc w:val="both"/>
        <w:rPr>
          <w:rFonts w:ascii="Arial" w:hAnsi="Arial" w:cs="Arial"/>
          <w:sz w:val="20"/>
          <w:szCs w:val="20"/>
        </w:rPr>
      </w:pPr>
      <w:r>
        <w:rPr>
          <w:rFonts w:ascii="Arial" w:hAnsi="Arial" w:cs="Arial"/>
          <w:sz w:val="20"/>
          <w:szCs w:val="20"/>
        </w:rPr>
        <w:t xml:space="preserve">Dokumentace </w:t>
      </w:r>
      <w:r w:rsidR="00D050F2" w:rsidRPr="003D05C9">
        <w:rPr>
          <w:rFonts w:ascii="Arial" w:hAnsi="Arial" w:cs="Arial"/>
          <w:sz w:val="20"/>
          <w:szCs w:val="20"/>
        </w:rPr>
        <w:t xml:space="preserve">musí obsahovat ZOV, včetně </w:t>
      </w:r>
      <w:r w:rsidR="00CC71B5">
        <w:rPr>
          <w:rFonts w:ascii="Arial" w:hAnsi="Arial" w:cs="Arial"/>
          <w:sz w:val="20"/>
          <w:szCs w:val="20"/>
        </w:rPr>
        <w:t xml:space="preserve">předběžného </w:t>
      </w:r>
      <w:r w:rsidR="00D050F2" w:rsidRPr="003D05C9">
        <w:rPr>
          <w:rFonts w:ascii="Arial" w:hAnsi="Arial" w:cs="Arial"/>
          <w:sz w:val="20"/>
          <w:szCs w:val="20"/>
        </w:rPr>
        <w:t>časového harmonogramu</w:t>
      </w:r>
      <w:r>
        <w:rPr>
          <w:rFonts w:ascii="Arial" w:hAnsi="Arial" w:cs="Arial"/>
          <w:sz w:val="20"/>
          <w:szCs w:val="20"/>
        </w:rPr>
        <w:t>.</w:t>
      </w:r>
    </w:p>
    <w:p w14:paraId="39366F16" w14:textId="77777777" w:rsidR="00D050F2" w:rsidRPr="003D05C9" w:rsidRDefault="00D050F2" w:rsidP="00183403">
      <w:pPr>
        <w:spacing w:after="200"/>
        <w:contextualSpacing/>
        <w:rPr>
          <w:rFonts w:ascii="Arial" w:hAnsi="Arial" w:cs="Arial"/>
          <w:b/>
          <w:sz w:val="20"/>
          <w:szCs w:val="20"/>
          <w:u w:val="single"/>
          <w:lang w:eastAsia="en-US"/>
        </w:rPr>
      </w:pPr>
    </w:p>
    <w:p w14:paraId="78505E9A" w14:textId="25EB500F" w:rsidR="00D050F2" w:rsidRPr="003D05C9" w:rsidRDefault="00D050F2" w:rsidP="00D050F2">
      <w:pPr>
        <w:tabs>
          <w:tab w:val="left" w:pos="142"/>
        </w:tabs>
        <w:spacing w:after="240"/>
        <w:contextualSpacing/>
        <w:rPr>
          <w:rFonts w:ascii="Arial" w:hAnsi="Arial" w:cs="Arial"/>
          <w:sz w:val="20"/>
          <w:szCs w:val="20"/>
          <w:u w:val="single"/>
          <w:lang w:eastAsia="en-US"/>
        </w:rPr>
      </w:pPr>
      <w:r w:rsidRPr="003D05C9">
        <w:rPr>
          <w:rFonts w:ascii="Arial" w:hAnsi="Arial" w:cs="Arial"/>
          <w:sz w:val="20"/>
          <w:szCs w:val="20"/>
          <w:u w:val="single"/>
          <w:lang w:eastAsia="en-US"/>
        </w:rPr>
        <w:t>Součástí dokumentace bude:</w:t>
      </w:r>
    </w:p>
    <w:p w14:paraId="3E4A4251" w14:textId="77777777" w:rsidR="00D050F2" w:rsidRPr="003D05C9" w:rsidRDefault="00D050F2" w:rsidP="00D050F2">
      <w:pPr>
        <w:tabs>
          <w:tab w:val="left" w:pos="142"/>
        </w:tabs>
        <w:spacing w:after="240"/>
        <w:contextualSpacing/>
        <w:rPr>
          <w:rFonts w:ascii="Arial" w:hAnsi="Arial" w:cs="Arial"/>
          <w:sz w:val="20"/>
          <w:szCs w:val="20"/>
          <w:lang w:eastAsia="en-US"/>
        </w:rPr>
      </w:pPr>
    </w:p>
    <w:p w14:paraId="41DEE761" w14:textId="77777777" w:rsidR="00D050F2" w:rsidRPr="005263DF" w:rsidRDefault="00D050F2" w:rsidP="00D050F2">
      <w:pPr>
        <w:numPr>
          <w:ilvl w:val="0"/>
          <w:numId w:val="6"/>
        </w:numPr>
        <w:tabs>
          <w:tab w:val="left" w:pos="142"/>
        </w:tabs>
        <w:spacing w:after="200" w:line="276" w:lineRule="auto"/>
        <w:contextualSpacing/>
        <w:jc w:val="both"/>
        <w:rPr>
          <w:rFonts w:ascii="Arial" w:hAnsi="Arial" w:cs="Arial"/>
          <w:sz w:val="20"/>
          <w:szCs w:val="20"/>
          <w:lang w:eastAsia="en-US"/>
        </w:rPr>
      </w:pPr>
      <w:r w:rsidRPr="005263DF">
        <w:rPr>
          <w:rFonts w:ascii="Arial" w:hAnsi="Arial" w:cs="Arial"/>
          <w:sz w:val="20"/>
          <w:szCs w:val="20"/>
          <w:lang w:eastAsia="en-US"/>
        </w:rPr>
        <w:t>statické posouzení objektu</w:t>
      </w:r>
    </w:p>
    <w:p w14:paraId="27DE3472" w14:textId="6E707909" w:rsidR="00D050F2" w:rsidRPr="005263DF" w:rsidRDefault="00D050F2" w:rsidP="00D050F2">
      <w:pPr>
        <w:numPr>
          <w:ilvl w:val="0"/>
          <w:numId w:val="6"/>
        </w:numPr>
        <w:tabs>
          <w:tab w:val="left" w:pos="142"/>
        </w:tabs>
        <w:spacing w:after="200" w:line="276" w:lineRule="auto"/>
        <w:contextualSpacing/>
        <w:jc w:val="both"/>
        <w:rPr>
          <w:rFonts w:ascii="Arial" w:hAnsi="Arial" w:cs="Arial"/>
          <w:sz w:val="20"/>
          <w:szCs w:val="20"/>
          <w:lang w:eastAsia="en-US"/>
        </w:rPr>
      </w:pPr>
      <w:r w:rsidRPr="005263DF">
        <w:rPr>
          <w:rFonts w:ascii="Arial" w:hAnsi="Arial" w:cs="Arial"/>
          <w:sz w:val="20"/>
          <w:szCs w:val="20"/>
          <w:lang w:eastAsia="en-US"/>
        </w:rPr>
        <w:t xml:space="preserve">zásady organizace výstavby (ZOV), včetně </w:t>
      </w:r>
      <w:r w:rsidR="00CC71B5" w:rsidRPr="005263DF">
        <w:rPr>
          <w:rFonts w:ascii="Arial" w:hAnsi="Arial" w:cs="Arial"/>
          <w:sz w:val="20"/>
          <w:szCs w:val="20"/>
          <w:lang w:eastAsia="en-US"/>
        </w:rPr>
        <w:t xml:space="preserve">předběžného </w:t>
      </w:r>
      <w:r w:rsidRPr="005263DF">
        <w:rPr>
          <w:rFonts w:ascii="Arial" w:hAnsi="Arial" w:cs="Arial"/>
          <w:sz w:val="20"/>
          <w:szCs w:val="20"/>
          <w:lang w:eastAsia="en-US"/>
        </w:rPr>
        <w:t>časového harmonogramu</w:t>
      </w:r>
    </w:p>
    <w:p w14:paraId="4C057F7B" w14:textId="77777777" w:rsidR="00183403" w:rsidRDefault="00183403" w:rsidP="005263DF">
      <w:pPr>
        <w:tabs>
          <w:tab w:val="left" w:pos="142"/>
        </w:tabs>
        <w:spacing w:after="200" w:line="276" w:lineRule="auto"/>
        <w:contextualSpacing/>
        <w:jc w:val="both"/>
        <w:rPr>
          <w:rFonts w:ascii="Arial" w:hAnsi="Arial" w:cs="Arial"/>
          <w:sz w:val="20"/>
          <w:szCs w:val="20"/>
          <w:lang w:eastAsia="en-US"/>
        </w:rPr>
      </w:pPr>
    </w:p>
    <w:p w14:paraId="25673495" w14:textId="0EDB89DF" w:rsidR="00183403" w:rsidRPr="00183403" w:rsidRDefault="00183403" w:rsidP="00183403">
      <w:pPr>
        <w:rPr>
          <w:rFonts w:ascii="Arial" w:hAnsi="Arial" w:cs="Arial"/>
          <w:color w:val="000000"/>
          <w:sz w:val="20"/>
          <w:szCs w:val="20"/>
          <w:lang w:eastAsia="en-US"/>
        </w:rPr>
      </w:pPr>
      <w:r w:rsidRPr="00183403">
        <w:rPr>
          <w:rFonts w:ascii="Arial" w:hAnsi="Arial" w:cs="Arial"/>
          <w:color w:val="000000"/>
          <w:sz w:val="20"/>
          <w:szCs w:val="20"/>
          <w:lang w:eastAsia="en-US"/>
        </w:rPr>
        <w:t xml:space="preserve">Při zpracování </w:t>
      </w:r>
      <w:r w:rsidRPr="00183403">
        <w:rPr>
          <w:rFonts w:ascii="Arial" w:hAnsi="Arial" w:cs="Arial"/>
          <w:bCs/>
          <w:iCs/>
          <w:sz w:val="20"/>
          <w:szCs w:val="20"/>
        </w:rPr>
        <w:t>projektové dokumentace pro provedení stavby bude zhotovitel s</w:t>
      </w:r>
      <w:r w:rsidRPr="00183403">
        <w:rPr>
          <w:rFonts w:ascii="Arial" w:hAnsi="Arial" w:cs="Arial"/>
          <w:color w:val="000000"/>
          <w:sz w:val="20"/>
          <w:szCs w:val="20"/>
          <w:lang w:eastAsia="en-US"/>
        </w:rPr>
        <w:t xml:space="preserve">polupracovat s koordinátorem BOZP podle zákona č. 309/2006 Sb.,§ 14 čl.2) a § 18 čl.1) ve fázi přípravy stavby. Tento koordinátor BOZP bude určen zadavatelem. </w:t>
      </w:r>
    </w:p>
    <w:p w14:paraId="563E0C35" w14:textId="77777777" w:rsidR="00183403" w:rsidRDefault="00183403" w:rsidP="005263DF">
      <w:pPr>
        <w:tabs>
          <w:tab w:val="left" w:pos="142"/>
        </w:tabs>
        <w:spacing w:after="200" w:line="276" w:lineRule="auto"/>
        <w:contextualSpacing/>
        <w:jc w:val="both"/>
        <w:rPr>
          <w:rFonts w:ascii="Arial" w:hAnsi="Arial" w:cs="Arial"/>
          <w:sz w:val="20"/>
          <w:szCs w:val="20"/>
          <w:lang w:eastAsia="en-US"/>
        </w:rPr>
      </w:pPr>
    </w:p>
    <w:p w14:paraId="0A262EFD" w14:textId="77777777" w:rsidR="00D050F2" w:rsidRPr="003D05C9" w:rsidRDefault="00D050F2" w:rsidP="00E6520E">
      <w:pPr>
        <w:tabs>
          <w:tab w:val="left" w:pos="142"/>
        </w:tabs>
        <w:spacing w:after="200"/>
        <w:contextualSpacing/>
        <w:rPr>
          <w:rFonts w:ascii="Arial" w:hAnsi="Arial" w:cs="Arial"/>
          <w:sz w:val="20"/>
          <w:szCs w:val="20"/>
          <w:lang w:eastAsia="en-US"/>
        </w:rPr>
      </w:pPr>
    </w:p>
    <w:p w14:paraId="75E566CA" w14:textId="77777777" w:rsidR="00D050F2" w:rsidRPr="003D05C9" w:rsidRDefault="00D050F2" w:rsidP="00D050F2">
      <w:pPr>
        <w:tabs>
          <w:tab w:val="left" w:pos="142"/>
        </w:tabs>
        <w:jc w:val="both"/>
        <w:rPr>
          <w:rFonts w:ascii="Arial" w:hAnsi="Arial" w:cs="Arial"/>
          <w:b/>
          <w:bCs/>
          <w:sz w:val="20"/>
          <w:szCs w:val="20"/>
          <w:u w:val="single"/>
        </w:rPr>
      </w:pPr>
      <w:r w:rsidRPr="003D05C9">
        <w:rPr>
          <w:rFonts w:ascii="Arial" w:hAnsi="Arial" w:cs="Arial"/>
          <w:b/>
          <w:bCs/>
          <w:sz w:val="20"/>
          <w:szCs w:val="20"/>
          <w:u w:val="single"/>
        </w:rPr>
        <w:t>Inženýrská činnost ke SP</w:t>
      </w:r>
    </w:p>
    <w:p w14:paraId="7CA54D23" w14:textId="77777777" w:rsidR="00D050F2" w:rsidRPr="003D05C9" w:rsidRDefault="00D050F2" w:rsidP="00D050F2">
      <w:pPr>
        <w:tabs>
          <w:tab w:val="left" w:pos="142"/>
        </w:tabs>
        <w:spacing w:after="200"/>
        <w:contextualSpacing/>
        <w:rPr>
          <w:rFonts w:ascii="Arial" w:hAnsi="Arial" w:cs="Arial"/>
          <w:bCs/>
          <w:sz w:val="20"/>
          <w:szCs w:val="20"/>
          <w:u w:val="single"/>
          <w:lang w:eastAsia="en-US"/>
        </w:rPr>
      </w:pPr>
    </w:p>
    <w:p w14:paraId="6C8D3E5C" w14:textId="6016F255" w:rsidR="00D050F2" w:rsidRDefault="00D050F2" w:rsidP="00D050F2">
      <w:pPr>
        <w:numPr>
          <w:ilvl w:val="0"/>
          <w:numId w:val="7"/>
        </w:numPr>
        <w:spacing w:after="200" w:line="276" w:lineRule="auto"/>
        <w:contextualSpacing/>
        <w:jc w:val="both"/>
        <w:rPr>
          <w:rFonts w:ascii="Arial" w:hAnsi="Arial" w:cs="Arial"/>
          <w:bCs/>
          <w:sz w:val="20"/>
          <w:szCs w:val="20"/>
          <w:lang w:eastAsia="en-US"/>
        </w:rPr>
      </w:pPr>
      <w:r w:rsidRPr="003D05C9">
        <w:rPr>
          <w:rFonts w:ascii="Arial" w:hAnsi="Arial" w:cs="Arial"/>
          <w:bCs/>
          <w:sz w:val="20"/>
          <w:szCs w:val="20"/>
          <w:lang w:eastAsia="en-US"/>
        </w:rPr>
        <w:t xml:space="preserve">součástí plnění je rovněž inženýrská činnost nezbytná pro získání </w:t>
      </w:r>
      <w:r w:rsidR="00183403">
        <w:rPr>
          <w:rFonts w:ascii="Arial" w:hAnsi="Arial" w:cs="Arial"/>
          <w:bCs/>
          <w:sz w:val="20"/>
          <w:szCs w:val="20"/>
          <w:lang w:eastAsia="en-US"/>
        </w:rPr>
        <w:t xml:space="preserve">územního rozhodnutí a </w:t>
      </w:r>
      <w:r w:rsidRPr="003D05C9">
        <w:rPr>
          <w:rFonts w:ascii="Arial" w:hAnsi="Arial" w:cs="Arial"/>
          <w:bCs/>
          <w:sz w:val="20"/>
          <w:szCs w:val="20"/>
          <w:lang w:eastAsia="en-US"/>
        </w:rPr>
        <w:t xml:space="preserve">stavebního povolení - tj. </w:t>
      </w:r>
      <w:r w:rsidRPr="003D05C9">
        <w:rPr>
          <w:rFonts w:ascii="Arial" w:hAnsi="Arial" w:cs="Arial"/>
          <w:sz w:val="20"/>
          <w:szCs w:val="20"/>
          <w:lang w:eastAsia="en-US"/>
        </w:rPr>
        <w:t xml:space="preserve">zejména projednání </w:t>
      </w:r>
      <w:r w:rsidR="00E75DE5" w:rsidRPr="003D05C9">
        <w:rPr>
          <w:rFonts w:ascii="Arial" w:hAnsi="Arial" w:cs="Arial"/>
          <w:sz w:val="20"/>
          <w:szCs w:val="20"/>
          <w:lang w:eastAsia="en-US"/>
        </w:rPr>
        <w:t>dokumentace</w:t>
      </w:r>
      <w:r w:rsidRPr="003D05C9">
        <w:rPr>
          <w:rFonts w:ascii="Arial" w:hAnsi="Arial" w:cs="Arial"/>
          <w:sz w:val="20"/>
          <w:szCs w:val="20"/>
          <w:lang w:eastAsia="en-US"/>
        </w:rPr>
        <w:t xml:space="preserve"> s dotčenými orgány státní správy a účastníky správního řízení vedeného u příslušného stavebního úřadu a zajištění souhrnného stanoviska ORP MMP, vše </w:t>
      </w:r>
      <w:r w:rsidRPr="003D05C9">
        <w:rPr>
          <w:rFonts w:ascii="Arial" w:hAnsi="Arial" w:cs="Arial"/>
          <w:bCs/>
          <w:sz w:val="20"/>
          <w:szCs w:val="20"/>
          <w:lang w:eastAsia="en-US"/>
        </w:rPr>
        <w:t>za účelem získání bezrozporových kladných stanovisek k navrženému projektovému řešení, podání žádosti o stavební povolení, inženýrská činnost spojená s řízením o stavební povolení a vydání stavebního povolení.</w:t>
      </w:r>
      <w:r w:rsidR="0063718B" w:rsidRPr="003D05C9">
        <w:rPr>
          <w:rFonts w:ascii="Arial" w:hAnsi="Arial" w:cs="Arial"/>
          <w:bCs/>
          <w:sz w:val="20"/>
          <w:szCs w:val="20"/>
          <w:lang w:eastAsia="en-US"/>
        </w:rPr>
        <w:t xml:space="preserve"> </w:t>
      </w:r>
    </w:p>
    <w:p w14:paraId="1DA2FE6D" w14:textId="77777777" w:rsidR="00183403" w:rsidRPr="003D05C9" w:rsidRDefault="00183403" w:rsidP="00183403">
      <w:pPr>
        <w:spacing w:after="200" w:line="276" w:lineRule="auto"/>
        <w:ind w:left="720"/>
        <w:contextualSpacing/>
        <w:jc w:val="both"/>
        <w:rPr>
          <w:rFonts w:ascii="Arial" w:hAnsi="Arial" w:cs="Arial"/>
          <w:bCs/>
          <w:sz w:val="20"/>
          <w:szCs w:val="20"/>
          <w:lang w:eastAsia="en-US"/>
        </w:rPr>
      </w:pPr>
    </w:p>
    <w:p w14:paraId="019E3900" w14:textId="2237B9DA" w:rsidR="00D050F2" w:rsidRPr="003D05C9" w:rsidRDefault="00D050F2" w:rsidP="00D050F2">
      <w:pPr>
        <w:numPr>
          <w:ilvl w:val="0"/>
          <w:numId w:val="7"/>
        </w:numPr>
        <w:spacing w:after="200" w:line="276" w:lineRule="auto"/>
        <w:contextualSpacing/>
        <w:jc w:val="both"/>
        <w:rPr>
          <w:rFonts w:ascii="Arial" w:hAnsi="Arial" w:cs="Arial"/>
          <w:sz w:val="20"/>
          <w:szCs w:val="20"/>
          <w:lang w:eastAsia="en-US"/>
        </w:rPr>
      </w:pPr>
      <w:r w:rsidRPr="003D05C9">
        <w:rPr>
          <w:rFonts w:ascii="Arial" w:hAnsi="Arial" w:cs="Arial"/>
          <w:sz w:val="20"/>
          <w:szCs w:val="20"/>
          <w:lang w:eastAsia="en-US"/>
        </w:rPr>
        <w:t xml:space="preserve">výkon inženýrské činnosti zahrnuje rovněž projednání </w:t>
      </w:r>
      <w:r w:rsidR="00183403">
        <w:rPr>
          <w:rFonts w:ascii="Arial" w:hAnsi="Arial" w:cs="Arial"/>
          <w:sz w:val="20"/>
          <w:szCs w:val="20"/>
          <w:lang w:eastAsia="en-US"/>
        </w:rPr>
        <w:t xml:space="preserve">projektové </w:t>
      </w:r>
      <w:r w:rsidR="00183403" w:rsidRPr="00FD0236">
        <w:rPr>
          <w:rFonts w:ascii="Arial" w:hAnsi="Arial" w:cs="Arial"/>
          <w:bCs/>
          <w:iCs/>
          <w:sz w:val="20"/>
          <w:szCs w:val="20"/>
        </w:rPr>
        <w:t>dokumentace pro provedení stavby</w:t>
      </w:r>
      <w:r w:rsidRPr="003D05C9">
        <w:rPr>
          <w:rFonts w:ascii="Arial" w:hAnsi="Arial" w:cs="Arial"/>
          <w:sz w:val="20"/>
          <w:szCs w:val="20"/>
          <w:lang w:eastAsia="en-US"/>
        </w:rPr>
        <w:t xml:space="preserve">, jak v průběhu jejího zpracování, tak i po dopracování konečné verze se všemi zainteresovanými složkami, vlastníky nemovitostí stavbou dotčených a se stavbou sousedících a získání souhlasných stanovisek vnitřních odborů objednatele. Pro výkon IČ (závěrečné projednání, podání žádosti o stavební povolení a jednání během stavebního řízení), bude objednatelem udělena písemná plná moc. </w:t>
      </w:r>
    </w:p>
    <w:p w14:paraId="12D9C820" w14:textId="77777777" w:rsidR="00D050F2" w:rsidRPr="003D05C9" w:rsidRDefault="00D050F2" w:rsidP="00D050F2">
      <w:pPr>
        <w:tabs>
          <w:tab w:val="left" w:pos="142"/>
        </w:tabs>
        <w:spacing w:after="240"/>
        <w:contextualSpacing/>
        <w:rPr>
          <w:rFonts w:ascii="Arial" w:hAnsi="Arial" w:cs="Arial"/>
          <w:sz w:val="20"/>
          <w:szCs w:val="20"/>
          <w:lang w:eastAsia="en-US"/>
        </w:rPr>
      </w:pPr>
    </w:p>
    <w:p w14:paraId="2BF8D0CD" w14:textId="77777777" w:rsidR="00D050F2" w:rsidRPr="003D05C9" w:rsidRDefault="00D050F2" w:rsidP="00D050F2">
      <w:pPr>
        <w:tabs>
          <w:tab w:val="left" w:pos="142"/>
        </w:tabs>
        <w:jc w:val="both"/>
        <w:rPr>
          <w:rFonts w:ascii="Arial" w:hAnsi="Arial" w:cs="Arial"/>
          <w:sz w:val="20"/>
          <w:szCs w:val="20"/>
        </w:rPr>
      </w:pPr>
    </w:p>
    <w:p w14:paraId="1364F79E" w14:textId="32EB08F6" w:rsidR="005263DF" w:rsidRPr="005263DF" w:rsidRDefault="005263DF" w:rsidP="005263DF">
      <w:pPr>
        <w:tabs>
          <w:tab w:val="left" w:pos="142"/>
        </w:tabs>
        <w:spacing w:after="200" w:line="276" w:lineRule="auto"/>
        <w:contextualSpacing/>
        <w:jc w:val="both"/>
        <w:rPr>
          <w:rFonts w:ascii="Arial" w:hAnsi="Arial" w:cs="Arial"/>
          <w:b/>
          <w:bCs/>
          <w:sz w:val="20"/>
          <w:szCs w:val="20"/>
          <w:highlight w:val="green"/>
          <w:u w:val="single"/>
          <w:lang w:eastAsia="en-US"/>
        </w:rPr>
      </w:pPr>
      <w:r w:rsidRPr="005263DF">
        <w:rPr>
          <w:rFonts w:ascii="Arial" w:hAnsi="Arial" w:cs="Arial"/>
          <w:b/>
          <w:bCs/>
          <w:sz w:val="20"/>
          <w:szCs w:val="20"/>
          <w:u w:val="single"/>
          <w:lang w:eastAsia="en-US"/>
        </w:rPr>
        <w:t>Neoceněný a oceněný soupis stavebních prací dodávek a služeb s výkazem výměr:</w:t>
      </w:r>
    </w:p>
    <w:p w14:paraId="036F0E16" w14:textId="3842EC70" w:rsidR="00D050F2" w:rsidRPr="003D05C9" w:rsidRDefault="00D050F2" w:rsidP="00D050F2">
      <w:pPr>
        <w:tabs>
          <w:tab w:val="center" w:pos="4536"/>
          <w:tab w:val="right" w:pos="9072"/>
        </w:tabs>
        <w:jc w:val="both"/>
        <w:rPr>
          <w:rFonts w:ascii="Arial" w:hAnsi="Arial" w:cs="Arial"/>
          <w:b/>
          <w:sz w:val="20"/>
          <w:szCs w:val="20"/>
        </w:rPr>
      </w:pPr>
    </w:p>
    <w:p w14:paraId="5951AD49" w14:textId="77777777" w:rsidR="005C5357" w:rsidRPr="003D05C9" w:rsidRDefault="005C5357" w:rsidP="00D050F2">
      <w:pPr>
        <w:tabs>
          <w:tab w:val="center" w:pos="4536"/>
          <w:tab w:val="right" w:pos="9072"/>
        </w:tabs>
        <w:jc w:val="both"/>
        <w:rPr>
          <w:rFonts w:ascii="Arial" w:hAnsi="Arial" w:cs="Arial"/>
          <w:b/>
          <w:sz w:val="20"/>
          <w:szCs w:val="20"/>
        </w:rPr>
      </w:pPr>
    </w:p>
    <w:p w14:paraId="567C0BA7" w14:textId="77777777" w:rsidR="00D050F2" w:rsidRPr="003D05C9" w:rsidRDefault="00D050F2" w:rsidP="00D050F2">
      <w:pPr>
        <w:tabs>
          <w:tab w:val="center" w:pos="4536"/>
          <w:tab w:val="right" w:pos="9072"/>
        </w:tabs>
        <w:jc w:val="both"/>
        <w:rPr>
          <w:rFonts w:ascii="Arial" w:hAnsi="Arial" w:cs="Arial"/>
          <w:b/>
          <w:sz w:val="20"/>
          <w:szCs w:val="20"/>
        </w:rPr>
      </w:pPr>
      <w:r w:rsidRPr="003D05C9">
        <w:rPr>
          <w:rFonts w:ascii="Arial" w:hAnsi="Arial" w:cs="Arial"/>
          <w:b/>
          <w:sz w:val="20"/>
          <w:szCs w:val="20"/>
        </w:rPr>
        <w:t>Požadavky na soupis stavebních prací, dodávek a služeb vč. výkazu výměr</w:t>
      </w:r>
    </w:p>
    <w:p w14:paraId="6FD7DF34" w14:textId="77777777" w:rsidR="00D050F2" w:rsidRPr="003D05C9" w:rsidRDefault="00D050F2" w:rsidP="00D050F2">
      <w:pPr>
        <w:tabs>
          <w:tab w:val="center" w:pos="4536"/>
          <w:tab w:val="right" w:pos="9072"/>
        </w:tabs>
        <w:jc w:val="both"/>
        <w:rPr>
          <w:rFonts w:ascii="Arial" w:hAnsi="Arial" w:cs="Arial"/>
          <w:b/>
          <w:sz w:val="20"/>
          <w:szCs w:val="20"/>
        </w:rPr>
      </w:pPr>
    </w:p>
    <w:p w14:paraId="479AD06A" w14:textId="77777777"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soupis stavebních prací, dodávek a služeb s výkazem výměr (dále „Soupis“) musí být zpracován v souladu s vyhláškou č. 169/2016 Sb., o stanovení rozsahu dokumentace veřejné zakázky na stavební práce a soupisu stavebních prací, dodávek a služeb s výkazem výměr a v souladu se zákonem č. 134/2016 Sb., o zadávání veřejných zakázek, v platném znění;</w:t>
      </w:r>
    </w:p>
    <w:p w14:paraId="193A5C89" w14:textId="77777777"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před započetím tvorby Soupisu je zhotovitel povinen konzultovat s objednatelem způsob jeho zpracování. Soupis musí být před vydáním jeho finální verze objednatelem odsouhlasen;</w:t>
      </w:r>
    </w:p>
    <w:p w14:paraId="6EFCA811" w14:textId="2694ED58"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 xml:space="preserve">objednatel si vyhrazuje možnost stanovit vnitřní rozčlenění objektů a provozních souborů odchylně oproti vydané dokumentaci pro stavební povolení, zhotovitel je povinen stanovené vnitřní rozčlenění zapracovat do </w:t>
      </w:r>
      <w:r w:rsidR="00E430E4">
        <w:rPr>
          <w:rFonts w:ascii="Arial" w:hAnsi="Arial" w:cs="Arial"/>
          <w:sz w:val="20"/>
          <w:szCs w:val="20"/>
        </w:rPr>
        <w:t>projektové dokumentace</w:t>
      </w:r>
      <w:r w:rsidRPr="003D05C9">
        <w:rPr>
          <w:rFonts w:ascii="Arial" w:hAnsi="Arial" w:cs="Arial"/>
          <w:sz w:val="20"/>
          <w:szCs w:val="20"/>
        </w:rPr>
        <w:t xml:space="preserve"> vč. Soupisu;</w:t>
      </w:r>
    </w:p>
    <w:p w14:paraId="54FD0A01" w14:textId="77777777"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Bude zpracován s podrobným popisem požadovaných standardů, ne však s odkazy na jednotlivá obchodní označení nebo názvy obchodních firem.</w:t>
      </w:r>
    </w:p>
    <w:p w14:paraId="61DEA864" w14:textId="64BAAC24"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lastRenderedPageBreak/>
        <w:t>Položkový rozpočet bude zpracován v rozsahu odpovídajícímu požadavkům vyhlášky č. 169/2016 Sb. Rozpočet bude předáván také elektronicky ve formátech: .xls, .</w:t>
      </w:r>
      <w:r w:rsidR="00FE0F17" w:rsidRPr="003D05C9">
        <w:rPr>
          <w:rFonts w:ascii="Arial" w:hAnsi="Arial" w:cs="Arial"/>
          <w:sz w:val="20"/>
          <w:szCs w:val="20"/>
        </w:rPr>
        <w:t>XML</w:t>
      </w:r>
      <w:r w:rsidRPr="003D05C9">
        <w:rPr>
          <w:rFonts w:ascii="Arial" w:hAnsi="Arial" w:cs="Arial"/>
          <w:sz w:val="20"/>
          <w:szCs w:val="20"/>
        </w:rPr>
        <w:t>. U požadovaných souborů položkového rozpočtu se musí jednat o exportní soubory software pro tvorbu a kalkulaci rozpočtů.</w:t>
      </w:r>
    </w:p>
    <w:p w14:paraId="35EEF6AB" w14:textId="77777777"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položkový rozpočet pracoval pouze s údaji zaokrouhlenými na 2 desetinná místa tak, aby při jejich násobením měrnou jednotkou nedocházelo k matematickému rozdílu. POZOR  není totožné se zobrazením pouze dvou desetinných míst.</w:t>
      </w:r>
    </w:p>
    <w:p w14:paraId="2B79DF01" w14:textId="77777777" w:rsidR="00D050F2" w:rsidRPr="003D05C9"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Položkový rozpočet musí být zpracován pouze v jedné z cenových soustav ÚRS/RTS tak, aby bylo možné posouzení a porovnání jednotlivých koncových položek rozpočtu na základě cenové databáze ÚRS nebo RTS. V případě neopodstatněného užití jiných cen než uvádí normativ, je objednatel oprávněn požadovat po zhotoviteli (PD) náhradu škody ve výši odpovídající krácení výdajů na hodnotu odpovídající normativům. V případě opodstatněného užití jiných cen než uvádí normativ, případně normativ tyto neuvádí, je zhotovitel povinen na takové položky upozornit objednatele, který jejich užití písemně odsouhlasí.</w:t>
      </w:r>
    </w:p>
    <w:p w14:paraId="2CEBCA0A" w14:textId="33FD6BDC" w:rsidR="00D050F2" w:rsidRPr="00E430E4" w:rsidRDefault="00D050F2" w:rsidP="00D050F2">
      <w:pPr>
        <w:numPr>
          <w:ilvl w:val="0"/>
          <w:numId w:val="2"/>
        </w:numPr>
        <w:tabs>
          <w:tab w:val="center" w:pos="4536"/>
          <w:tab w:val="right" w:pos="9072"/>
        </w:tabs>
        <w:spacing w:after="200" w:line="276" w:lineRule="auto"/>
        <w:jc w:val="both"/>
        <w:rPr>
          <w:rFonts w:ascii="Arial" w:hAnsi="Arial" w:cs="Arial"/>
          <w:sz w:val="20"/>
          <w:szCs w:val="20"/>
        </w:rPr>
      </w:pPr>
      <w:r w:rsidRPr="003D05C9">
        <w:rPr>
          <w:rFonts w:ascii="Arial" w:hAnsi="Arial" w:cs="Arial"/>
          <w:sz w:val="20"/>
          <w:szCs w:val="20"/>
        </w:rPr>
        <w:t>Pokud je to možné, je nutné rozpočet dokládat bez souborů, kompletů a R-položek. V případě, že položkový rozpočet bude obsahovat soubory, komplety nebo R-položky, je nutné dodat samostatné ocenění položek souborů, kompletů a R-položek.</w:t>
      </w:r>
    </w:p>
    <w:p w14:paraId="6CB2ACC9" w14:textId="77777777" w:rsidR="00D050F2" w:rsidRPr="003D05C9" w:rsidRDefault="00D050F2" w:rsidP="00D050F2">
      <w:pPr>
        <w:numPr>
          <w:ilvl w:val="0"/>
          <w:numId w:val="3"/>
        </w:numPr>
        <w:spacing w:after="200" w:line="276" w:lineRule="auto"/>
        <w:contextualSpacing/>
        <w:jc w:val="both"/>
        <w:rPr>
          <w:rFonts w:ascii="Arial" w:hAnsi="Arial" w:cs="Arial"/>
          <w:iCs/>
          <w:sz w:val="20"/>
          <w:szCs w:val="20"/>
          <w:lang w:eastAsia="en-US"/>
        </w:rPr>
      </w:pPr>
      <w:r w:rsidRPr="003D05C9">
        <w:rPr>
          <w:rFonts w:ascii="Arial" w:hAnsi="Arial" w:cs="Arial"/>
          <w:iCs/>
          <w:sz w:val="20"/>
          <w:szCs w:val="20"/>
          <w:lang w:eastAsia="en-US"/>
        </w:rPr>
        <w:t>Soupis neoceněný i oceněný (rozpočet) bude mít elektronickou podobu ve formátu MS Excel (.xls,.xlsx). Struktura údajů bude odpovídat podmínkám pro export EXCEL VZ datových souborů zpracovaných sw produkty ÚRS Praha a.s. a bude jednotná v rámci celého Soupisu;</w:t>
      </w:r>
    </w:p>
    <w:p w14:paraId="4A03B220" w14:textId="77777777" w:rsidR="007A7D12" w:rsidRPr="003D05C9" w:rsidRDefault="007A7D12" w:rsidP="007A7D12">
      <w:pPr>
        <w:spacing w:after="200" w:line="276" w:lineRule="auto"/>
        <w:contextualSpacing/>
        <w:jc w:val="both"/>
        <w:rPr>
          <w:rFonts w:ascii="Arial" w:hAnsi="Arial" w:cs="Arial"/>
          <w:bCs/>
          <w:sz w:val="20"/>
          <w:szCs w:val="20"/>
          <w:lang w:eastAsia="en-US"/>
        </w:rPr>
      </w:pPr>
    </w:p>
    <w:p w14:paraId="457252E9" w14:textId="77777777" w:rsidR="003D05C9" w:rsidRDefault="003D05C9" w:rsidP="007A7D12">
      <w:pPr>
        <w:spacing w:after="200" w:line="276" w:lineRule="auto"/>
        <w:contextualSpacing/>
        <w:jc w:val="both"/>
        <w:rPr>
          <w:rFonts w:ascii="Arial" w:hAnsi="Arial" w:cs="Arial"/>
          <w:bCs/>
          <w:sz w:val="20"/>
          <w:szCs w:val="20"/>
          <w:lang w:eastAsia="en-US"/>
        </w:rPr>
      </w:pPr>
    </w:p>
    <w:p w14:paraId="70F00174" w14:textId="5AAA3BE0" w:rsidR="00D050F2" w:rsidRPr="003D05C9" w:rsidRDefault="00D050F2" w:rsidP="007A7D12">
      <w:pPr>
        <w:spacing w:after="200" w:line="276" w:lineRule="auto"/>
        <w:contextualSpacing/>
        <w:jc w:val="both"/>
        <w:rPr>
          <w:rFonts w:ascii="Arial" w:hAnsi="Arial" w:cs="Arial"/>
          <w:iCs/>
          <w:sz w:val="20"/>
          <w:szCs w:val="20"/>
          <w:lang w:eastAsia="en-US"/>
        </w:rPr>
      </w:pPr>
      <w:r w:rsidRPr="003D05C9">
        <w:rPr>
          <w:rFonts w:ascii="Arial" w:hAnsi="Arial" w:cs="Arial"/>
          <w:bCs/>
          <w:sz w:val="20"/>
          <w:szCs w:val="20"/>
          <w:lang w:eastAsia="en-US"/>
        </w:rPr>
        <w:t xml:space="preserve">Finální </w:t>
      </w:r>
      <w:r w:rsidR="00E430E4">
        <w:rPr>
          <w:rFonts w:ascii="Arial" w:hAnsi="Arial" w:cs="Arial"/>
          <w:bCs/>
          <w:sz w:val="20"/>
          <w:szCs w:val="20"/>
          <w:lang w:eastAsia="en-US"/>
        </w:rPr>
        <w:t>dokumentace pro provedení stavby</w:t>
      </w:r>
      <w:r w:rsidRPr="003D05C9">
        <w:rPr>
          <w:rFonts w:ascii="Arial" w:hAnsi="Arial" w:cs="Arial"/>
          <w:bCs/>
          <w:sz w:val="20"/>
          <w:szCs w:val="20"/>
          <w:lang w:eastAsia="en-US"/>
        </w:rPr>
        <w:t xml:space="preserve"> bude objednateli předána kompletní včetně všech souvisejících dokladů a Soupisu a to v níže uvedeném rozsahu:</w:t>
      </w:r>
    </w:p>
    <w:p w14:paraId="4274C4F6" w14:textId="77777777" w:rsidR="00D050F2" w:rsidRPr="003D05C9" w:rsidRDefault="00D050F2" w:rsidP="00D050F2">
      <w:pPr>
        <w:tabs>
          <w:tab w:val="center" w:pos="4536"/>
          <w:tab w:val="right" w:pos="9072"/>
        </w:tabs>
        <w:jc w:val="both"/>
        <w:rPr>
          <w:rFonts w:ascii="Arial" w:hAnsi="Arial" w:cs="Arial"/>
          <w:bCs/>
          <w:sz w:val="20"/>
          <w:szCs w:val="20"/>
        </w:rPr>
      </w:pPr>
    </w:p>
    <w:p w14:paraId="14B4FB18" w14:textId="4B5DA442" w:rsidR="00D050F2" w:rsidRPr="003D05C9" w:rsidRDefault="00E75DE5"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6</w:t>
      </w:r>
      <w:r w:rsidR="00D050F2" w:rsidRPr="003D05C9">
        <w:rPr>
          <w:rFonts w:ascii="Arial" w:hAnsi="Arial" w:cs="Arial"/>
          <w:bCs/>
          <w:sz w:val="20"/>
          <w:szCs w:val="20"/>
        </w:rPr>
        <w:t xml:space="preserve"> x DPS v listinné podobě, včetně složky ověřených inženýrských sítí</w:t>
      </w:r>
      <w:r w:rsidR="00D050F2" w:rsidRPr="003D05C9">
        <w:rPr>
          <w:rFonts w:ascii="Arial" w:hAnsi="Arial" w:cs="Arial"/>
          <w:sz w:val="20"/>
          <w:szCs w:val="20"/>
        </w:rPr>
        <w:t xml:space="preserve"> </w:t>
      </w:r>
    </w:p>
    <w:p w14:paraId="7E118681" w14:textId="7D8E68AA" w:rsidR="00D050F2" w:rsidRPr="003D05C9" w:rsidRDefault="00D050F2"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 xml:space="preserve">1 x DPS v elektronické podobě na samostatném CD ve formátu *.pdf  a na dalším samostatném ve formátu *.dwg; </w:t>
      </w:r>
    </w:p>
    <w:p w14:paraId="7C4F2821" w14:textId="77777777" w:rsidR="005C5357" w:rsidRPr="003D05C9" w:rsidRDefault="005C5357" w:rsidP="005C5357">
      <w:pPr>
        <w:pStyle w:val="Odstavecseseznamem"/>
        <w:numPr>
          <w:ilvl w:val="0"/>
          <w:numId w:val="8"/>
        </w:numPr>
        <w:rPr>
          <w:rFonts w:ascii="Arial" w:hAnsi="Arial" w:cs="Arial"/>
          <w:bCs/>
          <w:sz w:val="20"/>
          <w:szCs w:val="20"/>
        </w:rPr>
      </w:pPr>
      <w:r w:rsidRPr="003D05C9">
        <w:rPr>
          <w:rFonts w:ascii="Arial" w:hAnsi="Arial" w:cs="Arial"/>
          <w:bCs/>
          <w:sz w:val="20"/>
          <w:szCs w:val="20"/>
        </w:rPr>
        <w:t xml:space="preserve">1x geodetické zaměření v elektronické podobě na samostatném CD </w:t>
      </w:r>
    </w:p>
    <w:p w14:paraId="5B522B08" w14:textId="77777777" w:rsidR="005C5357" w:rsidRPr="003D05C9" w:rsidRDefault="005C5357" w:rsidP="005C5357">
      <w:pPr>
        <w:tabs>
          <w:tab w:val="center" w:pos="4536"/>
          <w:tab w:val="right" w:pos="9072"/>
        </w:tabs>
        <w:spacing w:after="200" w:line="276" w:lineRule="auto"/>
        <w:ind w:left="1491"/>
        <w:jc w:val="both"/>
        <w:rPr>
          <w:rFonts w:ascii="Arial" w:hAnsi="Arial" w:cs="Arial"/>
          <w:bCs/>
          <w:sz w:val="20"/>
          <w:szCs w:val="20"/>
        </w:rPr>
      </w:pPr>
    </w:p>
    <w:p w14:paraId="01620B50" w14:textId="77777777" w:rsidR="00D050F2" w:rsidRPr="003D05C9" w:rsidRDefault="00D050F2"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1 x neoceněný Soupis v listinné podobě;</w:t>
      </w:r>
    </w:p>
    <w:p w14:paraId="2958A6B3" w14:textId="77777777" w:rsidR="00D050F2" w:rsidRPr="003D05C9" w:rsidRDefault="00D050F2"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1 x CD s neoceněným Soupisem v elektronické podobě ve formátu *.xls, popř. *.xlsx;</w:t>
      </w:r>
    </w:p>
    <w:p w14:paraId="48FFE211" w14:textId="77777777" w:rsidR="00D050F2" w:rsidRPr="003D05C9" w:rsidRDefault="00D050F2"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1 x oceněný Soupis v listinné podobě;</w:t>
      </w:r>
    </w:p>
    <w:p w14:paraId="1B907EA2" w14:textId="77777777" w:rsidR="00D050F2" w:rsidRPr="003D05C9" w:rsidRDefault="00D050F2"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 xml:space="preserve">1 x CD s oceněným Soupisem v elektronické podobě ve formátu  *.xls, popř. *.xlsx </w:t>
      </w:r>
    </w:p>
    <w:p w14:paraId="1156BD8F" w14:textId="77777777" w:rsidR="00D050F2" w:rsidRPr="003D05C9" w:rsidRDefault="00D050F2" w:rsidP="00D050F2">
      <w:pPr>
        <w:numPr>
          <w:ilvl w:val="0"/>
          <w:numId w:val="8"/>
        </w:numPr>
        <w:tabs>
          <w:tab w:val="center" w:pos="4536"/>
          <w:tab w:val="right" w:pos="9072"/>
        </w:tabs>
        <w:spacing w:after="200" w:line="276" w:lineRule="auto"/>
        <w:ind w:left="1491" w:hanging="357"/>
        <w:jc w:val="both"/>
        <w:rPr>
          <w:rFonts w:ascii="Arial" w:hAnsi="Arial" w:cs="Arial"/>
          <w:bCs/>
          <w:sz w:val="20"/>
          <w:szCs w:val="20"/>
        </w:rPr>
      </w:pPr>
      <w:r w:rsidRPr="003D05C9">
        <w:rPr>
          <w:rFonts w:ascii="Arial" w:hAnsi="Arial" w:cs="Arial"/>
          <w:bCs/>
          <w:sz w:val="20"/>
          <w:szCs w:val="20"/>
        </w:rPr>
        <w:t>1x CD s dokladovou částí k DPS vč. závěrečného projednání DPS a ověřených inženýrských sítí.</w:t>
      </w:r>
    </w:p>
    <w:p w14:paraId="1AD8B7B4" w14:textId="77777777" w:rsidR="00B239E4" w:rsidRDefault="00B239E4"/>
    <w:sectPr w:rsidR="00B23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E63"/>
    <w:multiLevelType w:val="hybridMultilevel"/>
    <w:tmpl w:val="70A4B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543BB4"/>
    <w:multiLevelType w:val="hybridMultilevel"/>
    <w:tmpl w:val="FFFFFFFF"/>
    <w:lvl w:ilvl="0" w:tplc="1C7078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2543FE"/>
    <w:multiLevelType w:val="hybridMultilevel"/>
    <w:tmpl w:val="77266E2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D5042BC"/>
    <w:multiLevelType w:val="hybridMultilevel"/>
    <w:tmpl w:val="9278A28C"/>
    <w:lvl w:ilvl="0" w:tplc="04050005">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36501"/>
    <w:multiLevelType w:val="hybridMultilevel"/>
    <w:tmpl w:val="48AE9E80"/>
    <w:lvl w:ilvl="0" w:tplc="0405000B">
      <w:start w:val="1"/>
      <w:numFmt w:val="bullet"/>
      <w:lvlText w:val=""/>
      <w:lvlJc w:val="left"/>
      <w:pPr>
        <w:ind w:left="149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CC5D77"/>
    <w:multiLevelType w:val="hybridMultilevel"/>
    <w:tmpl w:val="B92657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80679E"/>
    <w:multiLevelType w:val="hybridMultilevel"/>
    <w:tmpl w:val="56FC580A"/>
    <w:lvl w:ilvl="0" w:tplc="10D4DE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DA5987"/>
    <w:multiLevelType w:val="hybridMultilevel"/>
    <w:tmpl w:val="F384D854"/>
    <w:lvl w:ilvl="0" w:tplc="04050005">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013D71"/>
    <w:multiLevelType w:val="hybridMultilevel"/>
    <w:tmpl w:val="7FDA2B5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BC69A9"/>
    <w:multiLevelType w:val="hybridMultilevel"/>
    <w:tmpl w:val="9A2620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F906ECE"/>
    <w:multiLevelType w:val="hybridMultilevel"/>
    <w:tmpl w:val="58F419C0"/>
    <w:lvl w:ilvl="0" w:tplc="04050003">
      <w:numFmt w:val="bullet"/>
      <w:lvlText w:val="-"/>
      <w:lvlJc w:val="left"/>
      <w:pPr>
        <w:ind w:left="1440" w:hanging="360"/>
      </w:pPr>
      <w:rPr>
        <w:rFonts w:ascii="Times New Roman" w:eastAsia="Times New Roman" w:hAnsi="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FF465AD"/>
    <w:multiLevelType w:val="hybridMultilevel"/>
    <w:tmpl w:val="D272F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D40DA7"/>
    <w:multiLevelType w:val="hybridMultilevel"/>
    <w:tmpl w:val="2B7ED0F2"/>
    <w:lvl w:ilvl="0" w:tplc="04050005">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3F61F0"/>
    <w:multiLevelType w:val="hybridMultilevel"/>
    <w:tmpl w:val="116CA056"/>
    <w:lvl w:ilvl="0" w:tplc="04050003">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6308041">
    <w:abstractNumId w:val="2"/>
  </w:num>
  <w:num w:numId="2" w16cid:durableId="573243763">
    <w:abstractNumId w:val="8"/>
  </w:num>
  <w:num w:numId="3" w16cid:durableId="1492327783">
    <w:abstractNumId w:val="5"/>
  </w:num>
  <w:num w:numId="4" w16cid:durableId="1484422230">
    <w:abstractNumId w:val="7"/>
  </w:num>
  <w:num w:numId="5" w16cid:durableId="406269554">
    <w:abstractNumId w:val="3"/>
  </w:num>
  <w:num w:numId="6" w16cid:durableId="359362616">
    <w:abstractNumId w:val="13"/>
  </w:num>
  <w:num w:numId="7" w16cid:durableId="571624777">
    <w:abstractNumId w:val="12"/>
  </w:num>
  <w:num w:numId="8" w16cid:durableId="522280365">
    <w:abstractNumId w:val="4"/>
  </w:num>
  <w:num w:numId="9" w16cid:durableId="1948417176">
    <w:abstractNumId w:val="10"/>
  </w:num>
  <w:num w:numId="10" w16cid:durableId="190532010">
    <w:abstractNumId w:val="0"/>
  </w:num>
  <w:num w:numId="11" w16cid:durableId="1208682441">
    <w:abstractNumId w:val="9"/>
  </w:num>
  <w:num w:numId="12" w16cid:durableId="1955089159">
    <w:abstractNumId w:val="11"/>
  </w:num>
  <w:num w:numId="13" w16cid:durableId="290283246">
    <w:abstractNumId w:val="6"/>
  </w:num>
  <w:num w:numId="14" w16cid:durableId="166608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E2"/>
    <w:rsid w:val="00006285"/>
    <w:rsid w:val="000C78E2"/>
    <w:rsid w:val="00162DE2"/>
    <w:rsid w:val="00171944"/>
    <w:rsid w:val="00183403"/>
    <w:rsid w:val="00285D08"/>
    <w:rsid w:val="002A021C"/>
    <w:rsid w:val="002E77EE"/>
    <w:rsid w:val="002F2513"/>
    <w:rsid w:val="00342314"/>
    <w:rsid w:val="00342B2D"/>
    <w:rsid w:val="00370B96"/>
    <w:rsid w:val="00392CB0"/>
    <w:rsid w:val="003B6576"/>
    <w:rsid w:val="003D05C9"/>
    <w:rsid w:val="00426D52"/>
    <w:rsid w:val="004660A7"/>
    <w:rsid w:val="004F616A"/>
    <w:rsid w:val="005263DF"/>
    <w:rsid w:val="005C5357"/>
    <w:rsid w:val="0063718B"/>
    <w:rsid w:val="006E01A8"/>
    <w:rsid w:val="007A7D12"/>
    <w:rsid w:val="00831E45"/>
    <w:rsid w:val="009205DC"/>
    <w:rsid w:val="009652E0"/>
    <w:rsid w:val="0098291B"/>
    <w:rsid w:val="00B239E4"/>
    <w:rsid w:val="00BB6402"/>
    <w:rsid w:val="00C267E1"/>
    <w:rsid w:val="00C63FD4"/>
    <w:rsid w:val="00CA6BA5"/>
    <w:rsid w:val="00CC71B5"/>
    <w:rsid w:val="00D050F2"/>
    <w:rsid w:val="00D85676"/>
    <w:rsid w:val="00DD58C1"/>
    <w:rsid w:val="00E430E4"/>
    <w:rsid w:val="00E6520E"/>
    <w:rsid w:val="00E75DE5"/>
    <w:rsid w:val="00EF2A56"/>
    <w:rsid w:val="00F0053F"/>
    <w:rsid w:val="00F2359E"/>
    <w:rsid w:val="00F43E4F"/>
    <w:rsid w:val="00F56E83"/>
    <w:rsid w:val="00FB79A4"/>
    <w:rsid w:val="00FE0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0337"/>
  <w15:docId w15:val="{B689BBFA-5A82-4845-8AC5-0F10D7DC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E4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7454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SOD</dc:title>
  <dc:subject/>
  <dc:creator>Truhlář Martin</dc:creator>
  <cp:keywords/>
  <dc:description/>
  <cp:lastModifiedBy>Truhlář Martin</cp:lastModifiedBy>
  <cp:revision>2</cp:revision>
  <dcterms:created xsi:type="dcterms:W3CDTF">2024-02-23T07:59:00Z</dcterms:created>
  <dcterms:modified xsi:type="dcterms:W3CDTF">2024-02-23T07:59:00Z</dcterms:modified>
</cp:coreProperties>
</file>