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2CC" w:rsidRDefault="005B72CC">
      <w:pPr>
        <w:jc w:val="center"/>
      </w:pPr>
    </w:p>
    <w:p w:rsidR="005B72CC" w:rsidRDefault="00C11319">
      <w:pPr>
        <w:jc w:val="center"/>
        <w:rPr>
          <w:b/>
        </w:rPr>
      </w:pPr>
      <w:r>
        <w:rPr>
          <w:b/>
        </w:rPr>
        <w:t>Smlouva o dílo ev. č. TO/2024/03</w:t>
      </w:r>
    </w:p>
    <w:p w:rsidR="005B72CC" w:rsidRDefault="00C11319">
      <w:pPr>
        <w:jc w:val="center"/>
        <w:rPr>
          <w:b/>
        </w:rPr>
      </w:pPr>
      <w:r>
        <w:rPr>
          <w:b/>
        </w:rPr>
        <w:t xml:space="preserve">Výměna vnějších výplní otvorů DS Horní Holčovice </w:t>
      </w:r>
      <w:proofErr w:type="spellStart"/>
      <w:r>
        <w:rPr>
          <w:b/>
        </w:rPr>
        <w:t>p.č</w:t>
      </w:r>
      <w:proofErr w:type="spellEnd"/>
      <w:r>
        <w:rPr>
          <w:b/>
        </w:rPr>
        <w:t>. 195</w:t>
      </w:r>
    </w:p>
    <w:p w:rsidR="005B72CC" w:rsidRDefault="00C11319">
      <w:pPr>
        <w:jc w:val="both"/>
      </w:pPr>
      <w:r>
        <w:t xml:space="preserve">  </w:t>
      </w:r>
    </w:p>
    <w:p w:rsidR="005B72CC" w:rsidRDefault="00C11319">
      <w:pPr>
        <w:jc w:val="center"/>
        <w:rPr>
          <w:b/>
        </w:rPr>
      </w:pPr>
      <w:r>
        <w:rPr>
          <w:b/>
        </w:rPr>
        <w:t>I. Smluvní strany</w:t>
      </w:r>
    </w:p>
    <w:p w:rsidR="005B72CC" w:rsidRDefault="005B72CC"/>
    <w:p w:rsidR="005B72CC" w:rsidRDefault="00C11319">
      <w:pPr>
        <w:jc w:val="both"/>
      </w:pPr>
      <w:r>
        <w:t xml:space="preserve">Psychiatrická nemocnice v Opavě, </w:t>
      </w:r>
    </w:p>
    <w:p w:rsidR="005B72CC" w:rsidRDefault="00C11319">
      <w:pPr>
        <w:jc w:val="both"/>
      </w:pPr>
      <w:r>
        <w:t xml:space="preserve">Olomoucká 88/305, 746 01, Opava, </w:t>
      </w:r>
    </w:p>
    <w:p w:rsidR="005B72CC" w:rsidRDefault="00C11319">
      <w:pPr>
        <w:jc w:val="both"/>
      </w:pPr>
      <w:r>
        <w:t>zastoupená ředitelem, Ing. Zdeňkem Jiříčkem</w:t>
      </w:r>
    </w:p>
    <w:p w:rsidR="005B72CC" w:rsidRDefault="00C11319">
      <w:r>
        <w:t xml:space="preserve">IČO:00844004, </w:t>
      </w:r>
    </w:p>
    <w:p w:rsidR="005B72CC" w:rsidRDefault="00C11319">
      <w:r>
        <w:t xml:space="preserve">DIČ: CZ00844004,  </w:t>
      </w:r>
    </w:p>
    <w:p w:rsidR="005B72CC" w:rsidRDefault="00C11319">
      <w:r>
        <w:t xml:space="preserve">Tel.: 553 695 111, Fax.: 553 713 443, e-mail: </w:t>
      </w:r>
      <w:hyperlink r:id="rId8">
        <w:r>
          <w:rPr>
            <w:rStyle w:val="Hypertextovodkaz"/>
            <w:color w:val="auto"/>
          </w:rPr>
          <w:t>pnopava@pnopava.cz</w:t>
        </w:r>
      </w:hyperlink>
      <w:r>
        <w:t xml:space="preserve">, </w:t>
      </w:r>
    </w:p>
    <w:p w:rsidR="005B72CC" w:rsidRDefault="00C11319">
      <w:r>
        <w:t xml:space="preserve">bankovní spojení: Česká národní banka, č. </w:t>
      </w:r>
      <w:proofErr w:type="spellStart"/>
      <w:r>
        <w:t>ú.</w:t>
      </w:r>
      <w:proofErr w:type="spellEnd"/>
      <w:r>
        <w:t>: 10006-339821/0710</w:t>
      </w:r>
    </w:p>
    <w:p w:rsidR="005B72CC" w:rsidRDefault="00C11319">
      <w:r>
        <w:t>(dále jen „objednatel“ nebo „PNO“)</w:t>
      </w:r>
    </w:p>
    <w:p w:rsidR="005B72CC" w:rsidRDefault="005B72CC"/>
    <w:p w:rsidR="005B72CC" w:rsidRDefault="00C11319">
      <w:r>
        <w:t>a</w:t>
      </w:r>
    </w:p>
    <w:p w:rsidR="005B72CC" w:rsidRDefault="005B72CC"/>
    <w:tbl>
      <w:tblPr>
        <w:tblStyle w:val="Mkatabulky"/>
        <w:tblW w:w="9072" w:type="dxa"/>
        <w:tblLayout w:type="fixed"/>
        <w:tblLook w:val="04A0" w:firstRow="1" w:lastRow="0" w:firstColumn="1" w:lastColumn="0" w:noHBand="0" w:noVBand="1"/>
      </w:tblPr>
      <w:tblGrid>
        <w:gridCol w:w="2912"/>
        <w:gridCol w:w="6160"/>
      </w:tblGrid>
      <w:tr w:rsidR="005B72CC">
        <w:tc>
          <w:tcPr>
            <w:tcW w:w="2912" w:type="dxa"/>
            <w:tcBorders>
              <w:top w:val="nil"/>
              <w:left w:val="nil"/>
              <w:bottom w:val="nil"/>
              <w:right w:val="nil"/>
            </w:tcBorders>
          </w:tcPr>
          <w:p w:rsidR="005B72CC" w:rsidRDefault="00C11319">
            <w:pPr>
              <w:tabs>
                <w:tab w:val="left" w:pos="2268"/>
              </w:tabs>
            </w:pPr>
            <w:proofErr w:type="gramStart"/>
            <w:r>
              <w:t>Firma - obchodní</w:t>
            </w:r>
            <w:proofErr w:type="gramEnd"/>
            <w:r>
              <w:t xml:space="preserve"> název:</w:t>
            </w:r>
          </w:p>
        </w:tc>
        <w:tc>
          <w:tcPr>
            <w:tcW w:w="6159" w:type="dxa"/>
            <w:tcBorders>
              <w:top w:val="nil"/>
              <w:left w:val="nil"/>
              <w:bottom w:val="nil"/>
              <w:right w:val="nil"/>
            </w:tcBorders>
          </w:tcPr>
          <w:p w:rsidR="005B72CC" w:rsidRDefault="00C11319">
            <w:pPr>
              <w:tabs>
                <w:tab w:val="left" w:pos="2268"/>
              </w:tabs>
            </w:pPr>
            <w:proofErr w:type="spellStart"/>
            <w:r>
              <w:t>Ing.Radim</w:t>
            </w:r>
            <w:proofErr w:type="spellEnd"/>
            <w:r>
              <w:t xml:space="preserve"> </w:t>
            </w:r>
            <w:proofErr w:type="spellStart"/>
            <w:r>
              <w:t>Kostiha</w:t>
            </w:r>
            <w:proofErr w:type="spellEnd"/>
          </w:p>
        </w:tc>
      </w:tr>
      <w:tr w:rsidR="005B72CC">
        <w:tc>
          <w:tcPr>
            <w:tcW w:w="2912" w:type="dxa"/>
            <w:tcBorders>
              <w:top w:val="nil"/>
              <w:left w:val="nil"/>
              <w:bottom w:val="nil"/>
              <w:right w:val="nil"/>
            </w:tcBorders>
          </w:tcPr>
          <w:p w:rsidR="005B72CC" w:rsidRDefault="00C11319">
            <w:pPr>
              <w:tabs>
                <w:tab w:val="left" w:pos="2268"/>
              </w:tabs>
            </w:pPr>
            <w:r>
              <w:t>Sídlo:</w:t>
            </w:r>
          </w:p>
        </w:tc>
        <w:tc>
          <w:tcPr>
            <w:tcW w:w="6159" w:type="dxa"/>
            <w:tcBorders>
              <w:top w:val="nil"/>
              <w:left w:val="nil"/>
              <w:bottom w:val="nil"/>
              <w:right w:val="nil"/>
            </w:tcBorders>
          </w:tcPr>
          <w:p w:rsidR="005B72CC" w:rsidRDefault="00C11319">
            <w:pPr>
              <w:tabs>
                <w:tab w:val="left" w:pos="2268"/>
              </w:tabs>
            </w:pPr>
            <w:r>
              <w:t>Sokolovská 11</w:t>
            </w:r>
          </w:p>
        </w:tc>
      </w:tr>
      <w:tr w:rsidR="005B72CC">
        <w:tc>
          <w:tcPr>
            <w:tcW w:w="2912" w:type="dxa"/>
            <w:tcBorders>
              <w:top w:val="nil"/>
              <w:left w:val="nil"/>
              <w:bottom w:val="nil"/>
              <w:right w:val="nil"/>
            </w:tcBorders>
          </w:tcPr>
          <w:p w:rsidR="005B72CC" w:rsidRDefault="00C11319">
            <w:pPr>
              <w:tabs>
                <w:tab w:val="left" w:pos="2268"/>
              </w:tabs>
            </w:pPr>
            <w:r>
              <w:t>Zápis v OR (živ. rejstříku):</w:t>
            </w:r>
          </w:p>
        </w:tc>
        <w:tc>
          <w:tcPr>
            <w:tcW w:w="6159" w:type="dxa"/>
            <w:tcBorders>
              <w:top w:val="nil"/>
              <w:left w:val="nil"/>
              <w:bottom w:val="nil"/>
              <w:right w:val="nil"/>
            </w:tcBorders>
          </w:tcPr>
          <w:p w:rsidR="005B72CC" w:rsidRDefault="00C11319">
            <w:pPr>
              <w:tabs>
                <w:tab w:val="left" w:pos="2268"/>
              </w:tabs>
            </w:pPr>
            <w:r>
              <w:t>ŽL Opava</w:t>
            </w:r>
          </w:p>
        </w:tc>
      </w:tr>
      <w:tr w:rsidR="005B72CC">
        <w:tc>
          <w:tcPr>
            <w:tcW w:w="2912" w:type="dxa"/>
            <w:tcBorders>
              <w:top w:val="nil"/>
              <w:left w:val="nil"/>
              <w:bottom w:val="nil"/>
              <w:right w:val="nil"/>
            </w:tcBorders>
          </w:tcPr>
          <w:p w:rsidR="005B72CC" w:rsidRDefault="00C11319">
            <w:pPr>
              <w:tabs>
                <w:tab w:val="left" w:pos="2268"/>
              </w:tabs>
            </w:pPr>
            <w:r>
              <w:t>Statutární orgán:</w:t>
            </w:r>
          </w:p>
        </w:tc>
        <w:tc>
          <w:tcPr>
            <w:tcW w:w="6159" w:type="dxa"/>
            <w:tcBorders>
              <w:top w:val="nil"/>
              <w:left w:val="nil"/>
              <w:bottom w:val="nil"/>
              <w:right w:val="nil"/>
            </w:tcBorders>
          </w:tcPr>
          <w:p w:rsidR="005B72CC" w:rsidRDefault="00C11319">
            <w:pPr>
              <w:tabs>
                <w:tab w:val="left" w:pos="2268"/>
              </w:tabs>
            </w:pPr>
            <w:r>
              <w:t xml:space="preserve">Radim </w:t>
            </w:r>
            <w:proofErr w:type="spellStart"/>
            <w:r>
              <w:t>Kostiha</w:t>
            </w:r>
            <w:proofErr w:type="spellEnd"/>
          </w:p>
        </w:tc>
      </w:tr>
      <w:tr w:rsidR="005B72CC">
        <w:tc>
          <w:tcPr>
            <w:tcW w:w="2912" w:type="dxa"/>
            <w:tcBorders>
              <w:top w:val="nil"/>
              <w:left w:val="nil"/>
              <w:bottom w:val="nil"/>
              <w:right w:val="nil"/>
            </w:tcBorders>
          </w:tcPr>
          <w:p w:rsidR="005B72CC" w:rsidRDefault="00C11319">
            <w:pPr>
              <w:tabs>
                <w:tab w:val="left" w:pos="2268"/>
              </w:tabs>
            </w:pPr>
            <w:r>
              <w:t>Technický zástupce:</w:t>
            </w:r>
          </w:p>
        </w:tc>
        <w:tc>
          <w:tcPr>
            <w:tcW w:w="6159" w:type="dxa"/>
            <w:tcBorders>
              <w:top w:val="nil"/>
              <w:left w:val="nil"/>
              <w:bottom w:val="nil"/>
              <w:right w:val="nil"/>
            </w:tcBorders>
          </w:tcPr>
          <w:p w:rsidR="005B72CC" w:rsidRDefault="00C11319">
            <w:pPr>
              <w:tabs>
                <w:tab w:val="left" w:pos="2268"/>
              </w:tabs>
            </w:pPr>
            <w:r>
              <w:t xml:space="preserve">Radim </w:t>
            </w:r>
            <w:proofErr w:type="spellStart"/>
            <w:r>
              <w:t>Kostiha</w:t>
            </w:r>
            <w:proofErr w:type="spellEnd"/>
          </w:p>
        </w:tc>
      </w:tr>
      <w:tr w:rsidR="005B72CC">
        <w:tc>
          <w:tcPr>
            <w:tcW w:w="2912" w:type="dxa"/>
            <w:tcBorders>
              <w:top w:val="nil"/>
              <w:left w:val="nil"/>
              <w:bottom w:val="nil"/>
              <w:right w:val="nil"/>
            </w:tcBorders>
          </w:tcPr>
          <w:p w:rsidR="005B72CC" w:rsidRDefault="00C11319">
            <w:pPr>
              <w:tabs>
                <w:tab w:val="left" w:pos="2268"/>
              </w:tabs>
            </w:pPr>
            <w:r>
              <w:t>Kontaktní osoba:</w:t>
            </w:r>
          </w:p>
        </w:tc>
        <w:tc>
          <w:tcPr>
            <w:tcW w:w="6159" w:type="dxa"/>
            <w:tcBorders>
              <w:top w:val="nil"/>
              <w:left w:val="nil"/>
              <w:bottom w:val="nil"/>
              <w:right w:val="nil"/>
            </w:tcBorders>
          </w:tcPr>
          <w:p w:rsidR="005B72CC" w:rsidRDefault="00C11319">
            <w:pPr>
              <w:tabs>
                <w:tab w:val="left" w:pos="2268"/>
              </w:tabs>
            </w:pPr>
            <w:r>
              <w:t xml:space="preserve">Radim </w:t>
            </w:r>
            <w:proofErr w:type="spellStart"/>
            <w:r>
              <w:t>Kostiha</w:t>
            </w:r>
            <w:proofErr w:type="spellEnd"/>
          </w:p>
        </w:tc>
      </w:tr>
      <w:tr w:rsidR="005B72CC">
        <w:tc>
          <w:tcPr>
            <w:tcW w:w="2912" w:type="dxa"/>
            <w:tcBorders>
              <w:top w:val="nil"/>
              <w:left w:val="nil"/>
              <w:bottom w:val="nil"/>
              <w:right w:val="nil"/>
            </w:tcBorders>
          </w:tcPr>
          <w:p w:rsidR="005B72CC" w:rsidRDefault="00C11319">
            <w:pPr>
              <w:tabs>
                <w:tab w:val="left" w:pos="2268"/>
              </w:tabs>
            </w:pPr>
            <w:r>
              <w:t>IČ:</w:t>
            </w:r>
          </w:p>
        </w:tc>
        <w:tc>
          <w:tcPr>
            <w:tcW w:w="6159" w:type="dxa"/>
            <w:tcBorders>
              <w:top w:val="nil"/>
              <w:left w:val="nil"/>
              <w:bottom w:val="nil"/>
              <w:right w:val="nil"/>
            </w:tcBorders>
          </w:tcPr>
          <w:p w:rsidR="005B72CC" w:rsidRDefault="00C11319">
            <w:pPr>
              <w:tabs>
                <w:tab w:val="left" w:pos="2268"/>
              </w:tabs>
            </w:pPr>
            <w:r>
              <w:t>67730248</w:t>
            </w:r>
          </w:p>
        </w:tc>
      </w:tr>
      <w:tr w:rsidR="005B72CC">
        <w:tc>
          <w:tcPr>
            <w:tcW w:w="2912" w:type="dxa"/>
            <w:tcBorders>
              <w:top w:val="nil"/>
              <w:left w:val="nil"/>
              <w:bottom w:val="nil"/>
              <w:right w:val="nil"/>
            </w:tcBorders>
          </w:tcPr>
          <w:p w:rsidR="005B72CC" w:rsidRDefault="00C11319">
            <w:pPr>
              <w:tabs>
                <w:tab w:val="left" w:pos="2268"/>
              </w:tabs>
            </w:pPr>
            <w:r>
              <w:t>DIČ:</w:t>
            </w:r>
          </w:p>
        </w:tc>
        <w:tc>
          <w:tcPr>
            <w:tcW w:w="6159" w:type="dxa"/>
            <w:tcBorders>
              <w:top w:val="nil"/>
              <w:left w:val="nil"/>
              <w:bottom w:val="nil"/>
              <w:right w:val="nil"/>
            </w:tcBorders>
          </w:tcPr>
          <w:p w:rsidR="005B72CC" w:rsidRDefault="00C11319">
            <w:pPr>
              <w:tabs>
                <w:tab w:val="left" w:pos="2268"/>
              </w:tabs>
            </w:pPr>
            <w:r>
              <w:t>CZ7704184400</w:t>
            </w:r>
          </w:p>
        </w:tc>
      </w:tr>
      <w:tr w:rsidR="005B72CC">
        <w:tc>
          <w:tcPr>
            <w:tcW w:w="2912" w:type="dxa"/>
            <w:tcBorders>
              <w:top w:val="nil"/>
              <w:left w:val="nil"/>
              <w:bottom w:val="nil"/>
              <w:right w:val="nil"/>
            </w:tcBorders>
          </w:tcPr>
          <w:p w:rsidR="005B72CC" w:rsidRDefault="00C11319" w:rsidP="00C811E5">
            <w:pPr>
              <w:tabs>
                <w:tab w:val="right" w:pos="2696"/>
              </w:tabs>
            </w:pPr>
            <w:r>
              <w:t>Bankovní spojení:</w:t>
            </w:r>
            <w:r w:rsidR="00C811E5">
              <w:tab/>
            </w:r>
          </w:p>
        </w:tc>
        <w:tc>
          <w:tcPr>
            <w:tcW w:w="6159" w:type="dxa"/>
            <w:tcBorders>
              <w:top w:val="nil"/>
              <w:left w:val="nil"/>
              <w:bottom w:val="nil"/>
              <w:right w:val="nil"/>
            </w:tcBorders>
          </w:tcPr>
          <w:p w:rsidR="005B72CC" w:rsidRDefault="00C811E5">
            <w:pPr>
              <w:tabs>
                <w:tab w:val="left" w:pos="2268"/>
              </w:tabs>
            </w:pPr>
            <w:r>
              <w:t>XXXXXXXXXX</w:t>
            </w:r>
          </w:p>
        </w:tc>
      </w:tr>
      <w:tr w:rsidR="005B72CC">
        <w:tc>
          <w:tcPr>
            <w:tcW w:w="2912" w:type="dxa"/>
            <w:tcBorders>
              <w:top w:val="nil"/>
              <w:left w:val="nil"/>
              <w:bottom w:val="nil"/>
              <w:right w:val="nil"/>
            </w:tcBorders>
          </w:tcPr>
          <w:p w:rsidR="005B72CC" w:rsidRDefault="00C11319">
            <w:pPr>
              <w:tabs>
                <w:tab w:val="left" w:pos="2268"/>
              </w:tabs>
            </w:pPr>
            <w:r>
              <w:t>Číslo účtu:</w:t>
            </w:r>
          </w:p>
        </w:tc>
        <w:tc>
          <w:tcPr>
            <w:tcW w:w="6159" w:type="dxa"/>
            <w:tcBorders>
              <w:top w:val="nil"/>
              <w:left w:val="nil"/>
              <w:bottom w:val="nil"/>
              <w:right w:val="nil"/>
            </w:tcBorders>
          </w:tcPr>
          <w:p w:rsidR="005B72CC" w:rsidRDefault="00C811E5">
            <w:pPr>
              <w:tabs>
                <w:tab w:val="left" w:pos="2268"/>
              </w:tabs>
            </w:pPr>
            <w:r>
              <w:t>XXXXXXXXXX</w:t>
            </w:r>
          </w:p>
        </w:tc>
      </w:tr>
      <w:tr w:rsidR="005B72CC">
        <w:tc>
          <w:tcPr>
            <w:tcW w:w="2912" w:type="dxa"/>
            <w:tcBorders>
              <w:top w:val="nil"/>
              <w:left w:val="nil"/>
              <w:bottom w:val="nil"/>
              <w:right w:val="nil"/>
            </w:tcBorders>
          </w:tcPr>
          <w:p w:rsidR="005B72CC" w:rsidRDefault="00C11319">
            <w:pPr>
              <w:tabs>
                <w:tab w:val="left" w:pos="2268"/>
              </w:tabs>
            </w:pPr>
            <w:r>
              <w:t>Telefon:</w:t>
            </w:r>
          </w:p>
        </w:tc>
        <w:tc>
          <w:tcPr>
            <w:tcW w:w="6159" w:type="dxa"/>
            <w:tcBorders>
              <w:top w:val="nil"/>
              <w:left w:val="nil"/>
              <w:bottom w:val="nil"/>
              <w:right w:val="nil"/>
            </w:tcBorders>
          </w:tcPr>
          <w:p w:rsidR="005B72CC" w:rsidRDefault="00C811E5">
            <w:pPr>
              <w:tabs>
                <w:tab w:val="left" w:pos="2268"/>
              </w:tabs>
            </w:pPr>
            <w:r>
              <w:t>XXXXXXXXXX</w:t>
            </w:r>
          </w:p>
        </w:tc>
      </w:tr>
      <w:tr w:rsidR="005B72CC">
        <w:tc>
          <w:tcPr>
            <w:tcW w:w="2912" w:type="dxa"/>
            <w:tcBorders>
              <w:top w:val="nil"/>
              <w:left w:val="nil"/>
              <w:bottom w:val="nil"/>
              <w:right w:val="nil"/>
            </w:tcBorders>
          </w:tcPr>
          <w:p w:rsidR="005B72CC" w:rsidRDefault="00C11319">
            <w:pPr>
              <w:tabs>
                <w:tab w:val="left" w:pos="2268"/>
              </w:tabs>
            </w:pPr>
            <w:r>
              <w:t>e-mail:</w:t>
            </w:r>
          </w:p>
        </w:tc>
        <w:tc>
          <w:tcPr>
            <w:tcW w:w="6159" w:type="dxa"/>
            <w:tcBorders>
              <w:top w:val="nil"/>
              <w:left w:val="nil"/>
              <w:bottom w:val="nil"/>
              <w:right w:val="nil"/>
            </w:tcBorders>
          </w:tcPr>
          <w:p w:rsidR="005B72CC" w:rsidRDefault="00C811E5">
            <w:pPr>
              <w:tabs>
                <w:tab w:val="left" w:pos="2268"/>
              </w:tabs>
            </w:pPr>
            <w:r>
              <w:t>XXXXXXXXXX</w:t>
            </w:r>
          </w:p>
        </w:tc>
      </w:tr>
    </w:tbl>
    <w:p w:rsidR="005B72CC" w:rsidRDefault="00C11319">
      <w:r>
        <w:t xml:space="preserve"> (dále jen „zhotovitel“) </w:t>
      </w:r>
    </w:p>
    <w:p w:rsidR="005B72CC" w:rsidRDefault="005B72CC"/>
    <w:p w:rsidR="005B72CC" w:rsidRDefault="00C11319">
      <w:pPr>
        <w:rPr>
          <w:b/>
          <w:bCs/>
        </w:rPr>
      </w:pPr>
      <w:r>
        <w:rPr>
          <w:b/>
          <w:bCs/>
        </w:rPr>
        <w:t>Uzavírají ve smyslu § 2586 a následujících zák. č. 89/2012 Sb., občanského zákoníku v platném znění, níže uvedeného dne, měsíce a roku tuto smlouvu o dílo:</w:t>
      </w:r>
    </w:p>
    <w:p w:rsidR="005B72CC" w:rsidRDefault="005B72CC">
      <w:pPr>
        <w:rPr>
          <w:b/>
          <w:bCs/>
          <w:lang w:eastAsia="cs-CZ"/>
        </w:rPr>
      </w:pPr>
    </w:p>
    <w:p w:rsidR="005B72CC" w:rsidRDefault="00C11319">
      <w:pPr>
        <w:jc w:val="center"/>
        <w:rPr>
          <w:b/>
        </w:rPr>
      </w:pPr>
      <w:r>
        <w:rPr>
          <w:b/>
        </w:rPr>
        <w:t>II.</w:t>
      </w:r>
    </w:p>
    <w:p w:rsidR="005B72CC" w:rsidRDefault="00C11319">
      <w:pPr>
        <w:jc w:val="center"/>
        <w:rPr>
          <w:b/>
        </w:rPr>
      </w:pPr>
      <w:r>
        <w:rPr>
          <w:b/>
        </w:rPr>
        <w:t>Předmět smlouvy.</w:t>
      </w:r>
    </w:p>
    <w:p w:rsidR="005B72CC" w:rsidRDefault="005B72CC">
      <w:pPr>
        <w:pStyle w:val="Standard"/>
        <w:rPr>
          <w:lang w:val="cs-CZ"/>
        </w:rPr>
      </w:pPr>
    </w:p>
    <w:p w:rsidR="005B72CC" w:rsidRDefault="00C11319">
      <w:pPr>
        <w:pStyle w:val="Standard"/>
        <w:jc w:val="both"/>
        <w:rPr>
          <w:lang w:val="cs-CZ"/>
        </w:rPr>
      </w:pPr>
      <w:r>
        <w:rPr>
          <w:lang w:val="cs-CZ"/>
        </w:rPr>
        <w:t xml:space="preserve">Předmětem této smlouvy je výměna vnějších výplní otvorů budovy v DS Horní Holčovice </w:t>
      </w:r>
      <w:proofErr w:type="spellStart"/>
      <w:r>
        <w:rPr>
          <w:lang w:val="cs-CZ"/>
        </w:rPr>
        <w:t>p.č</w:t>
      </w:r>
      <w:proofErr w:type="spellEnd"/>
      <w:r>
        <w:rPr>
          <w:lang w:val="cs-CZ"/>
        </w:rPr>
        <w:t>. 195 včetně zednických prací likvidace a odvozu suti. V rozsahu dle přílohy č. 1 této smlouvy – výkazu výměru stavebních prací.</w:t>
      </w:r>
    </w:p>
    <w:p w:rsidR="005B72CC" w:rsidRDefault="005B72CC">
      <w:pPr>
        <w:pStyle w:val="Standard"/>
        <w:rPr>
          <w:lang w:val="cs-CZ"/>
        </w:rPr>
      </w:pPr>
    </w:p>
    <w:p w:rsidR="005B72CC" w:rsidRDefault="00C11319">
      <w:pPr>
        <w:pStyle w:val="Standard"/>
        <w:rPr>
          <w:lang w:val="cs-CZ"/>
        </w:rPr>
      </w:pPr>
      <w:r>
        <w:rPr>
          <w:lang w:val="cs-CZ"/>
        </w:rPr>
        <w:t>Podle kódů CPV a číselníku NIPEZ se jedná o:</w:t>
      </w:r>
    </w:p>
    <w:p w:rsidR="005B72CC" w:rsidRDefault="005B72CC">
      <w:pPr>
        <w:pStyle w:val="Standard"/>
        <w:rPr>
          <w:lang w:val="cs-CZ"/>
        </w:rPr>
      </w:pPr>
    </w:p>
    <w:p w:rsidR="005B72CC" w:rsidRDefault="00C11319">
      <w:pPr>
        <w:pStyle w:val="Standard"/>
        <w:rPr>
          <w:lang w:val="cs-CZ"/>
        </w:rPr>
      </w:pPr>
      <w:r>
        <w:rPr>
          <w:lang w:val="cs-CZ"/>
        </w:rPr>
        <w:t>45421110-8 instalace a montáž dveřních a okenních rámů</w:t>
      </w:r>
    </w:p>
    <w:p w:rsidR="005B72CC" w:rsidRDefault="00C11319">
      <w:pPr>
        <w:pStyle w:val="Standard"/>
        <w:rPr>
          <w:lang w:val="cs-CZ"/>
        </w:rPr>
      </w:pPr>
      <w:r>
        <w:rPr>
          <w:lang w:val="cs-CZ"/>
        </w:rPr>
        <w:t>45421132-8 instalace oken</w:t>
      </w:r>
    </w:p>
    <w:p w:rsidR="005B72CC" w:rsidRDefault="00C11319">
      <w:pPr>
        <w:pStyle w:val="Standard"/>
        <w:rPr>
          <w:lang w:val="cs-CZ"/>
        </w:rPr>
      </w:pPr>
      <w:r>
        <w:rPr>
          <w:lang w:val="cs-CZ"/>
        </w:rPr>
        <w:t>45421160-3 instalace a montáž kování</w:t>
      </w:r>
    </w:p>
    <w:p w:rsidR="005B72CC" w:rsidRDefault="00C11319">
      <w:pPr>
        <w:pStyle w:val="Standard"/>
        <w:rPr>
          <w:lang w:val="cs-CZ"/>
        </w:rPr>
      </w:pPr>
      <w:r>
        <w:rPr>
          <w:lang w:val="cs-CZ"/>
        </w:rPr>
        <w:t>45000000-7 stavební práce</w:t>
      </w:r>
    </w:p>
    <w:p w:rsidR="005B72CC" w:rsidRDefault="00C11319">
      <w:pPr>
        <w:pStyle w:val="Standard"/>
        <w:rPr>
          <w:lang w:val="cs-CZ"/>
        </w:rPr>
      </w:pPr>
      <w:r>
        <w:rPr>
          <w:lang w:val="cs-CZ"/>
        </w:rPr>
        <w:t>45410000-4 omítací práce</w:t>
      </w:r>
    </w:p>
    <w:p w:rsidR="005B72CC" w:rsidRDefault="005B72CC">
      <w:pPr>
        <w:pStyle w:val="Standard"/>
        <w:rPr>
          <w:lang w:val="cs-CZ"/>
        </w:rPr>
      </w:pPr>
    </w:p>
    <w:p w:rsidR="005B72CC" w:rsidRDefault="00C11319">
      <w:pPr>
        <w:pStyle w:val="Standard"/>
        <w:rPr>
          <w:lang w:val="cs-CZ"/>
        </w:rPr>
      </w:pPr>
      <w:r>
        <w:rPr>
          <w:lang w:val="cs-CZ"/>
        </w:rPr>
        <w:t>Technickým dozorem stavebníka je p. René Matýsek – stavební technik TO PNO.</w:t>
      </w:r>
    </w:p>
    <w:p w:rsidR="005B72CC" w:rsidRDefault="005B72CC">
      <w:pPr>
        <w:spacing w:line="280" w:lineRule="atLeast"/>
        <w:jc w:val="both"/>
      </w:pPr>
    </w:p>
    <w:p w:rsidR="005B72CC" w:rsidRDefault="00C11319">
      <w:pPr>
        <w:jc w:val="center"/>
        <w:rPr>
          <w:b/>
        </w:rPr>
      </w:pPr>
      <w:r>
        <w:rPr>
          <w:b/>
        </w:rPr>
        <w:t>III.</w:t>
      </w:r>
    </w:p>
    <w:p w:rsidR="005B72CC" w:rsidRDefault="00C11319">
      <w:pPr>
        <w:jc w:val="center"/>
        <w:rPr>
          <w:b/>
        </w:rPr>
      </w:pPr>
      <w:r>
        <w:rPr>
          <w:b/>
        </w:rPr>
        <w:t>Lhůta plnění díla.</w:t>
      </w:r>
    </w:p>
    <w:p w:rsidR="005B72CC" w:rsidRDefault="005B72CC"/>
    <w:p w:rsidR="005B72CC" w:rsidRDefault="00C11319">
      <w:pPr>
        <w:pStyle w:val="Standard"/>
        <w:jc w:val="both"/>
        <w:rPr>
          <w:rFonts w:cs="Times New Roman"/>
          <w:lang w:val="cs-CZ"/>
        </w:rPr>
      </w:pPr>
      <w:r>
        <w:rPr>
          <w:rFonts w:cs="Times New Roman"/>
          <w:lang w:val="cs-CZ"/>
        </w:rPr>
        <w:t xml:space="preserve">Předmět smlouvy bude proveden nejpozději do </w:t>
      </w:r>
      <w:proofErr w:type="gramStart"/>
      <w:r>
        <w:rPr>
          <w:rFonts w:cs="Times New Roman"/>
          <w:lang w:val="cs-CZ"/>
        </w:rPr>
        <w:t>10-ti</w:t>
      </w:r>
      <w:proofErr w:type="gramEnd"/>
      <w:r>
        <w:rPr>
          <w:rFonts w:cs="Times New Roman"/>
          <w:lang w:val="cs-CZ"/>
        </w:rPr>
        <w:t xml:space="preserve"> týdnů od uveřejnění této podepsané smlouvy v registru smluv.</w:t>
      </w:r>
    </w:p>
    <w:p w:rsidR="005B72CC" w:rsidRDefault="005B72CC">
      <w:pPr>
        <w:pStyle w:val="Standard"/>
        <w:jc w:val="both"/>
        <w:rPr>
          <w:b/>
        </w:rPr>
      </w:pPr>
    </w:p>
    <w:p w:rsidR="005B72CC" w:rsidRDefault="00C11319">
      <w:pPr>
        <w:jc w:val="center"/>
        <w:rPr>
          <w:b/>
        </w:rPr>
      </w:pPr>
      <w:r>
        <w:rPr>
          <w:b/>
        </w:rPr>
        <w:t>IV.</w:t>
      </w:r>
    </w:p>
    <w:p w:rsidR="005B72CC" w:rsidRDefault="00C11319">
      <w:pPr>
        <w:jc w:val="center"/>
        <w:rPr>
          <w:b/>
        </w:rPr>
      </w:pPr>
      <w:r>
        <w:rPr>
          <w:b/>
        </w:rPr>
        <w:t>Místo provedení díla.</w:t>
      </w:r>
    </w:p>
    <w:p w:rsidR="005B72CC" w:rsidRDefault="005B72CC"/>
    <w:p w:rsidR="005B72CC" w:rsidRDefault="00C11319">
      <w:pPr>
        <w:jc w:val="both"/>
      </w:pPr>
      <w:r>
        <w:t xml:space="preserve">Místem provedení díla je objekt parcelní číslo 195 </w:t>
      </w:r>
      <w:proofErr w:type="spellStart"/>
      <w:r>
        <w:t>k.ú</w:t>
      </w:r>
      <w:proofErr w:type="spellEnd"/>
      <w:r>
        <w:t xml:space="preserve">. Holčovice, ke kterému má PNO příslušnost hospodařit s majetkem státu, zapsanou v katastru nemovitostí, vedeném Katastrálním úřadem pro MSK, Katastrální pracoviště Bruntál. </w:t>
      </w:r>
    </w:p>
    <w:p w:rsidR="005B72CC" w:rsidRDefault="005B72CC">
      <w:pPr>
        <w:jc w:val="both"/>
      </w:pPr>
    </w:p>
    <w:p w:rsidR="005B72CC" w:rsidRDefault="00C11319">
      <w:pPr>
        <w:jc w:val="center"/>
        <w:rPr>
          <w:b/>
        </w:rPr>
      </w:pPr>
      <w:r>
        <w:rPr>
          <w:b/>
        </w:rPr>
        <w:t>V.</w:t>
      </w:r>
    </w:p>
    <w:p w:rsidR="005B72CC" w:rsidRDefault="00C11319">
      <w:pPr>
        <w:jc w:val="center"/>
        <w:rPr>
          <w:b/>
        </w:rPr>
      </w:pPr>
      <w:r>
        <w:rPr>
          <w:b/>
        </w:rPr>
        <w:t>Cena díla.</w:t>
      </w:r>
    </w:p>
    <w:p w:rsidR="005B72CC" w:rsidRDefault="005B72CC">
      <w:pPr>
        <w:jc w:val="both"/>
      </w:pPr>
    </w:p>
    <w:p w:rsidR="005B72CC" w:rsidRDefault="00C11319">
      <w:pPr>
        <w:spacing w:line="600" w:lineRule="auto"/>
      </w:pPr>
      <w:r>
        <w:t>Celková cena díla bez DPH činí v Kč:247.420,-</w:t>
      </w:r>
    </w:p>
    <w:p w:rsidR="005B72CC" w:rsidRDefault="00C11319">
      <w:pPr>
        <w:spacing w:line="600" w:lineRule="auto"/>
      </w:pPr>
      <w:r>
        <w:t xml:space="preserve">Samostatně DPH – </w:t>
      </w:r>
      <w:proofErr w:type="gramStart"/>
      <w:r>
        <w:t>21%</w:t>
      </w:r>
      <w:proofErr w:type="gramEnd"/>
      <w:r>
        <w:t xml:space="preserve"> činí v Kč 51.958,2,-</w:t>
      </w:r>
    </w:p>
    <w:p w:rsidR="005B72CC" w:rsidRDefault="00C11319">
      <w:pPr>
        <w:spacing w:line="600" w:lineRule="auto"/>
        <w:jc w:val="both"/>
      </w:pPr>
      <w:r>
        <w:t>Celková cena díla s DPH činí v Kč. 299.378,20,-</w:t>
      </w:r>
    </w:p>
    <w:p w:rsidR="005B72CC" w:rsidRDefault="005B72CC">
      <w:pPr>
        <w:spacing w:line="600" w:lineRule="auto"/>
        <w:jc w:val="both"/>
      </w:pPr>
    </w:p>
    <w:p w:rsidR="005B72CC" w:rsidRDefault="00C11319">
      <w:pPr>
        <w:jc w:val="both"/>
      </w:pPr>
      <w:r>
        <w:t>Tato celková cena je cenou konečnou a obsahuje veškeré náklady zhotovitele, které hodlá fakturačně uplatnit u objednatele za provedení úplného a celého díla bez vad a nedodělků a je cenou nepřekročitelnou. Možností změny ceny je zvýšení zákonné % sazby DPH v průběhu provádění prací a případné dodatečné vícepráce, které nemohly být součástí původního položkového rozpočtu, protože o nich obě smluvní strany předem nevěděly a nemohly je předpokládat, což se týká i případných méně prací, např. vzniklých zjednodušením technického řešení.</w:t>
      </w:r>
    </w:p>
    <w:p w:rsidR="005B72CC" w:rsidRDefault="005B72CC">
      <w:pPr>
        <w:pStyle w:val="Prosttext"/>
        <w:spacing w:line="280" w:lineRule="atLeast"/>
        <w:jc w:val="both"/>
        <w:rPr>
          <w:rFonts w:ascii="Arial" w:eastAsia="MS Mincho" w:hAnsi="Arial" w:cs="Arial"/>
          <w:bCs/>
          <w:i/>
          <w:color w:val="FF0000"/>
        </w:rPr>
      </w:pPr>
    </w:p>
    <w:p w:rsidR="005B72CC" w:rsidRDefault="00C11319">
      <w:pPr>
        <w:pStyle w:val="Prosttext"/>
        <w:spacing w:line="28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Zhotovitel stanoví nabídkovou cenu celou částkou na základě ocenění jednotlivých položek uvedených ve výkazu výměr. Oceněný výkaz výměr, podepsaný osobou oprávněnou jménem či za </w:t>
      </w:r>
      <w:r>
        <w:rPr>
          <w:rFonts w:ascii="Times New Roman" w:hAnsi="Times New Roman" w:cs="Times New Roman"/>
          <w:sz w:val="24"/>
          <w:szCs w:val="24"/>
        </w:rPr>
        <w:t xml:space="preserve">účastníka zadávacího řízení </w:t>
      </w:r>
      <w:r>
        <w:rPr>
          <w:rFonts w:ascii="Times New Roman" w:eastAsia="MS Mincho" w:hAnsi="Times New Roman" w:cs="Times New Roman"/>
          <w:sz w:val="24"/>
          <w:szCs w:val="24"/>
        </w:rPr>
        <w:t>jednat, bude součástí této smlouvy o dílo jako příloha.</w:t>
      </w:r>
    </w:p>
    <w:p w:rsidR="005B72CC" w:rsidRDefault="005B72CC">
      <w:pPr>
        <w:pStyle w:val="Prosttext"/>
        <w:spacing w:line="280" w:lineRule="atLeast"/>
        <w:jc w:val="both"/>
        <w:rPr>
          <w:rFonts w:ascii="Times New Roman" w:eastAsia="MS Mincho" w:hAnsi="Times New Roman" w:cs="Times New Roman"/>
          <w:sz w:val="24"/>
          <w:szCs w:val="24"/>
        </w:rPr>
      </w:pPr>
    </w:p>
    <w:p w:rsidR="005B72CC" w:rsidRDefault="00C11319">
      <w:pPr>
        <w:jc w:val="center"/>
        <w:rPr>
          <w:b/>
        </w:rPr>
      </w:pPr>
      <w:r>
        <w:rPr>
          <w:b/>
        </w:rPr>
        <w:t>VI.</w:t>
      </w:r>
    </w:p>
    <w:p w:rsidR="005B72CC" w:rsidRDefault="00C11319">
      <w:pPr>
        <w:jc w:val="center"/>
        <w:rPr>
          <w:b/>
        </w:rPr>
      </w:pPr>
      <w:r>
        <w:rPr>
          <w:b/>
        </w:rPr>
        <w:t>Platební podmínky.</w:t>
      </w:r>
    </w:p>
    <w:p w:rsidR="005B72CC" w:rsidRDefault="005B72CC">
      <w:pPr>
        <w:pStyle w:val="Odstavecseseznamem"/>
        <w:ind w:left="360"/>
        <w:jc w:val="both"/>
        <w:rPr>
          <w:rFonts w:ascii="Times New Roman" w:hAnsi="Times New Roman"/>
          <w:sz w:val="24"/>
          <w:szCs w:val="24"/>
        </w:rPr>
      </w:pPr>
    </w:p>
    <w:p w:rsidR="005B72CC" w:rsidRDefault="00C11319" w:rsidP="00C11319">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5B72CC" w:rsidRDefault="00C11319" w:rsidP="00C11319">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5B72CC" w:rsidRDefault="00C11319" w:rsidP="00C11319">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rsidR="005B72CC" w:rsidRDefault="00C11319" w:rsidP="00C11319">
      <w:pPr>
        <w:pStyle w:val="Odstavecseseznamem"/>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Faktura vystavená zhotovitelem musí splňovat náležitosti daňového dokladu dle zákona č. 235/2004 Sb., o dani z přidané hodnoty v platném znění. Dle §92e výše uvedené stavební </w:t>
      </w:r>
      <w:r>
        <w:rPr>
          <w:rFonts w:ascii="Times New Roman" w:hAnsi="Times New Roman"/>
          <w:sz w:val="24"/>
          <w:szCs w:val="24"/>
        </w:rPr>
        <w:lastRenderedPageBreak/>
        <w:t xml:space="preserve">práce podléhají režimu přenesené daňové povinnosti. Touto povinností se zhotovitel bude řídit při vystavování faktur za provedení stavebních prací. </w:t>
      </w:r>
    </w:p>
    <w:p w:rsidR="005B72CC" w:rsidRDefault="00C11319" w:rsidP="00C11319">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na předání celého díla jedinou konečnou fakturou, vystavenou na základě převzetí hotového úplného díla bez zjevných vad a </w:t>
      </w:r>
      <w:proofErr w:type="gramStart"/>
      <w:r>
        <w:rPr>
          <w:rFonts w:ascii="Times New Roman" w:hAnsi="Times New Roman"/>
          <w:sz w:val="24"/>
          <w:szCs w:val="24"/>
        </w:rPr>
        <w:t>nedodělků</w:t>
      </w:r>
      <w:proofErr w:type="gramEnd"/>
      <w:r>
        <w:rPr>
          <w:rFonts w:ascii="Times New Roman" w:hAnsi="Times New Roman"/>
          <w:sz w:val="24"/>
          <w:szCs w:val="24"/>
        </w:rPr>
        <w:t xml:space="preserve"> tj. podepsáním Protokolu o předání a převzetí díla odpovědnými osobami objednatele a zhotovitele.</w:t>
      </w:r>
    </w:p>
    <w:p w:rsidR="005B72CC" w:rsidRDefault="00C11319" w:rsidP="00C11319">
      <w:pPr>
        <w:pStyle w:val="Odstavecseseznamem"/>
        <w:numPr>
          <w:ilvl w:val="0"/>
          <w:numId w:val="7"/>
        </w:numPr>
        <w:spacing w:after="0" w:line="240" w:lineRule="auto"/>
        <w:jc w:val="both"/>
        <w:rPr>
          <w:rFonts w:ascii="Times New Roman" w:hAnsi="Times New Roman"/>
          <w:sz w:val="24"/>
          <w:szCs w:val="24"/>
        </w:rPr>
      </w:pPr>
      <w:r>
        <w:rPr>
          <w:rFonts w:ascii="Times New Roman" w:hAnsi="Times New Roman"/>
          <w:sz w:val="24"/>
          <w:szCs w:val="24"/>
        </w:rPr>
        <w:t>Fakturu musí odsouhlasit technický dozor stavebníka – objednatele – stavební technik TO PNO.</w:t>
      </w:r>
    </w:p>
    <w:p w:rsidR="005B72CC" w:rsidRDefault="00C11319" w:rsidP="00C11319">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5B72CC" w:rsidRDefault="00C11319" w:rsidP="00C11319">
      <w:pPr>
        <w:pStyle w:val="Odstavecseseznamem"/>
        <w:numPr>
          <w:ilvl w:val="0"/>
          <w:numId w:val="9"/>
        </w:numPr>
        <w:spacing w:after="0" w:line="240" w:lineRule="auto"/>
        <w:jc w:val="both"/>
        <w:rPr>
          <w:rFonts w:ascii="Times New Roman" w:hAnsi="Times New Roman"/>
          <w:b/>
          <w:sz w:val="24"/>
          <w:szCs w:val="24"/>
        </w:rPr>
      </w:pPr>
      <w:r>
        <w:rPr>
          <w:rFonts w:ascii="Times New Roman" w:hAnsi="Times New Roman"/>
          <w:sz w:val="24"/>
          <w:szCs w:val="24"/>
        </w:rPr>
        <w:t>Objednatel se zavazuje uhradit zhotoviteli cenu za provedení díla do 30 kalendářních dnů ode dne prokazatelného doručení faktury</w:t>
      </w:r>
      <w:r>
        <w:rPr>
          <w:rFonts w:ascii="Times New Roman" w:hAnsi="Times New Roman"/>
          <w:b/>
          <w:sz w:val="24"/>
          <w:szCs w:val="24"/>
        </w:rPr>
        <w:t xml:space="preserve">. </w:t>
      </w:r>
    </w:p>
    <w:p w:rsidR="005B72CC" w:rsidRDefault="00C11319" w:rsidP="00C11319">
      <w:pPr>
        <w:pStyle w:val="Odstavecseseznamem"/>
        <w:numPr>
          <w:ilvl w:val="0"/>
          <w:numId w:val="10"/>
        </w:numPr>
        <w:spacing w:after="0" w:line="240" w:lineRule="auto"/>
        <w:jc w:val="both"/>
        <w:rPr>
          <w:rFonts w:ascii="Times New Roman" w:hAnsi="Times New Roman"/>
          <w:sz w:val="24"/>
          <w:szCs w:val="24"/>
        </w:rPr>
      </w:pPr>
      <w:r>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5B72CC" w:rsidRDefault="005B72CC">
      <w:pPr>
        <w:pStyle w:val="Odstavecseseznamem"/>
        <w:spacing w:after="0" w:line="240" w:lineRule="auto"/>
        <w:ind w:left="360"/>
        <w:jc w:val="both"/>
        <w:rPr>
          <w:rFonts w:ascii="Times New Roman" w:hAnsi="Times New Roman"/>
          <w:sz w:val="24"/>
          <w:szCs w:val="24"/>
        </w:rPr>
      </w:pPr>
    </w:p>
    <w:p w:rsidR="005B72CC" w:rsidRDefault="00C11319">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VII.</w:t>
      </w:r>
    </w:p>
    <w:p w:rsidR="005B72CC" w:rsidRDefault="00C11319">
      <w:pPr>
        <w:jc w:val="center"/>
        <w:rPr>
          <w:b/>
          <w:bCs/>
        </w:rPr>
      </w:pPr>
      <w:r>
        <w:rPr>
          <w:b/>
          <w:bCs/>
        </w:rPr>
        <w:t>Záruční doba a zodpovědnost za vady.</w:t>
      </w:r>
    </w:p>
    <w:p w:rsidR="005B72CC" w:rsidRDefault="005B72CC">
      <w:pPr>
        <w:jc w:val="center"/>
        <w:rPr>
          <w:b/>
          <w:bCs/>
        </w:rPr>
      </w:pPr>
    </w:p>
    <w:p w:rsidR="005B72CC" w:rsidRDefault="00C11319" w:rsidP="00C11319">
      <w:pPr>
        <w:numPr>
          <w:ilvl w:val="0"/>
          <w:numId w:val="11"/>
        </w:numPr>
        <w:suppressAutoHyphens w:val="0"/>
        <w:jc w:val="both"/>
      </w:pPr>
      <w:r>
        <w:t xml:space="preserve">Zhotovitel ručí za vady předmětu díla vzniklé jeho vadným plněním; záruční doba činí 60 měsíců, nejméně však 60 měsíců. </w:t>
      </w:r>
    </w:p>
    <w:p w:rsidR="005B72CC" w:rsidRDefault="00C11319" w:rsidP="00C11319">
      <w:pPr>
        <w:numPr>
          <w:ilvl w:val="0"/>
          <w:numId w:val="12"/>
        </w:numPr>
        <w:suppressAutoHyphens w:val="0"/>
        <w:jc w:val="both"/>
      </w:pPr>
      <w:r>
        <w:t>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5B72CC" w:rsidRDefault="00C11319" w:rsidP="00C11319">
      <w:pPr>
        <w:numPr>
          <w:ilvl w:val="0"/>
          <w:numId w:val="13"/>
        </w:numPr>
        <w:suppressAutoHyphens w:val="0"/>
        <w:jc w:val="both"/>
      </w:pPr>
      <w:r>
        <w:t>Záruční doba počíná běžet dnem převzetí díla podpisem Protokolu o předání a převzetí díla bez vad a nedodělků. Osobou oprávněnou podepsat Protokol o předání a převzetí díla je technický dozor stavebníka-stavební technik TO.</w:t>
      </w:r>
    </w:p>
    <w:p w:rsidR="005B72CC" w:rsidRDefault="00C11319" w:rsidP="00C11319">
      <w:pPr>
        <w:numPr>
          <w:ilvl w:val="0"/>
          <w:numId w:val="14"/>
        </w:numPr>
        <w:suppressAutoHyphens w:val="0"/>
        <w:jc w:val="both"/>
      </w:pPr>
      <w:r>
        <w:t xml:space="preserve">Objednatel se zavazuje, že případnou reklamaci vady uplatní u zhotovitele bezodkladně po jejím zjištění, nejpozději do 3 kalendářních dní, a to prokazatelně písemnou </w:t>
      </w:r>
      <w:proofErr w:type="gramStart"/>
      <w:r>
        <w:t>formou - výzvou</w:t>
      </w:r>
      <w:proofErr w:type="gramEnd"/>
      <w:r>
        <w:t xml:space="preserve"> zaslanou na doručenku nebo elektronicky na e-mailovou adresu: info@1okno.cz</w:t>
      </w:r>
    </w:p>
    <w:p w:rsidR="005B72CC" w:rsidRDefault="00C11319" w:rsidP="00C11319">
      <w:pPr>
        <w:numPr>
          <w:ilvl w:val="0"/>
          <w:numId w:val="15"/>
        </w:numPr>
        <w:suppressAutoHyphens w:val="0"/>
        <w:jc w:val="both"/>
      </w:pPr>
      <w:r>
        <w:t>Zhotovitel se zavazuje začít s odstraňováním případných vad předmětu plnění-díla, či jeho části, neprodleně od uplatnění reklamace a vady odstranit v co nejkratším možném termínu.</w:t>
      </w:r>
    </w:p>
    <w:p w:rsidR="005B72CC" w:rsidRDefault="00C11319" w:rsidP="00C11319">
      <w:pPr>
        <w:numPr>
          <w:ilvl w:val="0"/>
          <w:numId w:val="16"/>
        </w:numPr>
        <w:suppressAutoHyphens w:val="0"/>
        <w:jc w:val="both"/>
      </w:pPr>
      <w:r>
        <w:t xml:space="preserve">Termíny odstranění závad (v návaznosti na povětrnostní podmínky, technologické procesy a provoz v PNO) se vždy po uplatnění reklamace dohodnou smluvní strany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w:t>
      </w:r>
      <w:proofErr w:type="gramStart"/>
      <w:r>
        <w:t>vady</w:t>
      </w:r>
      <w:proofErr w:type="gramEnd"/>
      <w:r>
        <w:t xml:space="preserve"> a i o jejím odstranění zápis.</w:t>
      </w:r>
    </w:p>
    <w:p w:rsidR="005B72CC" w:rsidRDefault="005B72CC">
      <w:pPr>
        <w:jc w:val="both"/>
      </w:pPr>
    </w:p>
    <w:p w:rsidR="005B72CC" w:rsidRDefault="00C11319">
      <w:pPr>
        <w:ind w:left="3540" w:firstLine="708"/>
        <w:rPr>
          <w:b/>
          <w:bCs/>
        </w:rPr>
      </w:pPr>
      <w:r>
        <w:rPr>
          <w:b/>
          <w:bCs/>
        </w:rPr>
        <w:t>VIII.</w:t>
      </w:r>
    </w:p>
    <w:p w:rsidR="005B72CC" w:rsidRDefault="00C11319">
      <w:pPr>
        <w:jc w:val="center"/>
        <w:rPr>
          <w:b/>
          <w:bCs/>
        </w:rPr>
      </w:pPr>
      <w:r>
        <w:rPr>
          <w:b/>
          <w:bCs/>
        </w:rPr>
        <w:t>Podmínky provedení díla.</w:t>
      </w:r>
    </w:p>
    <w:p w:rsidR="005B72CC" w:rsidRDefault="005B72CC">
      <w:pPr>
        <w:jc w:val="center"/>
        <w:rPr>
          <w:b/>
          <w:bCs/>
        </w:rPr>
      </w:pPr>
    </w:p>
    <w:p w:rsidR="005B72CC" w:rsidRDefault="00C11319" w:rsidP="00C11319">
      <w:pPr>
        <w:numPr>
          <w:ilvl w:val="0"/>
          <w:numId w:val="17"/>
        </w:numPr>
        <w:suppressAutoHyphens w:val="0"/>
        <w:jc w:val="both"/>
      </w:pPr>
      <w:r>
        <w:t>K převzetí díla či jeho částí si objednatel může přizvat autorizovanou osobu, soudního znalce či jiného odborníka, má-li pochybnosti o kvalitě provedeného díla či jeho části.</w:t>
      </w:r>
    </w:p>
    <w:p w:rsidR="005B72CC" w:rsidRDefault="00C11319" w:rsidP="00C11319">
      <w:pPr>
        <w:numPr>
          <w:ilvl w:val="0"/>
          <w:numId w:val="18"/>
        </w:numPr>
        <w:suppressAutoHyphens w:val="0"/>
        <w:jc w:val="both"/>
      </w:pPr>
      <w:r>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5B72CC" w:rsidRDefault="00C11319" w:rsidP="00C11319">
      <w:pPr>
        <w:numPr>
          <w:ilvl w:val="0"/>
          <w:numId w:val="19"/>
        </w:numPr>
        <w:suppressAutoHyphens w:val="0"/>
        <w:jc w:val="both"/>
      </w:pPr>
      <w:r>
        <w:t>Zhotovitel se zavazuje udržovat pořádek na pracovišti v pracemi dotčených objektech a na pracemi dotčených pozemcích i v celém areálu objednatele a dodržovat bezpečnostní, po</w:t>
      </w:r>
      <w:r>
        <w:lastRenderedPageBreak/>
        <w:t>žární, hygienické a ekologické předpisy</w:t>
      </w:r>
      <w:r>
        <w:rPr>
          <w:b/>
        </w:rPr>
        <w:t xml:space="preserve">; </w:t>
      </w:r>
      <w:r>
        <w:t>to vše v prostorách objednatele, a to i na pozemcích, sousedících s objekty, ve kterých provádí práce;</w:t>
      </w:r>
    </w:p>
    <w:p w:rsidR="005B72CC" w:rsidRDefault="00C11319" w:rsidP="00C11319">
      <w:pPr>
        <w:numPr>
          <w:ilvl w:val="0"/>
          <w:numId w:val="20"/>
        </w:numPr>
        <w:suppressAutoHyphens w:val="0"/>
        <w:jc w:val="both"/>
      </w:pPr>
      <w:r>
        <w:t xml:space="preserve">Ohlašovnou požárů je kancelář správcové </w:t>
      </w:r>
      <w:proofErr w:type="gramStart"/>
      <w:r>
        <w:t>DS - Horní</w:t>
      </w:r>
      <w:proofErr w:type="gramEnd"/>
      <w:r>
        <w:t xml:space="preserve"> Holčovice paní Zdenky </w:t>
      </w:r>
      <w:proofErr w:type="spellStart"/>
      <w:r>
        <w:t>Mičíkové</w:t>
      </w:r>
      <w:proofErr w:type="spellEnd"/>
      <w:r>
        <w:t xml:space="preserve">, mob. telefon 724 794 472 </w:t>
      </w:r>
    </w:p>
    <w:p w:rsidR="005B72CC" w:rsidRDefault="00C11319" w:rsidP="00C11319">
      <w:pPr>
        <w:numPr>
          <w:ilvl w:val="0"/>
          <w:numId w:val="21"/>
        </w:numPr>
        <w:suppressAutoHyphens w:val="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rsidR="005B72CC" w:rsidRDefault="00C11319" w:rsidP="00C11319">
      <w:pPr>
        <w:numPr>
          <w:ilvl w:val="0"/>
          <w:numId w:val="22"/>
        </w:numPr>
        <w:suppressAutoHyphens w:val="0"/>
        <w:jc w:val="both"/>
      </w:pPr>
      <w:r>
        <w:t xml:space="preserve">Zhotovitel </w:t>
      </w:r>
      <w:proofErr w:type="gramStart"/>
      <w:r>
        <w:t>zodpovídá  také</w:t>
      </w:r>
      <w:proofErr w:type="gramEnd"/>
      <w:r>
        <w:t xml:space="preserve"> v plném rozsahu za dodržování protipožár. předpisů a nese následky za škody vzniklé jejich porušením a za případné škody vzniklé při realizaci díla, zvlášť za práce a </w:t>
      </w:r>
      <w:proofErr w:type="gramStart"/>
      <w:r>
        <w:t>činnosti  se</w:t>
      </w:r>
      <w:proofErr w:type="gramEnd"/>
      <w:r>
        <w:t xml:space="preserve"> zvýšeným požárním nebezpečím, u kterých zodpovídá za vybavení požárních hlídek a požárního dohledu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5B72CC" w:rsidRDefault="00C11319" w:rsidP="00C11319">
      <w:pPr>
        <w:numPr>
          <w:ilvl w:val="0"/>
          <w:numId w:val="23"/>
        </w:numPr>
        <w:suppressAutoHyphens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proofErr w:type="gramStart"/>
      <w:r>
        <w:t>kooperanty</w:t>
      </w:r>
      <w:proofErr w:type="spellEnd"/>
      <w:r>
        <w:t xml:space="preserve"> - poddodavateli</w:t>
      </w:r>
      <w:proofErr w:type="gramEnd"/>
      <w:r>
        <w:t>.</w:t>
      </w:r>
    </w:p>
    <w:p w:rsidR="005B72CC" w:rsidRDefault="00C11319" w:rsidP="00C11319">
      <w:pPr>
        <w:numPr>
          <w:ilvl w:val="0"/>
          <w:numId w:val="24"/>
        </w:numPr>
        <w:suppressAutoHyphens w:val="0"/>
        <w:jc w:val="both"/>
      </w:pPr>
      <w:r>
        <w:t xml:space="preserve">Zhotovitel seznámí prostřednictvím technika BOZP a PO objednatele, který je pověřeným zaměstnancem objednatele a koordinátora BOZP (bude-li určen), zaměstnance své, případně svých </w:t>
      </w:r>
      <w:proofErr w:type="spellStart"/>
      <w:r>
        <w:t>kooperantů</w:t>
      </w:r>
      <w:proofErr w:type="spellEnd"/>
      <w:r>
        <w:t xml:space="preserve">, </w:t>
      </w:r>
      <w:proofErr w:type="gramStart"/>
      <w:r>
        <w:t>s  riziky</w:t>
      </w:r>
      <w:proofErr w:type="gramEnd"/>
      <w:r>
        <w:t xml:space="preserve"> na pracovištích objednatele, vyhodnotí je, upozorní na ně zaměstnance, a případně sjednané </w:t>
      </w:r>
      <w:proofErr w:type="spellStart"/>
      <w:r>
        <w:t>kooperanty</w:t>
      </w:r>
      <w:proofErr w:type="spellEnd"/>
      <w:r>
        <w:t xml:space="preserve"> - poddodavatele a určí způsob ochrany a prevence proti úrazům a jinému poškození zdraví;</w:t>
      </w:r>
    </w:p>
    <w:p w:rsidR="005B72CC" w:rsidRDefault="00C11319" w:rsidP="00C11319">
      <w:pPr>
        <w:numPr>
          <w:ilvl w:val="0"/>
          <w:numId w:val="25"/>
        </w:numPr>
        <w:suppressAutoHyphens w:val="0"/>
        <w:jc w:val="both"/>
      </w:pPr>
      <w:r>
        <w:t xml:space="preserve">Na požádání zhotovitele pak technik BOZP a PO objednatele v součinnosti s koordinátorem BOZP (bude-li určen) zajistí taková opatření, aby nedošlo k poškození zdraví osob, majetku, vyskytujícího se na pracovišti či v jeho okolí (např. transport nadměrných břemen, omezení provozu na vnitřních komunikacích, mimořádná zátěž prachem, hlukem, kouřem, </w:t>
      </w:r>
      <w:proofErr w:type="gramStart"/>
      <w:r>
        <w:t>pachy,</w:t>
      </w:r>
      <w:proofErr w:type="gramEnd"/>
      <w:r>
        <w:t xml:space="preserve"> atd.);</w:t>
      </w:r>
    </w:p>
    <w:p w:rsidR="005B72CC" w:rsidRDefault="00C11319" w:rsidP="00C11319">
      <w:pPr>
        <w:numPr>
          <w:ilvl w:val="0"/>
          <w:numId w:val="26"/>
        </w:numPr>
        <w:suppressAutoHyphens w:val="0"/>
        <w:jc w:val="both"/>
      </w:pPr>
      <w:r>
        <w:t>Při nástupu k provedení prací se zaměstnanci zhotovitele, provádějící tyto práce, seznámí u objednatele prostřednictvím technika BOZP a PO objednatele v součinnosti s koordinátorem BOZP (bude-li určen) s konkrétními podmínkami na budoucím pracovišti, s riziky, které jim případně hrozí ze strany pacientů a personálu. Vždy, a obzvlášť na požádání zhotovitele, je vedoucí zaměstnanec objednatele, kde mají být práce prováděny, povinen učinit taková opatření, aby nedošlo k poškození zdraví všech osob a majetku, vyskytujícího se na tomto pracovišti; dříve zhotovitel nezapočne s prováděním prací;</w:t>
      </w:r>
    </w:p>
    <w:p w:rsidR="005B72CC" w:rsidRDefault="00C11319" w:rsidP="00C11319">
      <w:pPr>
        <w:numPr>
          <w:ilvl w:val="0"/>
          <w:numId w:val="27"/>
        </w:numPr>
        <w:suppressAutoHyphens w:val="0"/>
        <w:jc w:val="both"/>
      </w:pPr>
      <w:r>
        <w:t xml:space="preserve">V případě pracovního úrazu zaměstnance zhotovitele postupuje zhotovitel i objednatel podle NV č. 201/2010 Sb., o způsobu evidence úrazů, hlášení a zasílání záznamu o úrazu a § 105 </w:t>
      </w:r>
      <w:proofErr w:type="gramStart"/>
      <w:r>
        <w:t>ZP - hlášený</w:t>
      </w:r>
      <w:proofErr w:type="gramEnd"/>
      <w:r>
        <w:t xml:space="preserve"> pracovní úraz musí být šetřen oběma smluvními stranami;</w:t>
      </w:r>
    </w:p>
    <w:p w:rsidR="005B72CC" w:rsidRDefault="00C11319" w:rsidP="00C11319">
      <w:pPr>
        <w:numPr>
          <w:ilvl w:val="0"/>
          <w:numId w:val="28"/>
        </w:numPr>
        <w:suppressAutoHyphens w:val="0"/>
        <w:jc w:val="both"/>
      </w:pPr>
      <w:r>
        <w:t>Zhotovitel upozorní objednatele a koordinátora BOZP (bude-li určen)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5B72CC" w:rsidRDefault="00C11319" w:rsidP="00C11319">
      <w:pPr>
        <w:numPr>
          <w:ilvl w:val="0"/>
          <w:numId w:val="29"/>
        </w:numPr>
        <w:suppressAutoHyphens w:val="0"/>
        <w:jc w:val="both"/>
      </w:pPr>
      <w:r>
        <w:t xml:space="preserve">Zhotovitel vybaví pracoviště lékárničkou pro poskytnutí první pomoci s obsahem, předepsaným závodním lékařem zhotovitele, </w:t>
      </w:r>
    </w:p>
    <w:p w:rsidR="005B72CC" w:rsidRDefault="00C11319" w:rsidP="00C11319">
      <w:pPr>
        <w:numPr>
          <w:ilvl w:val="0"/>
          <w:numId w:val="30"/>
        </w:numPr>
        <w:suppressAutoHyphens w:val="0"/>
        <w:jc w:val="both"/>
      </w:pPr>
      <w:r>
        <w:lastRenderedPageBreak/>
        <w:t>Zaměstnancům zhotovitele a jeho poddodavatelů je zakázáno vstupovat do budov areálu objednatele za jiným účelem než k provedení prací;</w:t>
      </w:r>
    </w:p>
    <w:p w:rsidR="005B72CC" w:rsidRDefault="00C11319" w:rsidP="00C11319">
      <w:pPr>
        <w:numPr>
          <w:ilvl w:val="0"/>
          <w:numId w:val="31"/>
        </w:numPr>
        <w:suppressAutoHyphens w:val="0"/>
        <w:jc w:val="both"/>
      </w:pPr>
      <w:r>
        <w:t>Zhotovitel zodpovídá za to, že jeho zaměstnanci, jakož i další osoby, které přizve, či se budou podílet na provedení díla nebo jeho částí, jsou po stránce odborné i zdravotní plně způsobilí požadované práce provádět;</w:t>
      </w:r>
    </w:p>
    <w:p w:rsidR="005B72CC" w:rsidRDefault="00C11319" w:rsidP="00C11319">
      <w:pPr>
        <w:numPr>
          <w:ilvl w:val="0"/>
          <w:numId w:val="32"/>
        </w:numPr>
        <w:suppressAutoHyphens w:val="0"/>
        <w:jc w:val="both"/>
      </w:pPr>
      <w:r>
        <w:t>Zhotovitel bude úzce spolupracovat s technickým dozorem stavebníka.</w:t>
      </w:r>
    </w:p>
    <w:p w:rsidR="005B72CC" w:rsidRDefault="00C11319" w:rsidP="00C11319">
      <w:pPr>
        <w:numPr>
          <w:ilvl w:val="0"/>
          <w:numId w:val="33"/>
        </w:numPr>
        <w:suppressAutoHyphens w:val="0"/>
        <w:jc w:val="both"/>
      </w:pPr>
      <w:r>
        <w:t>Zhotovitel bude úzce spolupracovat s koordinátorem BOZP na staveništi (bude-li určen).</w:t>
      </w:r>
    </w:p>
    <w:p w:rsidR="005B72CC" w:rsidRDefault="00C11319" w:rsidP="00C11319">
      <w:pPr>
        <w:numPr>
          <w:ilvl w:val="0"/>
          <w:numId w:val="34"/>
        </w:numPr>
        <w:suppressAutoHyphens w:val="0"/>
        <w:jc w:val="both"/>
      </w:pPr>
      <w:r>
        <w:t xml:space="preserve">Zhotovitel zodpovídá za pořádek na pracovišti, je povinen odstraňovat na své náklady odpady a vybouraný materiál (pokud objednatel nerozhodne před zahájením prací jinak), vzniklý jeho činností a zajistit likvidaci těchto odpadů předepsaným zákonným způsobem prostřednictvím oprávněných firem či osob; </w:t>
      </w:r>
    </w:p>
    <w:p w:rsidR="005B72CC" w:rsidRDefault="00C11319" w:rsidP="00C11319">
      <w:pPr>
        <w:numPr>
          <w:ilvl w:val="0"/>
          <w:numId w:val="35"/>
        </w:numPr>
        <w:suppressAutoHyphens w:val="0"/>
        <w:jc w:val="both"/>
      </w:pPr>
      <w:r>
        <w:t xml:space="preserve">Veškerý vytěžený a zbytkový materiál, nebude-li sjednáno jinak, se stává majetkem zhotovitele, který přebírá zodpovědnost za nakládání s ním okamžikem jeho vybourání, za zákonný způsob jeho likvidace a za jeho uložení na skládku k tomu určenou. </w:t>
      </w:r>
    </w:p>
    <w:p w:rsidR="005B72CC" w:rsidRDefault="00C11319" w:rsidP="00C11319">
      <w:pPr>
        <w:numPr>
          <w:ilvl w:val="0"/>
          <w:numId w:val="36"/>
        </w:numPr>
        <w:suppressAutoHyphens w:val="0"/>
        <w:jc w:val="both"/>
        <w:rPr>
          <w:lang w:eastAsia="cs-CZ"/>
        </w:rPr>
      </w:pPr>
      <w:r>
        <w:t xml:space="preserve">Objednatel neručí za dodržování podmínek pro manipulaci s odpady při provádění díla nebo jeho části, vzniklými. </w:t>
      </w:r>
    </w:p>
    <w:p w:rsidR="005B72CC" w:rsidRDefault="00C11319" w:rsidP="00C11319">
      <w:pPr>
        <w:numPr>
          <w:ilvl w:val="0"/>
          <w:numId w:val="37"/>
        </w:numPr>
        <w:suppressAutoHyphens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5B72CC" w:rsidRDefault="005B72CC">
      <w:pPr>
        <w:jc w:val="both"/>
      </w:pPr>
    </w:p>
    <w:p w:rsidR="005B72CC" w:rsidRDefault="005B72CC">
      <w:pPr>
        <w:jc w:val="center"/>
        <w:rPr>
          <w:b/>
          <w:bCs/>
        </w:rPr>
      </w:pPr>
    </w:p>
    <w:p w:rsidR="005B72CC" w:rsidRDefault="00C11319">
      <w:pPr>
        <w:jc w:val="center"/>
        <w:rPr>
          <w:b/>
          <w:bCs/>
        </w:rPr>
      </w:pPr>
      <w:r>
        <w:rPr>
          <w:b/>
          <w:bCs/>
        </w:rPr>
        <w:t>IX.</w:t>
      </w:r>
    </w:p>
    <w:p w:rsidR="005B72CC" w:rsidRDefault="00C11319">
      <w:pPr>
        <w:jc w:val="center"/>
        <w:rPr>
          <w:b/>
          <w:bCs/>
        </w:rPr>
      </w:pPr>
      <w:r>
        <w:rPr>
          <w:b/>
          <w:bCs/>
        </w:rPr>
        <w:t xml:space="preserve">Smluvní </w:t>
      </w:r>
      <w:proofErr w:type="gramStart"/>
      <w:r>
        <w:rPr>
          <w:b/>
          <w:bCs/>
        </w:rPr>
        <w:t>pokuty- sankce</w:t>
      </w:r>
      <w:proofErr w:type="gramEnd"/>
      <w:r>
        <w:rPr>
          <w:b/>
          <w:bCs/>
        </w:rPr>
        <w:t xml:space="preserve">. </w:t>
      </w:r>
    </w:p>
    <w:p w:rsidR="005B72CC" w:rsidRDefault="005B72CC">
      <w:pPr>
        <w:jc w:val="center"/>
        <w:rPr>
          <w:b/>
          <w:bCs/>
        </w:rPr>
      </w:pPr>
    </w:p>
    <w:p w:rsidR="005B72CC" w:rsidRDefault="00C11319" w:rsidP="00C11319">
      <w:pPr>
        <w:numPr>
          <w:ilvl w:val="0"/>
          <w:numId w:val="38"/>
        </w:numPr>
        <w:suppressAutoHyphens w:val="0"/>
        <w:jc w:val="both"/>
      </w:pPr>
      <w:r>
        <w:rPr>
          <w:bCs/>
        </w:rPr>
        <w:t xml:space="preserve">V případě </w:t>
      </w:r>
      <w:r>
        <w:t>prodlení objednatele s úhradou faktur za předané dílo, zaplatí objednatel zhotoviteli smluvní pokutu ve výši 0,05 % z ceny faktury s DPH za každý kalendářní den prodlení.</w:t>
      </w:r>
    </w:p>
    <w:p w:rsidR="005B72CC" w:rsidRDefault="00C11319" w:rsidP="00C11319">
      <w:pPr>
        <w:numPr>
          <w:ilvl w:val="0"/>
          <w:numId w:val="39"/>
        </w:numPr>
        <w:suppressAutoHyphens w:val="0"/>
        <w:jc w:val="both"/>
        <w:rPr>
          <w:b/>
        </w:rPr>
      </w:pPr>
      <w:r>
        <w:rPr>
          <w:bCs/>
        </w:rPr>
        <w:t xml:space="preserve">V případě </w:t>
      </w:r>
      <w:r>
        <w:t xml:space="preserve">prodlení zhotovitele se splněním povinnosti předání celého díla objednateli v termínu dle čl. II této smlouvy, zaplatí zhotovitel objednateli smluvní pokutu ve výši </w:t>
      </w:r>
      <w:proofErr w:type="gramStart"/>
      <w:r>
        <w:t>0,05%</w:t>
      </w:r>
      <w:proofErr w:type="gramEnd"/>
      <w:r>
        <w:t xml:space="preserve"> z celkové ceny díla s DPH za každý kalendářní den prodlení.</w:t>
      </w:r>
    </w:p>
    <w:p w:rsidR="005B72CC" w:rsidRDefault="005B72CC">
      <w:pPr>
        <w:jc w:val="center"/>
        <w:rPr>
          <w:b/>
          <w:bCs/>
        </w:rPr>
      </w:pPr>
    </w:p>
    <w:p w:rsidR="005B72CC" w:rsidRDefault="00C11319">
      <w:pPr>
        <w:jc w:val="center"/>
        <w:rPr>
          <w:b/>
          <w:bCs/>
        </w:rPr>
      </w:pPr>
      <w:r>
        <w:rPr>
          <w:b/>
          <w:bCs/>
        </w:rPr>
        <w:t>X.</w:t>
      </w:r>
    </w:p>
    <w:p w:rsidR="005B72CC" w:rsidRDefault="00C11319">
      <w:pPr>
        <w:jc w:val="center"/>
        <w:rPr>
          <w:b/>
          <w:bCs/>
        </w:rPr>
      </w:pPr>
      <w:r>
        <w:rPr>
          <w:b/>
          <w:bCs/>
        </w:rPr>
        <w:t>Další ustanovení.</w:t>
      </w:r>
    </w:p>
    <w:p w:rsidR="005B72CC" w:rsidRDefault="005B72CC">
      <w:pPr>
        <w:jc w:val="center"/>
        <w:rPr>
          <w:b/>
          <w:bCs/>
        </w:rPr>
      </w:pPr>
    </w:p>
    <w:p w:rsidR="005B72CC" w:rsidRDefault="00C11319">
      <w:pPr>
        <w:ind w:left="360"/>
        <w:jc w:val="both"/>
      </w:pPr>
      <w:r>
        <w:t>Při provádění prací, které jsou předmětem díla nebo jeho částí, jsou zaměstnanci zhotovitele a jeho subdodavatelů povinni uposlechnout pokynů TDS objednatele, náměstka ředitele pro HTS. Zaměstnanci zhotovitele musí s uvedenými vedoucími zaměstnanci objednatele konzultovat provádění všech prací, které by mohly negativně ovlivnit provoz zařízení objednatele a ovlivnit léčebný proces v DS – Horní Holčovice.</w:t>
      </w:r>
    </w:p>
    <w:p w:rsidR="005B72CC" w:rsidRDefault="005B72CC">
      <w:pPr>
        <w:jc w:val="both"/>
      </w:pPr>
    </w:p>
    <w:p w:rsidR="005B72CC" w:rsidRDefault="00C11319">
      <w:pPr>
        <w:jc w:val="center"/>
        <w:rPr>
          <w:b/>
          <w:bCs/>
        </w:rPr>
      </w:pPr>
      <w:r>
        <w:rPr>
          <w:b/>
          <w:bCs/>
        </w:rPr>
        <w:t>XI.</w:t>
      </w:r>
    </w:p>
    <w:p w:rsidR="005B72CC" w:rsidRDefault="00C11319">
      <w:pPr>
        <w:jc w:val="center"/>
        <w:rPr>
          <w:b/>
          <w:bCs/>
        </w:rPr>
      </w:pPr>
      <w:r>
        <w:rPr>
          <w:b/>
          <w:bCs/>
        </w:rPr>
        <w:t>Závěrečná ustanovení.</w:t>
      </w:r>
    </w:p>
    <w:p w:rsidR="005B72CC" w:rsidRDefault="005B72CC">
      <w:pPr>
        <w:jc w:val="both"/>
      </w:pPr>
    </w:p>
    <w:p w:rsidR="005B72CC" w:rsidRDefault="00C11319" w:rsidP="00C11319">
      <w:pPr>
        <w:numPr>
          <w:ilvl w:val="0"/>
          <w:numId w:val="40"/>
        </w:numPr>
        <w:suppressAutoHyphens w:val="0"/>
        <w:jc w:val="both"/>
      </w:pPr>
      <w:r>
        <w:t xml:space="preserve">Smlouva nabývá platnosti dnem podpisu obou smluvních stran a účinnosti jejím zveřejněním v registru smluv. </w:t>
      </w:r>
    </w:p>
    <w:p w:rsidR="005B72CC" w:rsidRDefault="00C11319" w:rsidP="00C11319">
      <w:pPr>
        <w:numPr>
          <w:ilvl w:val="0"/>
          <w:numId w:val="41"/>
        </w:numPr>
        <w:suppressAutoHyphens w:val="0"/>
        <w:jc w:val="both"/>
      </w:pPr>
      <w:r>
        <w:t xml:space="preserve">Zánik závazků vyplývající z této smlouvy lze sjednat písemnou dohodou smluvních stran. </w:t>
      </w:r>
    </w:p>
    <w:p w:rsidR="005B72CC" w:rsidRDefault="00C11319" w:rsidP="00C11319">
      <w:pPr>
        <w:numPr>
          <w:ilvl w:val="0"/>
          <w:numId w:val="42"/>
        </w:numPr>
        <w:suppressAutoHyphens w:val="0"/>
        <w:jc w:val="both"/>
      </w:pPr>
      <w:r>
        <w:t xml:space="preserve">V náležitostech neupravených touto dohodou se práva a povinnosti smluvních stran řídí zákonem č. 89/2012., občanský zákoník. </w:t>
      </w:r>
    </w:p>
    <w:p w:rsidR="005B72CC" w:rsidRDefault="00C11319" w:rsidP="00C11319">
      <w:pPr>
        <w:numPr>
          <w:ilvl w:val="0"/>
          <w:numId w:val="43"/>
        </w:numPr>
        <w:suppressAutoHyphens w:val="0"/>
        <w:jc w:val="both"/>
      </w:pPr>
      <w:r>
        <w:lastRenderedPageBreak/>
        <w:t xml:space="preserve">Podmínky sjednané v této smlouvě, dohodnutá práva a povinnosti lze měnit pouze po předchozí vzájemné dohodě smluvních stran, a to číslovaným písmenným dodatkem k této smlouvě. </w:t>
      </w:r>
    </w:p>
    <w:p w:rsidR="005B72CC" w:rsidRDefault="00C11319" w:rsidP="00C11319">
      <w:pPr>
        <w:numPr>
          <w:ilvl w:val="0"/>
          <w:numId w:val="44"/>
        </w:numPr>
        <w:suppressAutoHyphens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5B72CC" w:rsidRDefault="00C11319" w:rsidP="00C11319">
      <w:pPr>
        <w:numPr>
          <w:ilvl w:val="0"/>
          <w:numId w:val="45"/>
        </w:numPr>
        <w:suppressAutoHyphens w:val="0"/>
        <w:jc w:val="both"/>
      </w:pPr>
      <w:r>
        <w:t>Znění této smlouvy není obchodním tajemstvím a zhotovitel souhlasí se zveřejněním všech náležitostí smluvního vztahu.</w:t>
      </w:r>
    </w:p>
    <w:p w:rsidR="005B72CC" w:rsidRDefault="00C11319" w:rsidP="00C11319">
      <w:pPr>
        <w:numPr>
          <w:ilvl w:val="0"/>
          <w:numId w:val="46"/>
        </w:numPr>
        <w:suppressAutoHyphens w:val="0"/>
        <w:jc w:val="both"/>
      </w:pPr>
      <w:r>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rsidR="005B72CC" w:rsidRDefault="00C11319" w:rsidP="00C11319">
      <w:pPr>
        <w:numPr>
          <w:ilvl w:val="0"/>
          <w:numId w:val="47"/>
        </w:numPr>
        <w:suppressAutoHyphens w:val="0"/>
        <w:jc w:val="both"/>
      </w:pPr>
      <w:r>
        <w:t xml:space="preserve">Smlouva je vyhotovena ve 4 stejnopisech s platností originálu. Každá ze smluvních stran obdrží dvě vyhotovení. </w:t>
      </w:r>
    </w:p>
    <w:p w:rsidR="005B72CC" w:rsidRDefault="00C11319" w:rsidP="00C11319">
      <w:pPr>
        <w:numPr>
          <w:ilvl w:val="0"/>
          <w:numId w:val="48"/>
        </w:numPr>
        <w:suppressAutoHyphens w:val="0"/>
        <w:jc w:val="both"/>
      </w:pPr>
      <w:r>
        <w:t>Nedílnou součástí této smlouvy je Příloha č. 1 výkaz výměr stavebních prací.</w:t>
      </w:r>
    </w:p>
    <w:p w:rsidR="005B72CC" w:rsidRDefault="005B72CC">
      <w:pPr>
        <w:jc w:val="both"/>
      </w:pPr>
    </w:p>
    <w:tbl>
      <w:tblPr>
        <w:tblStyle w:val="Mkatabulky"/>
        <w:tblW w:w="9072" w:type="dxa"/>
        <w:tblLayout w:type="fixed"/>
        <w:tblLook w:val="04A0" w:firstRow="1" w:lastRow="0" w:firstColumn="1" w:lastColumn="0" w:noHBand="0" w:noVBand="1"/>
      </w:tblPr>
      <w:tblGrid>
        <w:gridCol w:w="4533"/>
        <w:gridCol w:w="4539"/>
      </w:tblGrid>
      <w:tr w:rsidR="005B72CC">
        <w:tc>
          <w:tcPr>
            <w:tcW w:w="4533" w:type="dxa"/>
            <w:tcBorders>
              <w:top w:val="nil"/>
              <w:left w:val="nil"/>
              <w:bottom w:val="nil"/>
              <w:right w:val="nil"/>
            </w:tcBorders>
          </w:tcPr>
          <w:p w:rsidR="005B72CC" w:rsidRDefault="00C11319">
            <w:pPr>
              <w:pStyle w:val="Tlotextu"/>
              <w:spacing w:after="0"/>
            </w:pPr>
            <w:r>
              <w:t xml:space="preserve">V </w:t>
            </w:r>
            <w:proofErr w:type="gramStart"/>
            <w:r>
              <w:t>Opavě ,</w:t>
            </w:r>
            <w:proofErr w:type="gramEnd"/>
            <w:r>
              <w:t xml:space="preserve"> dne: 18.4.2024</w:t>
            </w:r>
          </w:p>
          <w:p w:rsidR="005B72CC" w:rsidRDefault="005B72CC">
            <w:pPr>
              <w:pStyle w:val="Tlotextu"/>
              <w:spacing w:after="0"/>
            </w:pPr>
          </w:p>
          <w:p w:rsidR="005B72CC" w:rsidRDefault="00C11319">
            <w:pPr>
              <w:pStyle w:val="Tlotextu"/>
              <w:spacing w:after="0"/>
            </w:pPr>
            <w:r>
              <w:t>Za zhotovitele:</w:t>
            </w:r>
          </w:p>
        </w:tc>
        <w:tc>
          <w:tcPr>
            <w:tcW w:w="4538" w:type="dxa"/>
            <w:tcBorders>
              <w:top w:val="nil"/>
              <w:left w:val="nil"/>
              <w:bottom w:val="nil"/>
              <w:right w:val="nil"/>
            </w:tcBorders>
          </w:tcPr>
          <w:p w:rsidR="005B72CC" w:rsidRDefault="00C11319">
            <w:pPr>
              <w:pStyle w:val="Tlotextu"/>
              <w:spacing w:after="0"/>
            </w:pPr>
            <w:r>
              <w:t>V Opavě, dne:</w:t>
            </w:r>
            <w:r w:rsidR="00C811E5">
              <w:t xml:space="preserve"> </w:t>
            </w:r>
            <w:r w:rsidR="001933E6">
              <w:t>22</w:t>
            </w:r>
            <w:bookmarkStart w:id="0" w:name="_GoBack"/>
            <w:bookmarkEnd w:id="0"/>
            <w:r w:rsidR="00C811E5">
              <w:t xml:space="preserve">. 4. 2024 </w:t>
            </w:r>
          </w:p>
          <w:p w:rsidR="005B72CC" w:rsidRDefault="005B72CC">
            <w:pPr>
              <w:pStyle w:val="Tlotextu"/>
              <w:spacing w:after="0"/>
            </w:pPr>
          </w:p>
          <w:p w:rsidR="005B72CC" w:rsidRDefault="00C11319">
            <w:pPr>
              <w:pStyle w:val="Tlotextu"/>
              <w:spacing w:after="0"/>
            </w:pPr>
            <w:r>
              <w:t>Za objednatele:</w:t>
            </w:r>
          </w:p>
          <w:p w:rsidR="005B72CC" w:rsidRDefault="005B72CC">
            <w:pPr>
              <w:rPr>
                <w:b/>
                <w:bCs/>
                <w:lang w:eastAsia="en-US"/>
              </w:rPr>
            </w:pPr>
          </w:p>
          <w:p w:rsidR="005B72CC" w:rsidRDefault="00C11319">
            <w:pPr>
              <w:pStyle w:val="Tlotextu"/>
              <w:rPr>
                <w:kern w:val="0"/>
                <w:lang w:eastAsia="cs-CZ" w:bidi="ar-SA"/>
              </w:rPr>
            </w:pPr>
            <w:r>
              <w:rPr>
                <w:kern w:val="0"/>
                <w:lang w:eastAsia="cs-CZ" w:bidi="ar-SA"/>
              </w:rPr>
              <w:t>Ing. Zdeněk Jiříček</w:t>
            </w:r>
          </w:p>
          <w:p w:rsidR="005B72CC" w:rsidRDefault="00C11319">
            <w:pPr>
              <w:pStyle w:val="Tlotextu"/>
              <w:rPr>
                <w:kern w:val="0"/>
                <w:lang w:eastAsia="cs-CZ" w:bidi="ar-SA"/>
              </w:rPr>
            </w:pPr>
            <w:r>
              <w:rPr>
                <w:kern w:val="0"/>
                <w:lang w:eastAsia="cs-CZ" w:bidi="ar-SA"/>
              </w:rPr>
              <w:t>ředitel PN v Opavě</w:t>
            </w:r>
          </w:p>
        </w:tc>
      </w:tr>
    </w:tbl>
    <w:p w:rsidR="005B72CC" w:rsidRDefault="005B72CC"/>
    <w:sectPr w:rsidR="005B72CC">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4E" w:rsidRDefault="000D334E">
      <w:r>
        <w:separator/>
      </w:r>
    </w:p>
  </w:endnote>
  <w:endnote w:type="continuationSeparator" w:id="0">
    <w:p w:rsidR="000D334E" w:rsidRDefault="000D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19252"/>
      <w:docPartObj>
        <w:docPartGallery w:val="Page Numbers (Bottom of Page)"/>
        <w:docPartUnique/>
      </w:docPartObj>
    </w:sdtPr>
    <w:sdtEndPr/>
    <w:sdtContent>
      <w:p w:rsidR="005B72CC" w:rsidRDefault="00C11319">
        <w:pPr>
          <w:pStyle w:val="Zpat"/>
          <w:jc w:val="center"/>
        </w:pPr>
        <w:r>
          <w:fldChar w:fldCharType="begin"/>
        </w:r>
        <w:r>
          <w:instrText xml:space="preserve"> PAGE </w:instrText>
        </w:r>
        <w:r>
          <w:fldChar w:fldCharType="separate"/>
        </w:r>
        <w: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4E" w:rsidRDefault="000D334E">
      <w:r>
        <w:separator/>
      </w:r>
    </w:p>
  </w:footnote>
  <w:footnote w:type="continuationSeparator" w:id="0">
    <w:p w:rsidR="000D334E" w:rsidRDefault="000D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2ED"/>
    <w:multiLevelType w:val="multilevel"/>
    <w:tmpl w:val="07661466"/>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28B15299"/>
    <w:multiLevelType w:val="multilevel"/>
    <w:tmpl w:val="E072F7FE"/>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3E2B45A5"/>
    <w:multiLevelType w:val="multilevel"/>
    <w:tmpl w:val="FC46A07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558A5F94"/>
    <w:multiLevelType w:val="multilevel"/>
    <w:tmpl w:val="08BC6C0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64EA3705"/>
    <w:multiLevelType w:val="multilevel"/>
    <w:tmpl w:val="D33E986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66C323C0"/>
    <w:multiLevelType w:val="multilevel"/>
    <w:tmpl w:val="6F64CA3A"/>
    <w:lvl w:ilvl="0">
      <w:start w:val="1"/>
      <w:numFmt w:val="decimal"/>
      <w:lvlText w:val="%1."/>
      <w:lvlJc w:val="left"/>
      <w:pPr>
        <w:tabs>
          <w:tab w:val="num" w:pos="0"/>
        </w:tabs>
        <w:ind w:left="360" w:hanging="360"/>
      </w:pPr>
      <w:rPr>
        <w:rFonts w:cs="Times New Roman"/>
      </w:rPr>
    </w:lvl>
    <w:lvl w:ilvl="1">
      <w:start w:val="1"/>
      <w:numFmt w:val="lowerLetter"/>
      <w:pStyle w:val="Nadpis2"/>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5"/>
  </w:num>
  <w:num w:numId="2">
    <w:abstractNumId w:val="0"/>
    <w:lvlOverride w:ilvl="0">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3"/>
    <w:lvlOverride w:ilvl="0">
      <w:startOverride w:val="1"/>
    </w:lvlOverride>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1"/>
    <w:lvlOverride w:ilvl="0">
      <w:startOverride w:val="1"/>
    </w:lvlOverride>
  </w:num>
  <w:num w:numId="39">
    <w:abstractNumId w:val="1"/>
  </w:num>
  <w:num w:numId="40">
    <w:abstractNumId w:val="2"/>
    <w:lvlOverride w:ilvl="0">
      <w:startOverride w:val="1"/>
    </w:lvlOverride>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CC"/>
    <w:rsid w:val="000D334E"/>
    <w:rsid w:val="001933E6"/>
    <w:rsid w:val="005B72CC"/>
    <w:rsid w:val="00C11319"/>
    <w:rsid w:val="00C811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76A6"/>
  <w15:docId w15:val="{0F071D74-FFC9-42F8-8ECC-681FB56A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0976"/>
    <w:rPr>
      <w:rFonts w:ascii="Times New Roman" w:eastAsia="Times New Roman" w:hAnsi="Times New Roman" w:cs="Times New Roman"/>
      <w:sz w:val="24"/>
      <w:szCs w:val="24"/>
      <w:lang w:eastAsia="ar-SA"/>
    </w:rPr>
  </w:style>
  <w:style w:type="paragraph" w:styleId="Nadpis2">
    <w:name w:val="heading 2"/>
    <w:basedOn w:val="Normln"/>
    <w:next w:val="Zkladntext"/>
    <w:link w:val="Nadpis2Char"/>
    <w:unhideWhenUsed/>
    <w:qFormat/>
    <w:rsid w:val="00EC2E2E"/>
    <w:pPr>
      <w:keepNext/>
      <w:keepLines/>
      <w:numPr>
        <w:ilvl w:val="1"/>
        <w:numId w:val="1"/>
      </w:numPr>
      <w:spacing w:line="200" w:lineRule="atLeast"/>
      <w:outlineLvl w:val="1"/>
    </w:pPr>
    <w:rPr>
      <w:rFonts w:ascii="Arial" w:hAnsi="Arial" w:cs="Arial"/>
      <w:b/>
      <w:spacing w:val="10"/>
      <w:kern w:val="2"/>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character" w:customStyle="1" w:styleId="TextkomenteChar">
    <w:name w:val="Text komentáře Char"/>
    <w:basedOn w:val="Standardnpsmoodstavce"/>
    <w:link w:val="Textkomente"/>
    <w:uiPriority w:val="99"/>
    <w:semiHidden/>
    <w:qFormat/>
    <w:rsid w:val="00B50976"/>
    <w:rPr>
      <w:rFonts w:ascii="Times New Roman" w:eastAsia="Times New Roman" w:hAnsi="Times New Roman" w:cs="Times New Roman"/>
      <w:sz w:val="20"/>
      <w:szCs w:val="20"/>
      <w:lang w:eastAsia="ar-SA"/>
    </w:rPr>
  </w:style>
  <w:style w:type="character" w:styleId="Odkaznakoment">
    <w:name w:val="annotation reference"/>
    <w:uiPriority w:val="99"/>
    <w:semiHidden/>
    <w:unhideWhenUsed/>
    <w:qFormat/>
    <w:rsid w:val="00B50976"/>
    <w:rPr>
      <w:sz w:val="16"/>
      <w:szCs w:val="16"/>
    </w:rPr>
  </w:style>
  <w:style w:type="character" w:customStyle="1" w:styleId="TextbublinyChar">
    <w:name w:val="Text bubliny Char"/>
    <w:basedOn w:val="Standardnpsmoodstavce"/>
    <w:link w:val="Textbubliny"/>
    <w:uiPriority w:val="99"/>
    <w:semiHidden/>
    <w:qFormat/>
    <w:rsid w:val="00B50976"/>
    <w:rPr>
      <w:rFonts w:ascii="Segoe UI" w:eastAsia="Times New Roman" w:hAnsi="Segoe UI" w:cs="Segoe UI"/>
      <w:sz w:val="18"/>
      <w:szCs w:val="18"/>
      <w:lang w:eastAsia="ar-SA"/>
    </w:rPr>
  </w:style>
  <w:style w:type="character" w:customStyle="1" w:styleId="PedmtkomenteChar">
    <w:name w:val="Předmět komentáře Char"/>
    <w:basedOn w:val="TextkomenteChar"/>
    <w:link w:val="Pedmtkomente"/>
    <w:uiPriority w:val="99"/>
    <w:semiHidden/>
    <w:qFormat/>
    <w:rsid w:val="007D2B60"/>
    <w:rPr>
      <w:rFonts w:ascii="Times New Roman" w:eastAsia="Times New Roman" w:hAnsi="Times New Roman" w:cs="Times New Roman"/>
      <w:b/>
      <w:bCs/>
      <w:sz w:val="20"/>
      <w:szCs w:val="20"/>
      <w:lang w:eastAsia="ar-SA"/>
    </w:rPr>
  </w:style>
  <w:style w:type="character" w:customStyle="1" w:styleId="ProsttextChar">
    <w:name w:val="Prostý text Char"/>
    <w:basedOn w:val="Standardnpsmoodstavce"/>
    <w:uiPriority w:val="99"/>
    <w:semiHidden/>
    <w:qFormat/>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qFormat/>
    <w:locked/>
    <w:rsid w:val="00910478"/>
    <w:rPr>
      <w:rFonts w:ascii="Courier New" w:eastAsia="Times New Roman" w:hAnsi="Courier New" w:cs="Courier New"/>
      <w:sz w:val="20"/>
      <w:szCs w:val="20"/>
      <w:lang w:eastAsia="cs-CZ"/>
    </w:rPr>
  </w:style>
  <w:style w:type="character" w:customStyle="1" w:styleId="ZhlavChar">
    <w:name w:val="Záhlaví Char"/>
    <w:basedOn w:val="Standardnpsmoodstavce"/>
    <w:link w:val="Zhlav"/>
    <w:uiPriority w:val="99"/>
    <w:qFormat/>
    <w:rsid w:val="00096AF3"/>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qFormat/>
    <w:rsid w:val="00096AF3"/>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qFormat/>
    <w:rsid w:val="00EC2E2E"/>
    <w:rPr>
      <w:rFonts w:ascii="Arial" w:eastAsia="Times New Roman" w:hAnsi="Arial" w:cs="Arial"/>
      <w:b/>
      <w:spacing w:val="10"/>
      <w:kern w:val="2"/>
      <w:sz w:val="20"/>
      <w:szCs w:val="20"/>
      <w:lang w:eastAsia="zh-CN"/>
    </w:rPr>
  </w:style>
  <w:style w:type="character" w:customStyle="1" w:styleId="ZkladntextChar">
    <w:name w:val="Základní text Char"/>
    <w:basedOn w:val="Standardnpsmoodstavce"/>
    <w:link w:val="Zkladntext"/>
    <w:semiHidden/>
    <w:qFormat/>
    <w:rsid w:val="00EC2E2E"/>
    <w:rPr>
      <w:rFonts w:ascii="Arial" w:eastAsia="Times New Roman" w:hAnsi="Arial" w:cs="Arial"/>
      <w:spacing w:val="-5"/>
      <w:sz w:val="20"/>
      <w:szCs w:val="20"/>
      <w:lang w:eastAsia="zh-CN"/>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unhideWhenUsed/>
    <w:rsid w:val="00EC2E2E"/>
    <w:pPr>
      <w:spacing w:after="220" w:line="180" w:lineRule="atLeast"/>
      <w:jc w:val="both"/>
    </w:pPr>
    <w:rPr>
      <w:rFonts w:ascii="Arial" w:hAnsi="Arial" w:cs="Arial"/>
      <w:spacing w:val="-5"/>
      <w:sz w:val="20"/>
      <w:szCs w:val="20"/>
      <w:lang w:eastAsia="zh-CN"/>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Textkomente">
    <w:name w:val="annotation text"/>
    <w:basedOn w:val="Normln"/>
    <w:link w:val="TextkomenteChar"/>
    <w:uiPriority w:val="99"/>
    <w:semiHidden/>
    <w:unhideWhenUsed/>
    <w:qFormat/>
    <w:rsid w:val="00B50976"/>
    <w:rPr>
      <w:sz w:val="20"/>
      <w:szCs w:val="20"/>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qFormat/>
    <w:rsid w:val="00B50976"/>
    <w:pPr>
      <w:widowControl w:val="0"/>
      <w:spacing w:after="120"/>
      <w:jc w:val="both"/>
    </w:pPr>
    <w:rPr>
      <w:kern w:val="2"/>
      <w:lang w:eastAsia="hi-IN" w:bidi="hi-IN"/>
    </w:rPr>
  </w:style>
  <w:style w:type="paragraph" w:styleId="Textbubliny">
    <w:name w:val="Balloon Text"/>
    <w:basedOn w:val="Normln"/>
    <w:link w:val="TextbublinyChar"/>
    <w:uiPriority w:val="99"/>
    <w:semiHidden/>
    <w:unhideWhenUsed/>
    <w:qFormat/>
    <w:rsid w:val="00B50976"/>
    <w:rPr>
      <w:rFonts w:ascii="Segoe UI" w:hAnsi="Segoe UI" w:cs="Segoe UI"/>
      <w:sz w:val="18"/>
      <w:szCs w:val="18"/>
    </w:rPr>
  </w:style>
  <w:style w:type="paragraph" w:customStyle="1" w:styleId="Standard">
    <w:name w:val="Standard"/>
    <w:qFormat/>
    <w:rsid w:val="006A5ED1"/>
    <w:pPr>
      <w:widowControl w:val="0"/>
    </w:pPr>
    <w:rPr>
      <w:rFonts w:ascii="Times New Roman" w:eastAsia="Andale Sans UI" w:hAnsi="Times New Roman" w:cs="Tahoma"/>
      <w:kern w:val="2"/>
      <w:sz w:val="24"/>
      <w:szCs w:val="24"/>
      <w:lang w:val="de-DE" w:eastAsia="ja-JP" w:bidi="fa-IR"/>
    </w:rPr>
  </w:style>
  <w:style w:type="paragraph" w:styleId="Pedmtkomente">
    <w:name w:val="annotation subject"/>
    <w:basedOn w:val="Textkomente"/>
    <w:next w:val="Textkomente"/>
    <w:link w:val="PedmtkomenteChar"/>
    <w:uiPriority w:val="99"/>
    <w:semiHidden/>
    <w:unhideWhenUsed/>
    <w:qFormat/>
    <w:rsid w:val="007D2B60"/>
    <w:rPr>
      <w:b/>
      <w:bCs/>
    </w:rPr>
  </w:style>
  <w:style w:type="paragraph" w:styleId="Prosttext">
    <w:name w:val="Plain Text"/>
    <w:basedOn w:val="Normln"/>
    <w:link w:val="ProsttextChar1"/>
    <w:uiPriority w:val="99"/>
    <w:semiHidden/>
    <w:unhideWhenUsed/>
    <w:qFormat/>
    <w:rsid w:val="00910478"/>
    <w:pPr>
      <w:suppressAutoHyphens w:val="0"/>
    </w:pPr>
    <w:rPr>
      <w:rFonts w:ascii="Courier New" w:hAnsi="Courier New" w:cs="Courier New"/>
      <w:sz w:val="20"/>
      <w:szCs w:val="20"/>
      <w:lang w:eastAsia="cs-CZ"/>
    </w:rPr>
  </w:style>
  <w:style w:type="paragraph" w:customStyle="1" w:styleId="Zhlavazpat">
    <w:name w:val="Záhlaví a zápatí"/>
    <w:basedOn w:val="Normln"/>
    <w:qFormat/>
  </w:style>
  <w:style w:type="paragraph" w:styleId="Zhlav">
    <w:name w:val="header"/>
    <w:basedOn w:val="Normln"/>
    <w:link w:val="ZhlavChar"/>
    <w:uiPriority w:val="99"/>
    <w:unhideWhenUsed/>
    <w:rsid w:val="00096AF3"/>
    <w:pPr>
      <w:tabs>
        <w:tab w:val="center" w:pos="4536"/>
        <w:tab w:val="right" w:pos="9072"/>
      </w:tabs>
    </w:pPr>
  </w:style>
  <w:style w:type="paragraph" w:styleId="Zpat">
    <w:name w:val="footer"/>
    <w:basedOn w:val="Normln"/>
    <w:link w:val="ZpatChar"/>
    <w:uiPriority w:val="99"/>
    <w:unhideWhenUsed/>
    <w:rsid w:val="00096AF3"/>
    <w:pPr>
      <w:tabs>
        <w:tab w:val="center" w:pos="4536"/>
        <w:tab w:val="right" w:pos="9072"/>
      </w:tabs>
    </w:pPr>
  </w:style>
  <w:style w:type="table" w:styleId="Mkatabulky">
    <w:name w:val="Table Grid"/>
    <w:basedOn w:val="Normlntabulka"/>
    <w:uiPriority w:val="59"/>
    <w:rsid w:val="00B509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60DD-D081-49DB-8A39-F0965B08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2096</Words>
  <Characters>12370</Characters>
  <Application>Microsoft Office Word</Application>
  <DocSecurity>0</DocSecurity>
  <Lines>103</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dc:description/>
  <cp:lastModifiedBy>Škaroupka Michal</cp:lastModifiedBy>
  <cp:revision>38</cp:revision>
  <cp:lastPrinted>2024-04-18T14:33:00Z</cp:lastPrinted>
  <dcterms:created xsi:type="dcterms:W3CDTF">2020-10-06T06:07:00Z</dcterms:created>
  <dcterms:modified xsi:type="dcterms:W3CDTF">2024-04-23T04:21:00Z</dcterms:modified>
  <dc:language>cs-CZ</dc:language>
</cp:coreProperties>
</file>