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0E9D95B0" w:rsidR="009601F0" w:rsidRPr="00633675"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525E6A">
        <w:rPr>
          <w:rFonts w:ascii="Tahoma" w:hAnsi="Tahoma" w:cs="Tahoma"/>
          <w:sz w:val="20"/>
          <w:szCs w:val="22"/>
        </w:rPr>
        <w:t>:</w:t>
      </w:r>
      <w:r>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43F82E0A"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DF6930">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0522471B" w:rsidR="0051200A" w:rsidRPr="008F2587" w:rsidRDefault="008F2587"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sidRPr="008F2587">
        <w:rPr>
          <w:rFonts w:ascii="Tahoma" w:hAnsi="Tahoma" w:cs="Tahoma"/>
          <w:b/>
          <w:sz w:val="20"/>
          <w:szCs w:val="22"/>
        </w:rPr>
        <w:t>NIMOTECH, s.r.o.</w:t>
      </w:r>
    </w:p>
    <w:p w14:paraId="38B9994A" w14:textId="4EC67CB4" w:rsidR="009601F0" w:rsidRPr="008F2587"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8F2587">
        <w:rPr>
          <w:rFonts w:ascii="Tahoma" w:hAnsi="Tahoma" w:cs="Tahoma"/>
          <w:sz w:val="20"/>
          <w:szCs w:val="22"/>
        </w:rPr>
        <w:t>s</w:t>
      </w:r>
      <w:r w:rsidR="009601F0" w:rsidRPr="008F2587">
        <w:rPr>
          <w:rFonts w:ascii="Tahoma" w:hAnsi="Tahoma" w:cs="Tahoma"/>
          <w:sz w:val="20"/>
          <w:szCs w:val="22"/>
        </w:rPr>
        <w:t>e sídlem:</w:t>
      </w:r>
      <w:r w:rsidR="008F2587" w:rsidRPr="008F2587">
        <w:rPr>
          <w:rFonts w:ascii="Tahoma" w:hAnsi="Tahoma" w:cs="Tahoma"/>
          <w:sz w:val="20"/>
          <w:szCs w:val="22"/>
        </w:rPr>
        <w:t xml:space="preserve"> </w:t>
      </w:r>
      <w:r w:rsidR="003A014F">
        <w:rPr>
          <w:rFonts w:ascii="Tahoma" w:hAnsi="Tahoma" w:cs="Tahoma"/>
          <w:sz w:val="20"/>
          <w:szCs w:val="22"/>
        </w:rPr>
        <w:tab/>
      </w:r>
      <w:r w:rsidR="008F2587" w:rsidRPr="008F2587">
        <w:rPr>
          <w:rFonts w:ascii="Tahoma" w:hAnsi="Tahoma" w:cs="Tahoma"/>
          <w:sz w:val="20"/>
          <w:szCs w:val="22"/>
        </w:rPr>
        <w:t xml:space="preserve">Šumavská 416/15, </w:t>
      </w:r>
      <w:proofErr w:type="spellStart"/>
      <w:r w:rsidR="008F2587" w:rsidRPr="008F2587">
        <w:rPr>
          <w:rFonts w:ascii="Tahoma" w:hAnsi="Tahoma" w:cs="Tahoma"/>
          <w:sz w:val="20"/>
          <w:szCs w:val="22"/>
        </w:rPr>
        <w:t>Ponava</w:t>
      </w:r>
      <w:proofErr w:type="spellEnd"/>
      <w:r w:rsidR="008F2587" w:rsidRPr="008F2587">
        <w:rPr>
          <w:rFonts w:ascii="Tahoma" w:hAnsi="Tahoma" w:cs="Tahoma"/>
          <w:sz w:val="20"/>
          <w:szCs w:val="22"/>
        </w:rPr>
        <w:t>, 602 00 Brno</w:t>
      </w:r>
    </w:p>
    <w:p w14:paraId="433A77C9" w14:textId="2FAAD916" w:rsidR="009601F0" w:rsidRPr="008F25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F2587">
        <w:rPr>
          <w:rFonts w:ascii="Tahoma" w:hAnsi="Tahoma" w:cs="Tahoma"/>
          <w:sz w:val="20"/>
          <w:szCs w:val="22"/>
        </w:rPr>
        <w:t>z</w:t>
      </w:r>
      <w:r w:rsidR="009601F0" w:rsidRPr="008F2587">
        <w:rPr>
          <w:rFonts w:ascii="Tahoma" w:hAnsi="Tahoma" w:cs="Tahoma"/>
          <w:sz w:val="20"/>
          <w:szCs w:val="22"/>
        </w:rPr>
        <w:t>astoupen</w:t>
      </w:r>
      <w:r w:rsidR="008F2587" w:rsidRPr="008F2587">
        <w:rPr>
          <w:rFonts w:ascii="Tahoma" w:hAnsi="Tahoma" w:cs="Tahoma"/>
          <w:sz w:val="20"/>
          <w:szCs w:val="22"/>
        </w:rPr>
        <w:t xml:space="preserve">a: </w:t>
      </w:r>
      <w:r w:rsidR="003A014F">
        <w:rPr>
          <w:rFonts w:ascii="Tahoma" w:hAnsi="Tahoma" w:cs="Tahoma"/>
          <w:sz w:val="20"/>
          <w:szCs w:val="22"/>
        </w:rPr>
        <w:tab/>
      </w:r>
      <w:r w:rsidR="008F2587" w:rsidRPr="008F2587">
        <w:rPr>
          <w:rFonts w:ascii="Tahoma" w:hAnsi="Tahoma" w:cs="Tahoma"/>
          <w:sz w:val="20"/>
          <w:szCs w:val="22"/>
        </w:rPr>
        <w:t>JUDr. Gertruda Frydová, prokurista</w:t>
      </w:r>
    </w:p>
    <w:p w14:paraId="1816FCAE" w14:textId="4856F6B6" w:rsidR="009601F0" w:rsidRPr="008F258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F2587">
        <w:rPr>
          <w:rFonts w:ascii="Tahoma" w:hAnsi="Tahoma" w:cs="Tahoma"/>
          <w:sz w:val="20"/>
          <w:szCs w:val="22"/>
        </w:rPr>
        <w:t>IČ</w:t>
      </w:r>
      <w:r w:rsidR="006D6317" w:rsidRPr="008F2587">
        <w:rPr>
          <w:rFonts w:ascii="Tahoma" w:hAnsi="Tahoma" w:cs="Tahoma"/>
          <w:sz w:val="20"/>
          <w:szCs w:val="22"/>
        </w:rPr>
        <w:t>O</w:t>
      </w:r>
      <w:r w:rsidRPr="008F2587">
        <w:rPr>
          <w:rFonts w:ascii="Tahoma" w:hAnsi="Tahoma" w:cs="Tahoma"/>
          <w:sz w:val="20"/>
          <w:szCs w:val="22"/>
        </w:rPr>
        <w:t>:</w:t>
      </w:r>
      <w:r w:rsidRPr="008F2587">
        <w:rPr>
          <w:rFonts w:ascii="Tahoma" w:hAnsi="Tahoma" w:cs="Tahoma"/>
          <w:sz w:val="20"/>
          <w:szCs w:val="22"/>
        </w:rPr>
        <w:tab/>
      </w:r>
      <w:r w:rsidR="003A014F">
        <w:rPr>
          <w:rFonts w:ascii="Tahoma" w:hAnsi="Tahoma" w:cs="Tahoma"/>
          <w:sz w:val="20"/>
          <w:szCs w:val="22"/>
        </w:rPr>
        <w:tab/>
      </w:r>
      <w:r w:rsidR="008F2587" w:rsidRPr="008F2587">
        <w:rPr>
          <w:rFonts w:ascii="Tahoma" w:hAnsi="Tahoma" w:cs="Tahoma"/>
          <w:sz w:val="20"/>
          <w:szCs w:val="22"/>
        </w:rPr>
        <w:t>18825605</w:t>
      </w:r>
    </w:p>
    <w:p w14:paraId="44E863C5" w14:textId="4B43762A" w:rsidR="009601F0" w:rsidRPr="008F258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F2587">
        <w:rPr>
          <w:rFonts w:ascii="Tahoma" w:hAnsi="Tahoma" w:cs="Tahoma"/>
          <w:sz w:val="20"/>
          <w:szCs w:val="22"/>
        </w:rPr>
        <w:t>DIČ:</w:t>
      </w:r>
      <w:r w:rsidR="003A014F">
        <w:rPr>
          <w:rFonts w:ascii="Tahoma" w:hAnsi="Tahoma" w:cs="Tahoma"/>
          <w:sz w:val="20"/>
          <w:szCs w:val="22"/>
        </w:rPr>
        <w:tab/>
      </w:r>
      <w:r w:rsidRPr="008F2587">
        <w:rPr>
          <w:rFonts w:ascii="Tahoma" w:hAnsi="Tahoma" w:cs="Tahoma"/>
          <w:sz w:val="20"/>
          <w:szCs w:val="22"/>
        </w:rPr>
        <w:tab/>
      </w:r>
      <w:r w:rsidR="008F2587" w:rsidRPr="008F2587">
        <w:rPr>
          <w:rFonts w:ascii="Tahoma" w:hAnsi="Tahoma" w:cs="Tahoma"/>
          <w:sz w:val="20"/>
          <w:szCs w:val="22"/>
        </w:rPr>
        <w:t>CZ18825605</w:t>
      </w:r>
      <w:r w:rsidR="007C0279" w:rsidRPr="008F2587">
        <w:rPr>
          <w:rFonts w:ascii="Tahoma" w:hAnsi="Tahoma" w:cs="Tahoma"/>
          <w:sz w:val="20"/>
          <w:szCs w:val="22"/>
        </w:rPr>
        <w:tab/>
      </w:r>
    </w:p>
    <w:p w14:paraId="22485E20" w14:textId="7618FF1F" w:rsidR="0051200A" w:rsidRPr="008F25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F2587">
        <w:rPr>
          <w:rFonts w:ascii="Tahoma" w:hAnsi="Tahoma" w:cs="Tahoma"/>
          <w:sz w:val="20"/>
          <w:szCs w:val="22"/>
        </w:rPr>
        <w:t>b</w:t>
      </w:r>
      <w:r w:rsidR="009601F0" w:rsidRPr="008F2587">
        <w:rPr>
          <w:rFonts w:ascii="Tahoma" w:hAnsi="Tahoma" w:cs="Tahoma"/>
          <w:sz w:val="20"/>
          <w:szCs w:val="22"/>
        </w:rPr>
        <w:t>ankovní spojení:</w:t>
      </w:r>
      <w:r w:rsidR="008F2587" w:rsidRPr="008F2587">
        <w:rPr>
          <w:rFonts w:ascii="Tahoma" w:hAnsi="Tahoma" w:cs="Tahoma"/>
          <w:sz w:val="20"/>
          <w:szCs w:val="22"/>
        </w:rPr>
        <w:t xml:space="preserve"> </w:t>
      </w:r>
      <w:r w:rsidR="003A014F">
        <w:rPr>
          <w:rFonts w:ascii="Tahoma" w:hAnsi="Tahoma" w:cs="Tahoma"/>
          <w:sz w:val="20"/>
          <w:szCs w:val="22"/>
        </w:rPr>
        <w:tab/>
      </w:r>
      <w:proofErr w:type="spellStart"/>
      <w:r w:rsidR="008F2587" w:rsidRPr="008F2587">
        <w:rPr>
          <w:rFonts w:ascii="Tahoma" w:hAnsi="Tahoma" w:cs="Tahoma"/>
          <w:sz w:val="20"/>
          <w:szCs w:val="22"/>
        </w:rPr>
        <w:t>UniCredit</w:t>
      </w:r>
      <w:proofErr w:type="spellEnd"/>
      <w:r w:rsidR="008F2587" w:rsidRPr="008F2587">
        <w:rPr>
          <w:rFonts w:ascii="Tahoma" w:hAnsi="Tahoma" w:cs="Tahoma"/>
          <w:sz w:val="20"/>
          <w:szCs w:val="22"/>
        </w:rPr>
        <w:t xml:space="preserve"> Bank Czech Republic and Slovakia, a.s.</w:t>
      </w:r>
      <w:r w:rsidR="009601F0" w:rsidRPr="008F2587">
        <w:rPr>
          <w:rFonts w:ascii="Tahoma" w:hAnsi="Tahoma" w:cs="Tahoma"/>
          <w:sz w:val="20"/>
          <w:szCs w:val="22"/>
        </w:rPr>
        <w:tab/>
      </w:r>
    </w:p>
    <w:p w14:paraId="4D4FB822" w14:textId="1D9DFD63" w:rsidR="009601F0" w:rsidRPr="008F25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F2587">
        <w:rPr>
          <w:rFonts w:ascii="Tahoma" w:hAnsi="Tahoma" w:cs="Tahoma"/>
          <w:sz w:val="20"/>
          <w:szCs w:val="22"/>
        </w:rPr>
        <w:t>č</w:t>
      </w:r>
      <w:r w:rsidR="009601F0" w:rsidRPr="008F2587">
        <w:rPr>
          <w:rFonts w:ascii="Tahoma" w:hAnsi="Tahoma" w:cs="Tahoma"/>
          <w:sz w:val="20"/>
          <w:szCs w:val="22"/>
        </w:rPr>
        <w:t>íslo účtu:</w:t>
      </w:r>
      <w:r w:rsidR="008F2587" w:rsidRPr="008F2587">
        <w:rPr>
          <w:rFonts w:ascii="Tahoma" w:hAnsi="Tahoma" w:cs="Tahoma"/>
          <w:sz w:val="20"/>
          <w:szCs w:val="22"/>
        </w:rPr>
        <w:t xml:space="preserve"> </w:t>
      </w:r>
      <w:r w:rsidR="003A014F">
        <w:rPr>
          <w:rFonts w:ascii="Tahoma" w:hAnsi="Tahoma" w:cs="Tahoma"/>
          <w:sz w:val="20"/>
          <w:szCs w:val="22"/>
        </w:rPr>
        <w:tab/>
      </w:r>
      <w:proofErr w:type="spellStart"/>
      <w:r w:rsidR="00DF6930">
        <w:rPr>
          <w:rFonts w:ascii="Tahoma" w:hAnsi="Tahoma" w:cs="Tahoma"/>
          <w:sz w:val="20"/>
          <w:szCs w:val="22"/>
        </w:rPr>
        <w:t>xxx</w:t>
      </w:r>
      <w:proofErr w:type="spellEnd"/>
    </w:p>
    <w:p w14:paraId="0657C746" w14:textId="792B964D" w:rsidR="000E5A82" w:rsidRPr="008F2587"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8F2587">
        <w:rPr>
          <w:rFonts w:ascii="Tahoma" w:hAnsi="Tahoma" w:cs="Tahoma"/>
          <w:sz w:val="20"/>
          <w:szCs w:val="22"/>
        </w:rPr>
        <w:t xml:space="preserve">Zapsána v obchodním rejstříku vedeném </w:t>
      </w:r>
      <w:r w:rsidR="008F2587" w:rsidRPr="008F2587">
        <w:rPr>
          <w:rFonts w:ascii="Tahoma" w:hAnsi="Tahoma" w:cs="Tahoma"/>
          <w:sz w:val="20"/>
          <w:szCs w:val="22"/>
        </w:rPr>
        <w:t>Krajským</w:t>
      </w:r>
      <w:r w:rsidR="000E5A82" w:rsidRPr="008F2587">
        <w:rPr>
          <w:rFonts w:ascii="Tahoma" w:hAnsi="Tahoma" w:cs="Tahoma"/>
          <w:iCs/>
          <w:sz w:val="20"/>
          <w:szCs w:val="20"/>
        </w:rPr>
        <w:t xml:space="preserve"> soudem v </w:t>
      </w:r>
      <w:r w:rsidR="008F2587" w:rsidRPr="008F2587">
        <w:rPr>
          <w:rFonts w:ascii="Tahoma" w:hAnsi="Tahoma" w:cs="Tahoma"/>
          <w:iCs/>
          <w:sz w:val="20"/>
          <w:szCs w:val="20"/>
        </w:rPr>
        <w:t>Brně</w:t>
      </w:r>
      <w:r w:rsidR="000E5A82" w:rsidRPr="008F2587">
        <w:rPr>
          <w:rFonts w:ascii="Tahoma" w:hAnsi="Tahoma" w:cs="Tahoma"/>
          <w:iCs/>
          <w:sz w:val="20"/>
          <w:szCs w:val="20"/>
        </w:rPr>
        <w:t>, oddíl</w:t>
      </w:r>
      <w:r w:rsidR="008F2587" w:rsidRPr="008F2587">
        <w:rPr>
          <w:rFonts w:ascii="Tahoma" w:hAnsi="Tahoma" w:cs="Tahoma"/>
          <w:iCs/>
          <w:sz w:val="20"/>
          <w:szCs w:val="20"/>
        </w:rPr>
        <w:t xml:space="preserve"> C</w:t>
      </w:r>
      <w:r w:rsidR="000E5A82" w:rsidRPr="008F2587">
        <w:rPr>
          <w:rFonts w:ascii="Tahoma" w:hAnsi="Tahoma" w:cs="Tahoma"/>
          <w:iCs/>
          <w:sz w:val="20"/>
          <w:szCs w:val="20"/>
        </w:rPr>
        <w:t>, vložka </w:t>
      </w:r>
      <w:r w:rsidR="008F2587" w:rsidRPr="008F2587">
        <w:rPr>
          <w:rFonts w:ascii="Tahoma" w:hAnsi="Tahoma" w:cs="Tahoma"/>
          <w:iCs/>
          <w:sz w:val="20"/>
          <w:szCs w:val="20"/>
        </w:rPr>
        <w:t>1292</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8F2587">
        <w:rPr>
          <w:rFonts w:ascii="Tahoma" w:hAnsi="Tahoma" w:cs="Tahoma"/>
          <w:iCs/>
          <w:sz w:val="20"/>
          <w:szCs w:val="22"/>
        </w:rPr>
        <w:t xml:space="preserve">dále jen </w:t>
      </w:r>
      <w:r w:rsidR="0075678D" w:rsidRPr="008F2587">
        <w:rPr>
          <w:rFonts w:ascii="Tahoma" w:hAnsi="Tahoma" w:cs="Tahoma"/>
          <w:iCs/>
          <w:sz w:val="20"/>
          <w:szCs w:val="22"/>
        </w:rPr>
        <w:t>„</w:t>
      </w:r>
      <w:r w:rsidR="0075678D" w:rsidRPr="008F2587">
        <w:rPr>
          <w:rFonts w:ascii="Tahoma" w:hAnsi="Tahoma" w:cs="Tahoma"/>
          <w:i/>
          <w:sz w:val="20"/>
          <w:szCs w:val="22"/>
        </w:rPr>
        <w:t>prodávající</w:t>
      </w:r>
      <w:r w:rsidR="0075678D" w:rsidRPr="008F2587">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w:t>
      </w:r>
      <w:bookmarkStart w:id="2" w:name="_GoBack"/>
      <w:bookmarkEnd w:id="2"/>
      <w:r w:rsidRPr="00633675">
        <w:rPr>
          <w:rFonts w:ascii="Tahoma" w:hAnsi="Tahoma" w:cs="Tahoma"/>
          <w:sz w:val="20"/>
          <w:szCs w:val="18"/>
        </w:rPr>
        <w:t>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D452C2">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33F66AA" w14:textId="77777777" w:rsidR="00810E99" w:rsidRPr="00B44200" w:rsidRDefault="00810E99" w:rsidP="00810E99">
      <w:pPr>
        <w:pStyle w:val="OdstavecSmlouvy"/>
        <w:keepLines w:val="0"/>
        <w:widowControl w:val="0"/>
        <w:tabs>
          <w:tab w:val="clear" w:pos="426"/>
          <w:tab w:val="clear" w:pos="1701"/>
        </w:tabs>
        <w:spacing w:before="120" w:after="0"/>
        <w:ind w:left="357"/>
        <w:rPr>
          <w:rFonts w:ascii="Tahoma" w:hAnsi="Tahoma" w:cs="Tahoma"/>
          <w:sz w:val="20"/>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0F8DCF11"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2927DF">
        <w:rPr>
          <w:rFonts w:ascii="Tahoma" w:hAnsi="Tahoma" w:cs="Tahoma"/>
          <w:b/>
          <w:bCs/>
          <w:sz w:val="20"/>
          <w:szCs w:val="20"/>
        </w:rPr>
        <w:t>ultrazvukový pří</w:t>
      </w:r>
      <w:r w:rsidR="00E6187E">
        <w:rPr>
          <w:rFonts w:ascii="Tahoma" w:hAnsi="Tahoma" w:cs="Tahoma"/>
          <w:b/>
          <w:bCs/>
          <w:sz w:val="20"/>
          <w:szCs w:val="20"/>
        </w:rPr>
        <w:t xml:space="preserve">stroj pro </w:t>
      </w:r>
      <w:r w:rsidR="00B44200">
        <w:rPr>
          <w:rFonts w:ascii="Tahoma" w:hAnsi="Tahoma" w:cs="Tahoma"/>
          <w:b/>
          <w:bCs/>
          <w:sz w:val="20"/>
          <w:szCs w:val="20"/>
        </w:rPr>
        <w:t>radiologické oddělení</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3"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3"/>
    </w:p>
    <w:p w14:paraId="6C41C751" w14:textId="1A616769" w:rsidR="0004468F" w:rsidRPr="00B44200" w:rsidRDefault="00BB0AB3" w:rsidP="00B805D4">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4" w:name="_Hlk81504768"/>
      <w:r w:rsidRPr="00B44200">
        <w:rPr>
          <w:rFonts w:ascii="Tahoma" w:hAnsi="Tahoma" w:cs="Tahoma"/>
          <w:sz w:val="20"/>
          <w:szCs w:val="20"/>
        </w:rPr>
        <w:t>Předmětem smlouvy</w:t>
      </w:r>
      <w:r w:rsidR="00066D69" w:rsidRPr="00B44200">
        <w:rPr>
          <w:rFonts w:ascii="Tahoma" w:hAnsi="Tahoma" w:cs="Tahoma"/>
          <w:sz w:val="20"/>
          <w:szCs w:val="20"/>
        </w:rPr>
        <w:t xml:space="preserve"> </w:t>
      </w:r>
      <w:r w:rsidR="00015E20" w:rsidRPr="00B44200">
        <w:rPr>
          <w:rFonts w:ascii="Tahoma" w:hAnsi="Tahoma" w:cs="Tahoma"/>
          <w:sz w:val="20"/>
          <w:szCs w:val="20"/>
        </w:rPr>
        <w:t>ve smyslu</w:t>
      </w:r>
      <w:r w:rsidR="00066D69" w:rsidRPr="00B44200">
        <w:rPr>
          <w:rFonts w:ascii="Tahoma" w:hAnsi="Tahoma" w:cs="Tahoma"/>
          <w:sz w:val="20"/>
          <w:szCs w:val="20"/>
        </w:rPr>
        <w:t xml:space="preserve"> odst. 1 tohoto článku smlouvy se rozumí</w:t>
      </w:r>
      <w:r w:rsidR="00B805D4" w:rsidRPr="00B44200">
        <w:rPr>
          <w:rFonts w:ascii="Tahoma" w:hAnsi="Tahoma" w:cs="Tahoma"/>
          <w:sz w:val="20"/>
          <w:szCs w:val="20"/>
        </w:rPr>
        <w:t xml:space="preserve">: </w:t>
      </w:r>
      <w:r w:rsidR="002927DF" w:rsidRPr="00B44200">
        <w:rPr>
          <w:rFonts w:ascii="Tahoma" w:hAnsi="Tahoma" w:cs="Tahoma"/>
          <w:b/>
          <w:sz w:val="20"/>
          <w:szCs w:val="20"/>
        </w:rPr>
        <w:t>ultrazvukový</w:t>
      </w:r>
      <w:r w:rsidR="00E6187E" w:rsidRPr="00B44200">
        <w:rPr>
          <w:rFonts w:ascii="Tahoma" w:hAnsi="Tahoma" w:cs="Tahoma"/>
          <w:b/>
          <w:sz w:val="20"/>
          <w:szCs w:val="20"/>
        </w:rPr>
        <w:t xml:space="preserve"> přístroj</w:t>
      </w:r>
      <w:r w:rsidR="003F5A3A" w:rsidRPr="00B44200">
        <w:rPr>
          <w:rFonts w:ascii="Tahoma" w:hAnsi="Tahoma" w:cs="Tahoma"/>
          <w:b/>
          <w:sz w:val="20"/>
          <w:szCs w:val="20"/>
        </w:rPr>
        <w:t xml:space="preserve"> </w:t>
      </w:r>
      <w:r w:rsidR="00EA70E9" w:rsidRPr="001172D8">
        <w:rPr>
          <w:rFonts w:ascii="Tahoma" w:hAnsi="Tahoma" w:cs="Tahoma"/>
          <w:b/>
          <w:sz w:val="20"/>
          <w:szCs w:val="20"/>
        </w:rPr>
        <w:t>(</w:t>
      </w:r>
      <w:r w:rsidR="00E9155E" w:rsidRPr="001172D8">
        <w:rPr>
          <w:rFonts w:ascii="Tahoma" w:hAnsi="Tahoma" w:cs="Tahoma"/>
          <w:b/>
          <w:sz w:val="20"/>
          <w:szCs w:val="20"/>
        </w:rPr>
        <w:t>1</w:t>
      </w:r>
      <w:r w:rsidR="00EA70E9" w:rsidRPr="001172D8">
        <w:rPr>
          <w:rFonts w:ascii="Tahoma" w:hAnsi="Tahoma" w:cs="Tahoma"/>
          <w:b/>
          <w:sz w:val="20"/>
          <w:szCs w:val="20"/>
        </w:rPr>
        <w:t xml:space="preserve"> ks) </w:t>
      </w:r>
      <w:r w:rsidR="00A16BD4" w:rsidRPr="001172D8">
        <w:rPr>
          <w:rFonts w:ascii="Tahoma" w:hAnsi="Tahoma" w:cs="Tahoma"/>
          <w:b/>
          <w:sz w:val="20"/>
          <w:szCs w:val="20"/>
        </w:rPr>
        <w:t xml:space="preserve">Samsung </w:t>
      </w:r>
      <w:proofErr w:type="spellStart"/>
      <w:r w:rsidR="00A16BD4" w:rsidRPr="001172D8">
        <w:rPr>
          <w:rFonts w:ascii="Tahoma" w:hAnsi="Tahoma" w:cs="Tahoma"/>
          <w:b/>
          <w:sz w:val="20"/>
          <w:szCs w:val="20"/>
        </w:rPr>
        <w:t>Medison</w:t>
      </w:r>
      <w:proofErr w:type="spellEnd"/>
      <w:r w:rsidR="00A16BD4" w:rsidRPr="001172D8">
        <w:rPr>
          <w:rFonts w:ascii="Tahoma" w:hAnsi="Tahoma" w:cs="Tahoma"/>
          <w:b/>
          <w:sz w:val="20"/>
          <w:szCs w:val="20"/>
        </w:rPr>
        <w:t xml:space="preserve"> V8</w:t>
      </w:r>
      <w:r w:rsidR="001172D8">
        <w:rPr>
          <w:rFonts w:ascii="Tahoma" w:hAnsi="Tahoma" w:cs="Tahoma"/>
          <w:b/>
          <w:sz w:val="20"/>
          <w:szCs w:val="20"/>
        </w:rPr>
        <w:t>,</w:t>
      </w:r>
      <w:r w:rsidR="00B805D4" w:rsidRPr="00B44200">
        <w:rPr>
          <w:rFonts w:ascii="Tahoma" w:hAnsi="Tahoma" w:cs="Tahoma"/>
          <w:i/>
          <w:color w:val="FF0000"/>
          <w:sz w:val="20"/>
          <w:szCs w:val="20"/>
        </w:rPr>
        <w:t xml:space="preserve"> </w:t>
      </w:r>
      <w:r w:rsidR="00B805D4" w:rsidRPr="00B44200">
        <w:rPr>
          <w:rFonts w:ascii="Tahoma" w:hAnsi="Tahoma" w:cs="Tahoma"/>
          <w:sz w:val="20"/>
          <w:szCs w:val="20"/>
        </w:rPr>
        <w:t xml:space="preserve">včetně příslušenství, dle specifikace uvedené v Příloze č. 1 této smlouvy. </w:t>
      </w:r>
      <w:r w:rsidRPr="00B44200">
        <w:rPr>
          <w:rFonts w:ascii="Tahoma" w:hAnsi="Tahoma" w:cs="Tahoma"/>
          <w:sz w:val="20"/>
          <w:szCs w:val="20"/>
        </w:rPr>
        <w:t xml:space="preserve">Předmět smlouvy </w:t>
      </w:r>
      <w:r w:rsidR="00066D69" w:rsidRPr="00B44200">
        <w:rPr>
          <w:rFonts w:ascii="Tahoma" w:hAnsi="Tahoma" w:cs="Tahoma"/>
          <w:sz w:val="20"/>
          <w:szCs w:val="20"/>
        </w:rPr>
        <w:t>musí být nov</w:t>
      </w:r>
      <w:r w:rsidR="0010619D" w:rsidRPr="00B44200">
        <w:rPr>
          <w:rFonts w:ascii="Tahoma" w:hAnsi="Tahoma" w:cs="Tahoma"/>
          <w:sz w:val="20"/>
          <w:szCs w:val="20"/>
        </w:rPr>
        <w:t>ý</w:t>
      </w:r>
      <w:r w:rsidR="00066D69" w:rsidRPr="00B44200">
        <w:rPr>
          <w:rFonts w:ascii="Tahoma" w:hAnsi="Tahoma" w:cs="Tahoma"/>
          <w:sz w:val="20"/>
          <w:szCs w:val="20"/>
        </w:rPr>
        <w:t xml:space="preserve"> </w:t>
      </w:r>
      <w:r w:rsidR="00066D69" w:rsidRPr="00B44200">
        <w:rPr>
          <w:rFonts w:ascii="Tahoma" w:hAnsi="Tahoma" w:cs="Tahoma"/>
          <w:color w:val="000000"/>
          <w:sz w:val="20"/>
          <w:szCs w:val="20"/>
        </w:rPr>
        <w:t>a</w:t>
      </w:r>
      <w:r w:rsidR="00633675" w:rsidRPr="00B44200">
        <w:rPr>
          <w:rFonts w:ascii="Tahoma" w:hAnsi="Tahoma" w:cs="Tahoma"/>
          <w:color w:val="000000"/>
          <w:sz w:val="20"/>
          <w:szCs w:val="20"/>
        </w:rPr>
        <w:t> </w:t>
      </w:r>
      <w:r w:rsidR="00066D69" w:rsidRPr="00B44200">
        <w:rPr>
          <w:rFonts w:ascii="Tahoma" w:hAnsi="Tahoma" w:cs="Tahoma"/>
          <w:color w:val="000000"/>
          <w:sz w:val="20"/>
          <w:szCs w:val="20"/>
        </w:rPr>
        <w:t>nepoužívan</w:t>
      </w:r>
      <w:r w:rsidR="0010619D" w:rsidRPr="00B44200">
        <w:rPr>
          <w:rFonts w:ascii="Tahoma" w:hAnsi="Tahoma" w:cs="Tahoma"/>
          <w:color w:val="000000"/>
          <w:sz w:val="20"/>
          <w:szCs w:val="20"/>
        </w:rPr>
        <w:t>ý</w:t>
      </w:r>
      <w:r w:rsidR="00066D69" w:rsidRPr="00B44200">
        <w:rPr>
          <w:rFonts w:ascii="Tahoma" w:hAnsi="Tahoma" w:cs="Tahoma"/>
          <w:color w:val="000000"/>
          <w:sz w:val="20"/>
          <w:szCs w:val="20"/>
        </w:rPr>
        <w:t>.</w:t>
      </w:r>
      <w:r w:rsidR="001F7674" w:rsidRPr="00B44200">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4"/>
    <w:p w14:paraId="1045DD17" w14:textId="77777777" w:rsidR="00810E99" w:rsidRDefault="00810E99" w:rsidP="007C0279">
      <w:pPr>
        <w:keepNext/>
        <w:widowControl w:val="0"/>
        <w:tabs>
          <w:tab w:val="left" w:pos="-2410"/>
        </w:tabs>
        <w:spacing w:after="120" w:line="276" w:lineRule="auto"/>
        <w:ind w:left="425" w:hanging="425"/>
        <w:jc w:val="center"/>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A16BD4" w14:paraId="5F2D5E82" w14:textId="7658A78B" w:rsidTr="007B5466">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A16BD4" w:rsidRDefault="00A16BD4" w:rsidP="00A16BD4">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BD9887" w14:textId="1B657DF8" w:rsidR="00A16BD4" w:rsidRDefault="00A16BD4" w:rsidP="00A16BD4">
            <w:pPr>
              <w:pStyle w:val="Zhlav"/>
              <w:spacing w:after="120" w:line="276" w:lineRule="auto"/>
              <w:ind w:left="425" w:hanging="425"/>
              <w:jc w:val="center"/>
              <w:rPr>
                <w:rFonts w:ascii="Tahoma" w:hAnsi="Tahoma" w:cs="Tahoma"/>
                <w:color w:val="000000"/>
                <w:sz w:val="20"/>
                <w:szCs w:val="18"/>
                <w:highlight w:val="yellow"/>
              </w:rPr>
            </w:pPr>
            <w:r>
              <w:t>1 678 768,00</w:t>
            </w:r>
          </w:p>
        </w:tc>
      </w:tr>
      <w:tr w:rsidR="00A16BD4" w14:paraId="51C1937C" w14:textId="7129664B" w:rsidTr="007B5466">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A16BD4" w:rsidRDefault="00A16BD4" w:rsidP="00A16BD4">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AFF2FC" w14:textId="216B1BCE" w:rsidR="00A16BD4" w:rsidRDefault="00A16BD4" w:rsidP="00A16BD4">
            <w:pPr>
              <w:pStyle w:val="Zhlav"/>
              <w:spacing w:after="120" w:line="276" w:lineRule="auto"/>
              <w:ind w:left="425" w:hanging="425"/>
              <w:jc w:val="center"/>
              <w:rPr>
                <w:rFonts w:ascii="Tahoma" w:hAnsi="Tahoma" w:cs="Tahoma"/>
                <w:color w:val="000000"/>
                <w:sz w:val="20"/>
                <w:szCs w:val="18"/>
                <w:highlight w:val="yellow"/>
              </w:rPr>
            </w:pPr>
            <w:r>
              <w:t>352 541,28</w:t>
            </w:r>
          </w:p>
        </w:tc>
      </w:tr>
      <w:tr w:rsidR="00A16BD4"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A16BD4" w:rsidRDefault="00A16BD4" w:rsidP="00A16BD4">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7ED4845E" w:rsidR="00A16BD4" w:rsidRDefault="00A16BD4" w:rsidP="003A014F">
            <w:pPr>
              <w:pStyle w:val="Zhlav"/>
              <w:spacing w:after="120" w:line="276" w:lineRule="auto"/>
              <w:ind w:left="425" w:hanging="425"/>
              <w:jc w:val="center"/>
              <w:rPr>
                <w:rFonts w:ascii="Tahoma" w:hAnsi="Tahoma" w:cs="Tahoma"/>
                <w:color w:val="000000"/>
                <w:sz w:val="20"/>
                <w:szCs w:val="18"/>
                <w:highlight w:val="yellow"/>
              </w:rPr>
            </w:pPr>
            <w:r w:rsidRPr="001172D8">
              <w:rPr>
                <w:rFonts w:ascii="Tahoma" w:hAnsi="Tahoma" w:cs="Tahoma"/>
                <w:color w:val="000000"/>
                <w:sz w:val="20"/>
                <w:szCs w:val="18"/>
              </w:rPr>
              <w:t>21</w:t>
            </w:r>
            <w:r w:rsidR="001172D8">
              <w:rPr>
                <w:rFonts w:ascii="Tahoma" w:hAnsi="Tahoma" w:cs="Tahoma"/>
                <w:color w:val="000000"/>
                <w:sz w:val="20"/>
                <w:szCs w:val="18"/>
              </w:rPr>
              <w:t xml:space="preserve"> </w:t>
            </w:r>
          </w:p>
        </w:tc>
      </w:tr>
      <w:tr w:rsidR="00A16BD4"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A16BD4" w:rsidRDefault="00A16BD4" w:rsidP="00A16BD4">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40DA6402" w:rsidR="00A16BD4" w:rsidRDefault="00A16BD4" w:rsidP="00A16BD4">
            <w:pPr>
              <w:pStyle w:val="Zhlav"/>
              <w:spacing w:after="120" w:line="276" w:lineRule="auto"/>
              <w:ind w:left="425" w:hanging="425"/>
              <w:jc w:val="center"/>
              <w:rPr>
                <w:rFonts w:ascii="Tahoma" w:hAnsi="Tahoma" w:cs="Tahoma"/>
                <w:color w:val="000000"/>
                <w:sz w:val="20"/>
                <w:szCs w:val="18"/>
                <w:highlight w:val="yellow"/>
              </w:rPr>
            </w:pPr>
            <w:r>
              <w:rPr>
                <w:b/>
              </w:rPr>
              <w:t>2 031 309,28</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0722B3AC"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5"/>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2AB86F51"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B44200">
        <w:rPr>
          <w:rFonts w:ascii="Tahoma" w:hAnsi="Tahoma" w:cs="Tahoma"/>
          <w:sz w:val="20"/>
          <w:szCs w:val="22"/>
        </w:rPr>
        <w:t>pavilon V, radiologické oddělení</w:t>
      </w:r>
      <w:r w:rsidR="00E9155E">
        <w:rPr>
          <w:rFonts w:ascii="Tahoma" w:hAnsi="Tahoma" w:cs="Tahoma"/>
          <w:sz w:val="20"/>
          <w:szCs w:val="22"/>
        </w:rPr>
        <w:t>.</w:t>
      </w:r>
    </w:p>
    <w:p w14:paraId="26C852A8" w14:textId="42C17395"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E6187E">
        <w:rPr>
          <w:rFonts w:ascii="Tahoma" w:hAnsi="Tahoma" w:cs="Tahoma"/>
          <w:b/>
          <w:bCs/>
          <w:sz w:val="20"/>
          <w:szCs w:val="20"/>
        </w:rPr>
        <w:t>60 dnů ode dne nabytí účinnosti kupní smlouvy.</w:t>
      </w:r>
      <w:r w:rsidRPr="002F2AD8">
        <w:rPr>
          <w:rFonts w:ascii="Tahoma" w:hAnsi="Tahoma" w:cs="Tahoma"/>
          <w:sz w:val="20"/>
          <w:szCs w:val="20"/>
        </w:rPr>
        <w:t xml:space="preserve"> </w:t>
      </w:r>
    </w:p>
    <w:bookmarkEnd w:id="6"/>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w:t>
      </w:r>
      <w:r w:rsidRPr="00633675">
        <w:rPr>
          <w:rFonts w:ascii="Tahoma" w:hAnsi="Tahoma" w:cs="Tahoma"/>
          <w:sz w:val="20"/>
          <w:szCs w:val="22"/>
        </w:rPr>
        <w:lastRenderedPageBreak/>
        <w:t>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bookmarkEnd w:id="7"/>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20E67238"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DF6930">
        <w:rPr>
          <w:rFonts w:ascii="Tahoma" w:hAnsi="Tahoma" w:cs="Tahoma"/>
          <w:sz w:val="20"/>
          <w:szCs w:val="22"/>
        </w:rPr>
        <w:t>xxx</w:t>
      </w:r>
      <w:proofErr w:type="spellEnd"/>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25DFCFC3"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w:t>
      </w:r>
      <w:r w:rsidR="00D452C2">
        <w:rPr>
          <w:rFonts w:ascii="Tahoma" w:hAnsi="Tahoma" w:cs="Tahoma"/>
          <w:sz w:val="20"/>
          <w:szCs w:val="20"/>
        </w:rPr>
        <w:t xml:space="preserve">čl. V </w:t>
      </w:r>
      <w:r w:rsidRPr="00346E49">
        <w:rPr>
          <w:rFonts w:ascii="Tahoma" w:hAnsi="Tahoma" w:cs="Tahoma"/>
          <w:sz w:val="20"/>
          <w:szCs w:val="20"/>
        </w:rPr>
        <w:t xml:space="preserve">této smlouvy. </w:t>
      </w: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2ACC3CCC"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E6187E">
        <w:rPr>
          <w:rFonts w:ascii="Tahoma" w:hAnsi="Tahoma" w:cs="Tahoma"/>
          <w:b/>
          <w:bCs/>
          <w:color w:val="000000"/>
          <w:sz w:val="19"/>
          <w:szCs w:val="19"/>
          <w:shd w:val="clear" w:color="auto" w:fill="FFFFFF"/>
        </w:rPr>
        <w:t>4</w:t>
      </w:r>
      <w:r w:rsidR="004437E9">
        <w:rPr>
          <w:rFonts w:ascii="Tahoma" w:hAnsi="Tahoma" w:cs="Tahoma"/>
          <w:b/>
          <w:bCs/>
          <w:color w:val="000000"/>
          <w:sz w:val="19"/>
          <w:szCs w:val="19"/>
          <w:shd w:val="clear" w:color="auto" w:fill="FFFFFF"/>
        </w:rPr>
        <w:t>/</w:t>
      </w:r>
      <w:r w:rsidR="00B44200">
        <w:rPr>
          <w:rFonts w:ascii="Tahoma" w:hAnsi="Tahoma" w:cs="Tahoma"/>
          <w:b/>
          <w:bCs/>
          <w:color w:val="000000"/>
          <w:sz w:val="19"/>
          <w:szCs w:val="19"/>
          <w:shd w:val="clear" w:color="auto" w:fill="FFFFFF"/>
        </w:rPr>
        <w:t>1</w:t>
      </w:r>
      <w:r w:rsidR="002927DF">
        <w:rPr>
          <w:rFonts w:ascii="Tahoma" w:hAnsi="Tahoma" w:cs="Tahoma"/>
          <w:b/>
          <w:bCs/>
          <w:color w:val="000000"/>
          <w:sz w:val="19"/>
          <w:szCs w:val="19"/>
          <w:shd w:val="clear" w:color="auto" w:fill="FFFFFF"/>
        </w:rPr>
        <w:t>5</w:t>
      </w:r>
      <w:r w:rsidR="009439E0" w:rsidRPr="00A71287">
        <w:rPr>
          <w:rFonts w:ascii="Verdana" w:hAnsi="Verdana"/>
          <w:b/>
          <w:sz w:val="18"/>
          <w:szCs w:val="18"/>
        </w:rPr>
        <w:t>)</w:t>
      </w:r>
      <w:r w:rsidR="009439E0">
        <w:rPr>
          <w:rFonts w:ascii="Verdana" w:hAnsi="Verdana"/>
          <w:b/>
          <w:sz w:val="18"/>
          <w:szCs w:val="18"/>
        </w:rPr>
        <w:t>.</w:t>
      </w:r>
    </w:p>
    <w:p w14:paraId="5DF10A1E" w14:textId="39BD4498"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DF6930">
        <w:t>xxx</w:t>
      </w:r>
      <w:proofErr w:type="spellEnd"/>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Je-li prodávající plátcem DPH, kupující uplatní institut zvláštního způsobu zajištění daně dle § </w:t>
      </w:r>
      <w:proofErr w:type="gramStart"/>
      <w:r w:rsidRPr="00633675">
        <w:rPr>
          <w:rFonts w:ascii="Tahoma" w:hAnsi="Tahoma" w:cs="Tahoma"/>
          <w:sz w:val="20"/>
          <w:szCs w:val="22"/>
        </w:rPr>
        <w:t>109a</w:t>
      </w:r>
      <w:proofErr w:type="gramEnd"/>
      <w:r w:rsidRPr="00633675">
        <w:rPr>
          <w:rFonts w:ascii="Tahoma" w:hAnsi="Tahoma" w:cs="Tahoma"/>
          <w:sz w:val="20"/>
          <w:szCs w:val="22"/>
        </w:rPr>
        <w:t xml:space="preserve">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7B23F705"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A16BD4">
        <w:rPr>
          <w:rFonts w:ascii="Tahoma" w:hAnsi="Tahoma" w:cs="Tahoma"/>
          <w:sz w:val="20"/>
          <w:szCs w:val="22"/>
        </w:rPr>
        <w:t> </w:t>
      </w:r>
      <w:r w:rsidRPr="00633675">
        <w:rPr>
          <w:rFonts w:ascii="Tahoma" w:hAnsi="Tahoma" w:cs="Tahoma"/>
          <w:sz w:val="20"/>
          <w:szCs w:val="22"/>
        </w:rPr>
        <w:t>délce</w:t>
      </w:r>
      <w:r w:rsidR="00A16BD4">
        <w:rPr>
          <w:rFonts w:ascii="Tahoma" w:hAnsi="Tahoma" w:cs="Tahoma"/>
          <w:sz w:val="20"/>
          <w:szCs w:val="22"/>
        </w:rPr>
        <w:t xml:space="preserve"> </w:t>
      </w:r>
      <w:r w:rsidR="00A16BD4" w:rsidRPr="001172D8">
        <w:rPr>
          <w:rFonts w:ascii="Tahoma" w:hAnsi="Tahoma" w:cs="Tahoma"/>
          <w:sz w:val="20"/>
          <w:szCs w:val="22"/>
        </w:rPr>
        <w:t>24</w:t>
      </w:r>
      <w:r w:rsidR="00A16BD4">
        <w:rPr>
          <w:rFonts w:ascii="Tahoma" w:hAnsi="Tahoma" w:cs="Tahoma"/>
          <w:sz w:val="20"/>
          <w:szCs w:val="22"/>
        </w:rPr>
        <w:t xml:space="preserve"> </w:t>
      </w:r>
      <w:r>
        <w:rPr>
          <w:rFonts w:ascii="Tahoma" w:hAnsi="Tahoma" w:cs="Tahoma"/>
          <w:sz w:val="20"/>
          <w:szCs w:val="22"/>
        </w:rPr>
        <w:t xml:space="preserve">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05DBB40D"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w:t>
      </w:r>
      <w:r w:rsidR="00D452C2">
        <w:rPr>
          <w:rFonts w:ascii="Tahoma" w:hAnsi="Tahoma" w:cs="Tahoma"/>
          <w:sz w:val="20"/>
          <w:szCs w:val="20"/>
        </w:rPr>
        <w:t>9</w:t>
      </w:r>
      <w:r w:rsidRPr="00633675">
        <w:rPr>
          <w:rFonts w:ascii="Tahoma" w:hAnsi="Tahoma" w:cs="Tahoma"/>
          <w:sz w:val="20"/>
          <w:szCs w:val="20"/>
        </w:rPr>
        <w:t xml:space="preserve">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12A1ED8"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 xml:space="preserve">V případě neuznaného záručního i pozáručního servisu je </w:t>
      </w:r>
      <w:r w:rsidR="00B44200">
        <w:rPr>
          <w:rFonts w:ascii="Tahoma" w:hAnsi="Tahoma" w:cs="Tahoma"/>
          <w:sz w:val="20"/>
          <w:szCs w:val="18"/>
        </w:rPr>
        <w:t>prodávající</w:t>
      </w:r>
      <w:r w:rsidRPr="00145B94">
        <w:rPr>
          <w:rFonts w:ascii="Tahoma" w:hAnsi="Tahoma" w:cs="Tahoma"/>
          <w:sz w:val="20"/>
          <w:szCs w:val="18"/>
        </w:rPr>
        <w:t xml:space="preserve">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6942C555" w:rsidR="0023764F" w:rsidRPr="001172D8" w:rsidRDefault="00C5262B"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Pr>
          <w:rFonts w:ascii="Tahoma" w:hAnsi="Tahoma" w:cs="Tahoma"/>
          <w:sz w:val="20"/>
          <w:szCs w:val="20"/>
        </w:rPr>
        <w:tab/>
      </w:r>
      <w:r w:rsidR="004979E1">
        <w:rPr>
          <w:rFonts w:ascii="Tahoma" w:hAnsi="Tahoma" w:cs="Tahoma"/>
          <w:sz w:val="20"/>
          <w:szCs w:val="20"/>
        </w:rPr>
        <w:tab/>
      </w:r>
      <w:r w:rsidR="004979E1">
        <w:rPr>
          <w:rFonts w:ascii="Tahoma" w:hAnsi="Tahoma" w:cs="Tahoma"/>
          <w:sz w:val="20"/>
          <w:szCs w:val="20"/>
        </w:rPr>
        <w:tab/>
      </w:r>
      <w:proofErr w:type="spellStart"/>
      <w:r w:rsidR="00DF6930">
        <w:rPr>
          <w:rFonts w:ascii="Tahoma" w:hAnsi="Tahoma" w:cs="Tahoma"/>
          <w:sz w:val="20"/>
          <w:szCs w:val="20"/>
        </w:rPr>
        <w:t>xxx</w:t>
      </w:r>
      <w:proofErr w:type="spellEnd"/>
    </w:p>
    <w:p w14:paraId="0627D9E8" w14:textId="4FB0B3B5" w:rsidR="0023764F" w:rsidRPr="001172D8"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1172D8">
        <w:rPr>
          <w:rFonts w:ascii="Tahoma" w:hAnsi="Tahoma" w:cs="Tahoma"/>
          <w:sz w:val="20"/>
          <w:szCs w:val="20"/>
        </w:rPr>
        <w:t>e-mail:</w:t>
      </w:r>
      <w:r w:rsidRPr="001172D8">
        <w:rPr>
          <w:rFonts w:ascii="Tahoma" w:hAnsi="Tahoma" w:cs="Tahoma"/>
          <w:sz w:val="20"/>
          <w:szCs w:val="20"/>
        </w:rPr>
        <w:tab/>
      </w:r>
      <w:r w:rsidRPr="001172D8">
        <w:rPr>
          <w:rFonts w:ascii="Tahoma" w:hAnsi="Tahoma" w:cs="Tahoma"/>
          <w:sz w:val="20"/>
          <w:szCs w:val="20"/>
        </w:rPr>
        <w:tab/>
      </w:r>
      <w:r w:rsidR="004979E1" w:rsidRPr="001172D8">
        <w:rPr>
          <w:rFonts w:ascii="Tahoma" w:hAnsi="Tahoma" w:cs="Tahoma"/>
          <w:sz w:val="20"/>
          <w:szCs w:val="20"/>
        </w:rPr>
        <w:tab/>
      </w:r>
      <w:proofErr w:type="spellStart"/>
      <w:r w:rsidR="00DF6930">
        <w:rPr>
          <w:rFonts w:ascii="Tahoma" w:hAnsi="Tahoma" w:cs="Tahoma"/>
          <w:sz w:val="20"/>
          <w:szCs w:val="20"/>
        </w:rPr>
        <w:t>xxx</w:t>
      </w:r>
      <w:proofErr w:type="spellEnd"/>
    </w:p>
    <w:p w14:paraId="41DF47E3" w14:textId="315FC2AA" w:rsidR="0023764F" w:rsidRPr="001172D8"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1172D8">
        <w:rPr>
          <w:rFonts w:ascii="Tahoma" w:hAnsi="Tahoma" w:cs="Tahoma"/>
          <w:sz w:val="20"/>
          <w:szCs w:val="20"/>
        </w:rPr>
        <w:t>adres</w:t>
      </w:r>
      <w:r w:rsidR="00ED39A6" w:rsidRPr="001172D8">
        <w:rPr>
          <w:rFonts w:ascii="Tahoma" w:hAnsi="Tahoma" w:cs="Tahoma"/>
          <w:sz w:val="20"/>
          <w:szCs w:val="20"/>
        </w:rPr>
        <w:t>u</w:t>
      </w:r>
      <w:r w:rsidRPr="001172D8">
        <w:rPr>
          <w:rFonts w:ascii="Tahoma" w:hAnsi="Tahoma" w:cs="Tahoma"/>
          <w:sz w:val="20"/>
          <w:szCs w:val="20"/>
        </w:rPr>
        <w:t>:</w:t>
      </w:r>
      <w:r w:rsidRPr="001172D8">
        <w:rPr>
          <w:rFonts w:ascii="Tahoma" w:hAnsi="Tahoma" w:cs="Tahoma"/>
          <w:sz w:val="20"/>
          <w:szCs w:val="20"/>
        </w:rPr>
        <w:tab/>
      </w:r>
      <w:r w:rsidRPr="001172D8">
        <w:rPr>
          <w:rFonts w:ascii="Tahoma" w:hAnsi="Tahoma" w:cs="Tahoma"/>
          <w:sz w:val="20"/>
          <w:szCs w:val="20"/>
        </w:rPr>
        <w:tab/>
      </w:r>
      <w:r w:rsidR="004979E1" w:rsidRPr="001172D8">
        <w:rPr>
          <w:rFonts w:ascii="Tahoma" w:hAnsi="Tahoma" w:cs="Tahoma"/>
          <w:sz w:val="20"/>
          <w:szCs w:val="20"/>
        </w:rPr>
        <w:tab/>
      </w:r>
      <w:proofErr w:type="spellStart"/>
      <w:r w:rsidR="00DF6930">
        <w:rPr>
          <w:rFonts w:ascii="Tahoma" w:hAnsi="Tahoma" w:cs="Tahoma"/>
          <w:sz w:val="20"/>
          <w:szCs w:val="20"/>
        </w:rPr>
        <w:t>xxx</w:t>
      </w:r>
      <w:proofErr w:type="spellEnd"/>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7" w:name="_Hlk81510601"/>
      <w:r w:rsidR="00453F1A" w:rsidRPr="00F04C78">
        <w:rPr>
          <w:rFonts w:ascii="Tahoma" w:hAnsi="Tahoma" w:cs="Tahoma"/>
          <w:sz w:val="20"/>
          <w:szCs w:val="22"/>
        </w:rPr>
        <w:t xml:space="preserve"> </w:t>
      </w:r>
    </w:p>
    <w:bookmarkEnd w:id="17"/>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lastRenderedPageBreak/>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tohoto článku smlouvy, je kupující oprávněn odstoupit od této smlouvy; odstoupení se však nedotýká povinností prodávajícího vyplývajících ze záruky za </w:t>
      </w:r>
      <w:r w:rsidRPr="004F38B1">
        <w:rPr>
          <w:rFonts w:ascii="Tahoma" w:hAnsi="Tahoma" w:cs="Tahoma"/>
          <w:sz w:val="20"/>
        </w:rPr>
        <w:lastRenderedPageBreak/>
        <w:t>jakost, odpovědnosti za vady, povinnosti zaplatit smluvní pokutu, povinnosti nahradit škodu a povinnosti zachovat důvěrnost informací souvisejících s plněním dle této smlouvy.</w:t>
      </w:r>
    </w:p>
    <w:p w14:paraId="604B84E6" w14:textId="058AD719"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této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8403EA">
        <w:rPr>
          <w:rFonts w:ascii="Tahoma" w:hAnsi="Tahoma" w:cs="Tahoma"/>
          <w:caps w:val="0"/>
          <w:sz w:val="20"/>
          <w:szCs w:val="22"/>
        </w:rPr>
        <w:t>Ustanovení o kybernetické bezpečnosti</w:t>
      </w:r>
    </w:p>
    <w:p w14:paraId="5D2E80E9" w14:textId="1E8A26FA" w:rsidR="00D83A06" w:rsidRPr="0022632C" w:rsidRDefault="00B44200" w:rsidP="00E9155E">
      <w:pPr>
        <w:pStyle w:val="lnek-slovantext"/>
        <w:numPr>
          <w:ilvl w:val="0"/>
          <w:numId w:val="56"/>
        </w:numPr>
        <w:tabs>
          <w:tab w:val="clear" w:pos="502"/>
        </w:tabs>
        <w:spacing w:before="0" w:after="80" w:line="276" w:lineRule="auto"/>
        <w:ind w:left="426" w:hanging="426"/>
        <w:jc w:val="both"/>
        <w:rPr>
          <w:rFonts w:ascii="Tahoma" w:hAnsi="Tahoma" w:cs="Tahoma"/>
          <w:sz w:val="20"/>
          <w:szCs w:val="20"/>
        </w:rPr>
      </w:pPr>
      <w:bookmarkStart w:id="20" w:name="_Hlk117676012"/>
      <w:r>
        <w:rPr>
          <w:rFonts w:ascii="Tahoma" w:hAnsi="Tahoma" w:cs="Tahoma"/>
          <w:sz w:val="20"/>
          <w:szCs w:val="20"/>
        </w:rPr>
        <w:t>Prodávající</w:t>
      </w:r>
      <w:r w:rsidR="00D83A06" w:rsidRPr="0022632C">
        <w:rPr>
          <w:rFonts w:ascii="Tahoma" w:hAnsi="Tahoma" w:cs="Tahoma"/>
          <w:sz w:val="20"/>
          <w:szCs w:val="20"/>
        </w:rPr>
        <w:t xml:space="preserve"> bere na vědomí, že </w:t>
      </w:r>
      <w:r w:rsidR="00810E99">
        <w:rPr>
          <w:rFonts w:ascii="Tahoma" w:hAnsi="Tahoma" w:cs="Tahoma"/>
          <w:sz w:val="20"/>
          <w:szCs w:val="20"/>
        </w:rPr>
        <w:t>Kupující</w:t>
      </w:r>
      <w:r w:rsidR="00D83A06"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20"/>
    <w:p w14:paraId="5C143FB0" w14:textId="4D52592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B44200">
        <w:rPr>
          <w:rFonts w:ascii="Tahoma" w:hAnsi="Tahoma" w:cs="Tahoma"/>
          <w:sz w:val="20"/>
          <w:szCs w:val="20"/>
        </w:rPr>
        <w:t>Prodávající</w:t>
      </w:r>
      <w:r w:rsidRPr="0022632C">
        <w:rPr>
          <w:rFonts w:ascii="Tahoma" w:hAnsi="Tahoma" w:cs="Tahoma"/>
          <w:sz w:val="20"/>
          <w:szCs w:val="20"/>
        </w:rPr>
        <w:t xml:space="preserve">m dodávka techniky připojené do interní datové sítě </w:t>
      </w:r>
      <w:r w:rsidR="00810E99">
        <w:rPr>
          <w:rFonts w:ascii="Tahoma" w:hAnsi="Tahoma" w:cs="Tahoma"/>
          <w:sz w:val="20"/>
          <w:szCs w:val="20"/>
        </w:rPr>
        <w:t>Kupujícího</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w:t>
      </w:r>
      <w:r w:rsidR="00B44200">
        <w:rPr>
          <w:rFonts w:ascii="Tahoma" w:hAnsi="Tahoma" w:cs="Tahoma"/>
          <w:sz w:val="20"/>
          <w:szCs w:val="20"/>
        </w:rPr>
        <w:t>Prodávající</w:t>
      </w:r>
      <w:r w:rsidRPr="0022632C">
        <w:rPr>
          <w:rFonts w:ascii="Tahoma" w:hAnsi="Tahoma" w:cs="Tahoma"/>
          <w:sz w:val="20"/>
          <w:szCs w:val="20"/>
        </w:rPr>
        <w:t xml:space="preserve"> přístup k dodávané technice přes datovou síť </w:t>
      </w:r>
      <w:r w:rsidR="00810E99">
        <w:rPr>
          <w:rFonts w:ascii="Tahoma" w:hAnsi="Tahoma" w:cs="Tahoma"/>
          <w:sz w:val="20"/>
          <w:szCs w:val="20"/>
        </w:rPr>
        <w:t>Kupujícího</w:t>
      </w:r>
      <w:r w:rsidRPr="0022632C">
        <w:rPr>
          <w:rFonts w:ascii="Tahoma" w:hAnsi="Tahoma" w:cs="Tahoma"/>
          <w:sz w:val="20"/>
          <w:szCs w:val="20"/>
        </w:rPr>
        <w:t xml:space="preserve">, přihlášení </w:t>
      </w:r>
      <w:r w:rsidR="00B44200">
        <w:rPr>
          <w:rFonts w:ascii="Tahoma" w:hAnsi="Tahoma" w:cs="Tahoma"/>
          <w:sz w:val="20"/>
          <w:szCs w:val="20"/>
        </w:rPr>
        <w:t>Prodávajícího</w:t>
      </w:r>
      <w:r w:rsidRPr="0022632C">
        <w:rPr>
          <w:rFonts w:ascii="Tahoma" w:hAnsi="Tahoma" w:cs="Tahoma"/>
          <w:sz w:val="20"/>
          <w:szCs w:val="20"/>
        </w:rPr>
        <w:t xml:space="preserve"> do sítě </w:t>
      </w:r>
      <w:r w:rsidR="00810E99">
        <w:rPr>
          <w:rFonts w:ascii="Tahoma" w:hAnsi="Tahoma" w:cs="Tahoma"/>
          <w:sz w:val="20"/>
          <w:szCs w:val="20"/>
        </w:rPr>
        <w:t>Kupujícího</w:t>
      </w:r>
      <w:r w:rsidRPr="0022632C">
        <w:rPr>
          <w:rFonts w:ascii="Tahoma" w:hAnsi="Tahoma" w:cs="Tahoma"/>
          <w:sz w:val="20"/>
          <w:szCs w:val="20"/>
        </w:rPr>
        <w:t xml:space="preserve"> musí podléhat kontrole přístupu na základě autorizace po předchozí autentizaci. </w:t>
      </w:r>
      <w:r w:rsidR="00B44200">
        <w:rPr>
          <w:rFonts w:ascii="Tahoma" w:hAnsi="Tahoma" w:cs="Tahoma"/>
          <w:sz w:val="20"/>
          <w:szCs w:val="20"/>
        </w:rPr>
        <w:t>Prodávající</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810E99">
        <w:rPr>
          <w:rFonts w:ascii="Tahoma" w:hAnsi="Tahoma" w:cs="Tahoma"/>
          <w:sz w:val="20"/>
          <w:szCs w:val="20"/>
        </w:rPr>
        <w:t>Kupujícího</w:t>
      </w:r>
      <w:r w:rsidRPr="0022632C">
        <w:rPr>
          <w:rFonts w:ascii="Tahoma" w:hAnsi="Tahoma" w:cs="Tahoma"/>
          <w:sz w:val="20"/>
          <w:szCs w:val="20"/>
        </w:rPr>
        <w:t>. </w:t>
      </w:r>
      <w:r w:rsidR="00B44200">
        <w:rPr>
          <w:rFonts w:ascii="Tahoma" w:hAnsi="Tahoma" w:cs="Tahoma"/>
          <w:sz w:val="20"/>
          <w:szCs w:val="20"/>
        </w:rPr>
        <w:t>Prodávající</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sidR="00B44200">
        <w:rPr>
          <w:rFonts w:ascii="Tahoma" w:hAnsi="Tahoma" w:cs="Tahoma"/>
          <w:sz w:val="20"/>
          <w:szCs w:val="20"/>
        </w:rPr>
        <w:t>Prodávající</w:t>
      </w:r>
      <w:r w:rsidRPr="0022632C">
        <w:rPr>
          <w:rFonts w:ascii="Tahoma" w:hAnsi="Tahoma" w:cs="Tahoma"/>
          <w:sz w:val="20"/>
          <w:szCs w:val="20"/>
        </w:rPr>
        <w:t xml:space="preserve"> se zavazuje, že udělený VPN přístup nesmí být sdílen více zaměstnanci </w:t>
      </w:r>
      <w:r w:rsidR="00B44200">
        <w:rPr>
          <w:rFonts w:ascii="Tahoma" w:hAnsi="Tahoma" w:cs="Tahoma"/>
          <w:sz w:val="20"/>
          <w:szCs w:val="20"/>
        </w:rPr>
        <w:t>Prodávajícího</w:t>
      </w:r>
      <w:r w:rsidRPr="0022632C">
        <w:rPr>
          <w:rFonts w:ascii="Tahoma" w:hAnsi="Tahoma" w:cs="Tahoma"/>
          <w:sz w:val="20"/>
          <w:szCs w:val="20"/>
        </w:rPr>
        <w:t xml:space="preserve"> nebo pod</w:t>
      </w:r>
      <w:r w:rsidR="00B44200">
        <w:rPr>
          <w:rFonts w:ascii="Tahoma" w:hAnsi="Tahoma" w:cs="Tahoma"/>
          <w:sz w:val="20"/>
          <w:szCs w:val="20"/>
        </w:rPr>
        <w:t xml:space="preserve"> Prodávajícím</w:t>
      </w:r>
      <w:r w:rsidRPr="0022632C">
        <w:rPr>
          <w:rFonts w:ascii="Tahoma" w:hAnsi="Tahoma" w:cs="Tahoma"/>
          <w:sz w:val="20"/>
          <w:szCs w:val="20"/>
        </w:rPr>
        <w:t xml:space="preserve">.  Pravidla VPN přístupu budou řešena samostatnou smlouvou, která musí být uzavřena před udělením VPN přístupu </w:t>
      </w:r>
      <w:r w:rsidR="00B44200">
        <w:rPr>
          <w:rFonts w:ascii="Tahoma" w:hAnsi="Tahoma" w:cs="Tahoma"/>
          <w:sz w:val="20"/>
          <w:szCs w:val="20"/>
        </w:rPr>
        <w:t>Prodávajícího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všechna zařízení připojená do datové sítě </w:t>
      </w:r>
      <w:r w:rsidR="00810E99">
        <w:rPr>
          <w:rFonts w:ascii="Tahoma" w:hAnsi="Tahoma" w:cs="Tahoma"/>
          <w:sz w:val="20"/>
          <w:szCs w:val="20"/>
        </w:rPr>
        <w:t>Kupujícího</w:t>
      </w:r>
      <w:r w:rsidRPr="0022632C">
        <w:rPr>
          <w:rFonts w:ascii="Tahoma" w:hAnsi="Tahoma" w:cs="Tahoma"/>
          <w:sz w:val="20"/>
          <w:szCs w:val="20"/>
        </w:rPr>
        <w:t xml:space="preserve">, budou disponovat aktualizovaným výrobcem podporovaným operačním systémem, aktualizovaným antivirovým programem s nejnovějšími signaturami, a pokud to bude možné, budou připojena do domény </w:t>
      </w:r>
      <w:r w:rsidR="00810E99">
        <w:rPr>
          <w:rFonts w:ascii="Tahoma" w:hAnsi="Tahoma" w:cs="Tahoma"/>
          <w:sz w:val="20"/>
          <w:szCs w:val="20"/>
        </w:rPr>
        <w:t>Kupující</w:t>
      </w:r>
      <w:r w:rsidRPr="0022632C">
        <w:rPr>
          <w:rFonts w:ascii="Tahoma" w:hAnsi="Tahoma" w:cs="Tahoma"/>
          <w:sz w:val="20"/>
          <w:szCs w:val="20"/>
        </w:rPr>
        <w:t xml:space="preserve">, která na zařízeních prosadí bezpečnostní politiku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810E99">
        <w:rPr>
          <w:rFonts w:ascii="Tahoma" w:hAnsi="Tahoma" w:cs="Tahoma"/>
          <w:sz w:val="20"/>
          <w:szCs w:val="20"/>
        </w:rPr>
        <w:t>Kupujícího</w:t>
      </w:r>
      <w:r w:rsidRPr="0022632C">
        <w:rPr>
          <w:rFonts w:ascii="Tahoma" w:hAnsi="Tahoma" w:cs="Tahoma"/>
          <w:sz w:val="20"/>
          <w:szCs w:val="20"/>
        </w:rPr>
        <w:t xml:space="preserve">. Pokud nebude možné dodržet výše uvedená pravidla, může </w:t>
      </w:r>
      <w:r w:rsidR="00810E99">
        <w:rPr>
          <w:rFonts w:ascii="Tahoma" w:hAnsi="Tahoma" w:cs="Tahoma"/>
          <w:sz w:val="20"/>
          <w:szCs w:val="20"/>
        </w:rPr>
        <w:t>Kupující</w:t>
      </w:r>
      <w:r w:rsidRPr="0022632C">
        <w:rPr>
          <w:rFonts w:ascii="Tahoma" w:hAnsi="Tahoma" w:cs="Tahoma"/>
          <w:sz w:val="20"/>
          <w:szCs w:val="20"/>
        </w:rPr>
        <w:t xml:space="preserve"> ve výjimečném případě dle požadavku </w:t>
      </w:r>
      <w:r w:rsidR="00B44200">
        <w:rPr>
          <w:rFonts w:ascii="Tahoma" w:hAnsi="Tahoma" w:cs="Tahoma"/>
          <w:sz w:val="20"/>
          <w:szCs w:val="20"/>
        </w:rPr>
        <w:t>Prodávajícího</w:t>
      </w:r>
      <w:r w:rsidRPr="0022632C">
        <w:rPr>
          <w:rFonts w:ascii="Tahoma" w:hAnsi="Tahoma" w:cs="Tahoma"/>
          <w:sz w:val="20"/>
          <w:szCs w:val="20"/>
        </w:rPr>
        <w:t xml:space="preserve"> zřídit VPN přístup k síťovému zařízení, které bude na vyhrazené datové síti striktně oddělené od interní sítě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sidR="00B44200">
        <w:rPr>
          <w:rFonts w:ascii="Tahoma" w:hAnsi="Tahoma" w:cs="Tahoma"/>
          <w:sz w:val="20"/>
          <w:szCs w:val="20"/>
        </w:rPr>
        <w:t>Prodávající</w:t>
      </w:r>
      <w:r w:rsidRPr="0022632C">
        <w:rPr>
          <w:rFonts w:ascii="Tahoma" w:hAnsi="Tahoma" w:cs="Tahoma"/>
          <w:sz w:val="20"/>
          <w:szCs w:val="20"/>
        </w:rPr>
        <w:t xml:space="preserve"> se zavazuje, že bude dodržovat a nebude konat v rozporu s bezpečnostními politikami </w:t>
      </w:r>
      <w:r w:rsidR="00810E99">
        <w:rPr>
          <w:rFonts w:ascii="Tahoma" w:hAnsi="Tahoma" w:cs="Tahoma"/>
          <w:sz w:val="20"/>
          <w:szCs w:val="20"/>
        </w:rPr>
        <w:t>Kupujícího</w:t>
      </w:r>
      <w:r w:rsidRPr="0022632C">
        <w:rPr>
          <w:rFonts w:ascii="Tahoma" w:hAnsi="Tahoma" w:cs="Tahoma"/>
          <w:sz w:val="20"/>
          <w:szCs w:val="20"/>
        </w:rPr>
        <w:t xml:space="preserve">. Bezpečnostní politika </w:t>
      </w:r>
      <w:r w:rsidR="00810E99">
        <w:rPr>
          <w:rFonts w:ascii="Tahoma" w:hAnsi="Tahoma" w:cs="Tahoma"/>
          <w:sz w:val="20"/>
          <w:szCs w:val="20"/>
        </w:rPr>
        <w:t>Kupujícího</w:t>
      </w:r>
      <w:r w:rsidRPr="0022632C">
        <w:rPr>
          <w:rFonts w:ascii="Tahoma" w:hAnsi="Tahoma" w:cs="Tahoma"/>
          <w:sz w:val="20"/>
          <w:szCs w:val="20"/>
        </w:rPr>
        <w:t xml:space="preserve"> bude předložena na žádost </w:t>
      </w:r>
      <w:r w:rsidR="00B44200">
        <w:rPr>
          <w:rFonts w:ascii="Tahoma" w:hAnsi="Tahoma" w:cs="Tahoma"/>
          <w:sz w:val="20"/>
          <w:szCs w:val="20"/>
        </w:rPr>
        <w:t>Prodávajícího</w:t>
      </w:r>
      <w:r w:rsidRPr="0022632C">
        <w:rPr>
          <w:rFonts w:ascii="Tahoma" w:hAnsi="Tahoma" w:cs="Tahoma"/>
          <w:sz w:val="20"/>
          <w:szCs w:val="20"/>
        </w:rPr>
        <w:t>.</w:t>
      </w:r>
    </w:p>
    <w:p w14:paraId="0FDC2300" w14:textId="21AAF11E" w:rsidR="00D83A06" w:rsidRPr="0022632C" w:rsidRDefault="00810E99"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sidR="00B44200">
        <w:rPr>
          <w:rFonts w:ascii="Tahoma" w:hAnsi="Tahoma" w:cs="Tahoma"/>
          <w:sz w:val="20"/>
          <w:szCs w:val="20"/>
        </w:rPr>
        <w:t>Prodávající</w:t>
      </w:r>
      <w:r w:rsidR="00D83A06" w:rsidRPr="0022632C">
        <w:rPr>
          <w:rFonts w:ascii="Tahoma" w:hAnsi="Tahoma" w:cs="Tahoma"/>
          <w:sz w:val="20"/>
          <w:szCs w:val="20"/>
        </w:rPr>
        <w:t xml:space="preserve"> se zavazuje poskytnout </w:t>
      </w:r>
      <w:r>
        <w:rPr>
          <w:rFonts w:ascii="Tahoma" w:hAnsi="Tahoma" w:cs="Tahoma"/>
          <w:sz w:val="20"/>
          <w:szCs w:val="20"/>
        </w:rPr>
        <w:t>Kupujícímu</w:t>
      </w:r>
      <w:r w:rsidR="00D83A06" w:rsidRPr="0022632C">
        <w:rPr>
          <w:rFonts w:ascii="Tahoma" w:hAnsi="Tahoma" w:cs="Tahoma"/>
          <w:sz w:val="20"/>
          <w:szCs w:val="20"/>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sidR="00B44200">
        <w:rPr>
          <w:rFonts w:ascii="Tahoma" w:hAnsi="Tahoma" w:cs="Tahoma"/>
          <w:sz w:val="20"/>
          <w:szCs w:val="20"/>
        </w:rPr>
        <w:t>Prodávající</w:t>
      </w:r>
      <w:r w:rsidR="00D83A06" w:rsidRPr="0022632C">
        <w:rPr>
          <w:rFonts w:ascii="Tahoma" w:hAnsi="Tahoma" w:cs="Tahoma"/>
          <w:sz w:val="20"/>
          <w:szCs w:val="20"/>
        </w:rPr>
        <w:t xml:space="preserve"> </w:t>
      </w:r>
      <w:r>
        <w:rPr>
          <w:rFonts w:ascii="Tahoma" w:hAnsi="Tahoma" w:cs="Tahoma"/>
          <w:sz w:val="20"/>
          <w:szCs w:val="20"/>
        </w:rPr>
        <w:t>Kupujícímu</w:t>
      </w:r>
      <w:r w:rsidR="00D83A06" w:rsidRPr="0022632C">
        <w:rPr>
          <w:rFonts w:ascii="Tahoma" w:hAnsi="Tahoma" w:cs="Tahoma"/>
          <w:sz w:val="20"/>
          <w:szCs w:val="20"/>
        </w:rPr>
        <w:t xml:space="preserve"> veškerou potřebnou součinnost. </w:t>
      </w:r>
      <w:r w:rsidR="00B44200">
        <w:rPr>
          <w:rFonts w:ascii="Tahoma" w:hAnsi="Tahoma" w:cs="Tahoma"/>
          <w:sz w:val="20"/>
          <w:szCs w:val="20"/>
        </w:rPr>
        <w:t>Prodávající</w:t>
      </w:r>
      <w:r w:rsidR="00D83A06" w:rsidRPr="0022632C">
        <w:rPr>
          <w:rFonts w:ascii="Tahoma" w:hAnsi="Tahoma" w:cs="Tahoma"/>
          <w:sz w:val="20"/>
          <w:szCs w:val="20"/>
        </w:rPr>
        <w:t xml:space="preserve"> je povinen přijmout dodatečná, účinná nápravná opatření k odstranění zranitelností.</w:t>
      </w:r>
    </w:p>
    <w:p w14:paraId="0B37653C" w14:textId="1BB650CC" w:rsidR="00D83A06" w:rsidRPr="0022632C" w:rsidRDefault="00B44200"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w:t>
      </w:r>
      <w:r w:rsidR="00D83A06" w:rsidRPr="0022632C">
        <w:rPr>
          <w:rFonts w:ascii="Tahoma" w:hAnsi="Tahoma" w:cs="Tahoma"/>
          <w:sz w:val="20"/>
          <w:szCs w:val="20"/>
        </w:rPr>
        <w:lastRenderedPageBreak/>
        <w:t>normám České republiky. Služby musí odpovídat příslušným právním předpisům, normám nebo jiné dokumentaci vztahující se k jejich poskytování. </w:t>
      </w:r>
    </w:p>
    <w:p w14:paraId="6733650B" w14:textId="759DFB8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B44200">
        <w:rPr>
          <w:rFonts w:ascii="Tahoma" w:hAnsi="Tahoma" w:cs="Tahoma"/>
          <w:sz w:val="20"/>
          <w:szCs w:val="20"/>
        </w:rPr>
        <w:t>Prodávající</w:t>
      </w:r>
      <w:r w:rsidRPr="0022632C">
        <w:rPr>
          <w:rFonts w:ascii="Tahoma" w:hAnsi="Tahoma" w:cs="Tahoma"/>
          <w:sz w:val="20"/>
          <w:szCs w:val="20"/>
        </w:rPr>
        <w:t xml:space="preserve"> zavazuje splnit tyto povinnosti: </w:t>
      </w:r>
    </w:p>
    <w:p w14:paraId="39B84451" w14:textId="73B62BD5"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sidR="00B44200">
        <w:rPr>
          <w:rFonts w:ascii="Tahoma" w:hAnsi="Tahoma" w:cs="Tahoma"/>
          <w:sz w:val="20"/>
          <w:szCs w:val="20"/>
        </w:rPr>
        <w:t>Prodávajícímu</w:t>
      </w:r>
      <w:r w:rsidRPr="0022632C">
        <w:rPr>
          <w:rFonts w:ascii="Tahoma" w:hAnsi="Tahoma" w:cs="Tahoma"/>
          <w:sz w:val="20"/>
          <w:szCs w:val="20"/>
        </w:rPr>
        <w:t xml:space="preserve"> nebo </w:t>
      </w:r>
      <w:r w:rsidR="00810E99">
        <w:rPr>
          <w:rFonts w:ascii="Tahoma" w:hAnsi="Tahoma" w:cs="Tahoma"/>
          <w:sz w:val="20"/>
          <w:szCs w:val="20"/>
        </w:rPr>
        <w:t>Kupujícímu</w:t>
      </w:r>
      <w:r w:rsidRPr="0022632C">
        <w:rPr>
          <w:rFonts w:ascii="Tahoma" w:hAnsi="Tahoma" w:cs="Tahoma"/>
          <w:sz w:val="20"/>
          <w:szCs w:val="20"/>
        </w:rPr>
        <w:t xml:space="preserve">, a to v souladu s exit plánem vytvořeným v rámci prováděcího (implementačního) projektu, </w:t>
      </w:r>
    </w:p>
    <w:p w14:paraId="6D21B1C9" w14:textId="2EBC7E4B"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sidR="00B44200">
        <w:rPr>
          <w:rFonts w:ascii="Tahoma" w:hAnsi="Tahoma" w:cs="Tahoma"/>
          <w:sz w:val="20"/>
          <w:szCs w:val="20"/>
        </w:rPr>
        <w:t>Prodávající</w:t>
      </w:r>
      <w:r w:rsidRPr="0022632C">
        <w:rPr>
          <w:rFonts w:ascii="Tahoma" w:hAnsi="Tahoma" w:cs="Tahoma"/>
          <w:sz w:val="20"/>
          <w:szCs w:val="20"/>
        </w:rPr>
        <w:t xml:space="preserve">m nebo </w:t>
      </w:r>
      <w:r w:rsidR="00810E99">
        <w:rPr>
          <w:rFonts w:ascii="Tahoma" w:hAnsi="Tahoma" w:cs="Tahoma"/>
          <w:sz w:val="20"/>
          <w:szCs w:val="20"/>
        </w:rPr>
        <w:t>Kupující</w:t>
      </w:r>
      <w:r w:rsidRPr="0022632C">
        <w:rPr>
          <w:rFonts w:ascii="Tahoma" w:hAnsi="Tahoma" w:cs="Tahoma"/>
          <w:sz w:val="20"/>
          <w:szCs w:val="20"/>
        </w:rPr>
        <w:t xml:space="preserv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6F42B68C"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620B2581" w14:textId="6800A5A1"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sidR="00D83A06">
        <w:rPr>
          <w:rFonts w:ascii="Tahoma" w:hAnsi="Tahoma" w:cs="Tahoma"/>
          <w:sz w:val="20"/>
          <w:szCs w:val="20"/>
        </w:rPr>
        <w:t xml:space="preserve"> </w:t>
      </w:r>
      <w:r w:rsidR="00D83A06" w:rsidRPr="0022632C">
        <w:rPr>
          <w:rFonts w:ascii="Tahoma" w:hAnsi="Tahoma" w:cs="Tahoma"/>
          <w:sz w:val="20"/>
          <w:szCs w:val="20"/>
        </w:rPr>
        <w:t>4 vyhlášky o kybernetické bezpečnosti. O likvidaci dat bude proveden záznam.</w:t>
      </w:r>
    </w:p>
    <w:p w14:paraId="60AAB056" w14:textId="547861A4" w:rsidR="00D83A06" w:rsidRPr="0022632C" w:rsidRDefault="00810E99"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je dále oprávněn od smlouvy odstoupit v případech, že dojde k významné změně kontroly nad </w:t>
      </w:r>
      <w:r w:rsidR="00B44200">
        <w:rPr>
          <w:rFonts w:ascii="Tahoma" w:hAnsi="Tahoma" w:cs="Tahoma"/>
          <w:sz w:val="20"/>
          <w:szCs w:val="20"/>
        </w:rPr>
        <w:t>Prodávající</w:t>
      </w:r>
      <w:r w:rsidR="00D83A06" w:rsidRPr="0022632C">
        <w:rPr>
          <w:rFonts w:ascii="Tahoma" w:hAnsi="Tahoma" w:cs="Tahoma"/>
          <w:sz w:val="20"/>
          <w:szCs w:val="20"/>
        </w:rPr>
        <w:t xml:space="preserve">m nebo změně kontroly nad zásadními aktivy využívanými </w:t>
      </w:r>
      <w:r w:rsidR="00B44200">
        <w:rPr>
          <w:rFonts w:ascii="Tahoma" w:hAnsi="Tahoma" w:cs="Tahoma"/>
          <w:sz w:val="20"/>
          <w:szCs w:val="20"/>
        </w:rPr>
        <w:t>Prodávající</w:t>
      </w:r>
      <w:r w:rsidR="00D83A06" w:rsidRPr="0022632C">
        <w:rPr>
          <w:rFonts w:ascii="Tahoma" w:hAnsi="Tahoma" w:cs="Tahoma"/>
          <w:sz w:val="20"/>
          <w:szCs w:val="20"/>
        </w:rPr>
        <w:t>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1"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1"/>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6B02C744" w:rsidR="004979E1" w:rsidRDefault="004979E1" w:rsidP="008403EA">
      <w:pPr>
        <w:spacing w:line="276" w:lineRule="auto"/>
        <w:ind w:left="426"/>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3808E9AD"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8F2587">
              <w:rPr>
                <w:rFonts w:ascii="Tahoma" w:hAnsi="Tahoma" w:cs="Tahoma"/>
                <w:sz w:val="20"/>
                <w:szCs w:val="20"/>
              </w:rPr>
              <w:t xml:space="preserve">Brně </w:t>
            </w:r>
            <w:r w:rsidRPr="00633675">
              <w:rPr>
                <w:rFonts w:ascii="Tahoma" w:hAnsi="Tahoma" w:cs="Tahoma"/>
                <w:sz w:val="20"/>
                <w:szCs w:val="20"/>
              </w:rPr>
              <w:t xml:space="preserve">dne  </w:t>
            </w:r>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4FEA685" w14:textId="03A7493B" w:rsidR="006D6317" w:rsidRDefault="00DF6930"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22.4.2024</w:t>
            </w:r>
          </w:p>
          <w:p w14:paraId="61413D9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423C61A1" w:rsidR="006D6317" w:rsidRDefault="00DF6930"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19.4.2024</w:t>
            </w:r>
          </w:p>
          <w:p w14:paraId="2B8D7100"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25C06554"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8F2587">
        <w:rPr>
          <w:rFonts w:ascii="Tahoma" w:hAnsi="Tahoma" w:cs="Tahoma"/>
          <w:sz w:val="20"/>
          <w:szCs w:val="20"/>
        </w:rPr>
        <w:t xml:space="preserve">     JUDr. Gertruda Frydová, prokurista</w:t>
      </w:r>
    </w:p>
    <w:p w14:paraId="4DA3D796" w14:textId="60FC1A62"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r>
      <w:r w:rsidR="008F2587">
        <w:rPr>
          <w:rFonts w:ascii="Tahoma" w:hAnsi="Tahoma" w:cs="Tahoma"/>
          <w:sz w:val="20"/>
          <w:szCs w:val="20"/>
        </w:rPr>
        <w:t xml:space="preserve"> </w:t>
      </w:r>
      <w:r w:rsidRPr="00633675">
        <w:rPr>
          <w:rFonts w:ascii="Tahoma" w:hAnsi="Tahoma" w:cs="Tahoma"/>
          <w:sz w:val="20"/>
          <w:szCs w:val="20"/>
        </w:rPr>
        <w:t>Za prodávajícího</w:t>
      </w:r>
      <w:r w:rsidRPr="00633675">
        <w:rPr>
          <w:rFonts w:ascii="Tahoma" w:hAnsi="Tahoma" w:cs="Tahoma"/>
          <w:sz w:val="20"/>
          <w:szCs w:val="20"/>
        </w:rPr>
        <w:tab/>
      </w:r>
    </w:p>
    <w:p w14:paraId="2192691D" w14:textId="4C5E9AB7" w:rsidR="00E6187E" w:rsidRDefault="00E6187E">
      <w:pPr>
        <w:rPr>
          <w:rFonts w:ascii="Tahoma" w:hAnsi="Tahoma" w:cs="Tahoma"/>
          <w:sz w:val="20"/>
          <w:szCs w:val="20"/>
        </w:rPr>
      </w:pPr>
      <w:r>
        <w:rPr>
          <w:rFonts w:ascii="Tahoma" w:hAnsi="Tahoma" w:cs="Tahoma"/>
          <w:sz w:val="20"/>
          <w:szCs w:val="20"/>
        </w:rPr>
        <w:br w:type="page"/>
      </w:r>
    </w:p>
    <w:p w14:paraId="40B56C3E" w14:textId="32A663C8"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01D21B0A" w14:textId="416988C3" w:rsidR="008A363E" w:rsidRDefault="008A363E" w:rsidP="00A16BD4">
      <w:pPr>
        <w:spacing w:after="120" w:line="276" w:lineRule="auto"/>
        <w:rPr>
          <w:rFonts w:ascii="Tahoma" w:hAnsi="Tahoma" w:cs="Tahoma"/>
          <w:b/>
          <w:iCs/>
          <w:sz w:val="20"/>
          <w:szCs w:val="22"/>
        </w:rPr>
      </w:pPr>
    </w:p>
    <w:tbl>
      <w:tblPr>
        <w:tblStyle w:val="Mkatabulky"/>
        <w:tblW w:w="9980" w:type="dxa"/>
        <w:tblBorders>
          <w:top w:val="none" w:sz="0" w:space="0" w:color="auto"/>
          <w:left w:val="none" w:sz="0" w:space="0" w:color="auto"/>
          <w:right w:val="none" w:sz="0" w:space="0" w:color="auto"/>
          <w:insideH w:val="none" w:sz="0" w:space="0" w:color="auto"/>
          <w:insideV w:val="none" w:sz="0" w:space="0" w:color="auto"/>
        </w:tblBorders>
        <w:tblLayout w:type="fixed"/>
        <w:tblCellMar>
          <w:top w:w="11" w:type="dxa"/>
          <w:left w:w="57" w:type="dxa"/>
          <w:bottom w:w="11" w:type="dxa"/>
          <w:right w:w="57" w:type="dxa"/>
        </w:tblCellMar>
        <w:tblLook w:val="04A0" w:firstRow="1" w:lastRow="0" w:firstColumn="1" w:lastColumn="0" w:noHBand="0" w:noVBand="1"/>
      </w:tblPr>
      <w:tblGrid>
        <w:gridCol w:w="3118"/>
        <w:gridCol w:w="425"/>
        <w:gridCol w:w="1276"/>
        <w:gridCol w:w="567"/>
        <w:gridCol w:w="1276"/>
        <w:gridCol w:w="1276"/>
        <w:gridCol w:w="992"/>
        <w:gridCol w:w="142"/>
        <w:gridCol w:w="425"/>
        <w:gridCol w:w="483"/>
      </w:tblGrid>
      <w:tr w:rsidR="00A16BD4" w14:paraId="03F371B6" w14:textId="77777777" w:rsidTr="00811095">
        <w:trPr>
          <w:gridAfter w:val="1"/>
          <w:wAfter w:w="483" w:type="dxa"/>
          <w:tblHeader/>
        </w:trPr>
        <w:tc>
          <w:tcPr>
            <w:tcW w:w="3118" w:type="dxa"/>
            <w:tcBorders>
              <w:bottom w:val="single" w:sz="4" w:space="0" w:color="auto"/>
            </w:tcBorders>
            <w:vAlign w:val="bottom"/>
          </w:tcPr>
          <w:p w14:paraId="41115980" w14:textId="77777777" w:rsidR="00A16BD4" w:rsidRDefault="00A16BD4" w:rsidP="00811095">
            <w:pPr>
              <w:rPr>
                <w:b/>
                <w:sz w:val="16"/>
                <w:szCs w:val="16"/>
              </w:rPr>
            </w:pPr>
            <w:r>
              <w:rPr>
                <w:b/>
                <w:sz w:val="16"/>
                <w:szCs w:val="16"/>
              </w:rPr>
              <w:t>Popis</w:t>
            </w:r>
          </w:p>
        </w:tc>
        <w:tc>
          <w:tcPr>
            <w:tcW w:w="425" w:type="dxa"/>
            <w:tcBorders>
              <w:bottom w:val="single" w:sz="4" w:space="0" w:color="auto"/>
            </w:tcBorders>
            <w:vAlign w:val="bottom"/>
          </w:tcPr>
          <w:p w14:paraId="51A367E7" w14:textId="2FBE7E79" w:rsidR="00A16BD4" w:rsidRDefault="00A16BD4" w:rsidP="00811095">
            <w:pPr>
              <w:jc w:val="center"/>
              <w:rPr>
                <w:b/>
                <w:sz w:val="16"/>
                <w:szCs w:val="16"/>
              </w:rPr>
            </w:pPr>
            <w:r>
              <w:rPr>
                <w:b/>
                <w:sz w:val="16"/>
                <w:szCs w:val="16"/>
              </w:rPr>
              <w:t>Ks</w:t>
            </w:r>
          </w:p>
        </w:tc>
        <w:tc>
          <w:tcPr>
            <w:tcW w:w="1276" w:type="dxa"/>
            <w:tcBorders>
              <w:bottom w:val="single" w:sz="4" w:space="0" w:color="auto"/>
            </w:tcBorders>
            <w:vAlign w:val="bottom"/>
          </w:tcPr>
          <w:p w14:paraId="04D5F20C" w14:textId="0EB7A66A" w:rsidR="00A16BD4" w:rsidRDefault="00A16BD4" w:rsidP="00811095">
            <w:pPr>
              <w:jc w:val="center"/>
              <w:rPr>
                <w:b/>
                <w:sz w:val="16"/>
                <w:szCs w:val="16"/>
              </w:rPr>
            </w:pPr>
          </w:p>
        </w:tc>
        <w:tc>
          <w:tcPr>
            <w:tcW w:w="567" w:type="dxa"/>
            <w:tcBorders>
              <w:bottom w:val="single" w:sz="4" w:space="0" w:color="auto"/>
            </w:tcBorders>
            <w:vAlign w:val="bottom"/>
          </w:tcPr>
          <w:p w14:paraId="1EB363C5" w14:textId="5C88FF51" w:rsidR="00A16BD4" w:rsidRDefault="00A16BD4" w:rsidP="00811095">
            <w:pPr>
              <w:jc w:val="center"/>
              <w:rPr>
                <w:b/>
                <w:sz w:val="16"/>
                <w:szCs w:val="16"/>
              </w:rPr>
            </w:pPr>
          </w:p>
        </w:tc>
        <w:tc>
          <w:tcPr>
            <w:tcW w:w="1276" w:type="dxa"/>
            <w:tcBorders>
              <w:bottom w:val="single" w:sz="4" w:space="0" w:color="auto"/>
            </w:tcBorders>
            <w:vAlign w:val="bottom"/>
          </w:tcPr>
          <w:p w14:paraId="630732E3" w14:textId="12AEF210" w:rsidR="00A16BD4" w:rsidRDefault="00A16BD4" w:rsidP="00811095">
            <w:pPr>
              <w:jc w:val="center"/>
              <w:rPr>
                <w:b/>
                <w:sz w:val="16"/>
                <w:szCs w:val="16"/>
              </w:rPr>
            </w:pPr>
          </w:p>
        </w:tc>
        <w:tc>
          <w:tcPr>
            <w:tcW w:w="1276" w:type="dxa"/>
            <w:tcBorders>
              <w:bottom w:val="single" w:sz="4" w:space="0" w:color="auto"/>
            </w:tcBorders>
            <w:vAlign w:val="bottom"/>
          </w:tcPr>
          <w:p w14:paraId="263822C1" w14:textId="0F6E39E0" w:rsidR="00A16BD4" w:rsidRDefault="00A16BD4" w:rsidP="00811095">
            <w:pPr>
              <w:jc w:val="center"/>
              <w:rPr>
                <w:b/>
                <w:sz w:val="16"/>
                <w:szCs w:val="16"/>
              </w:rPr>
            </w:pPr>
          </w:p>
        </w:tc>
        <w:tc>
          <w:tcPr>
            <w:tcW w:w="992" w:type="dxa"/>
            <w:tcBorders>
              <w:bottom w:val="single" w:sz="4" w:space="0" w:color="auto"/>
            </w:tcBorders>
            <w:vAlign w:val="bottom"/>
          </w:tcPr>
          <w:p w14:paraId="7D3EAB84" w14:textId="1FF18453" w:rsidR="00A16BD4" w:rsidRDefault="00A16BD4" w:rsidP="00811095">
            <w:pPr>
              <w:jc w:val="center"/>
              <w:rPr>
                <w:b/>
                <w:sz w:val="16"/>
                <w:szCs w:val="16"/>
              </w:rPr>
            </w:pPr>
          </w:p>
        </w:tc>
        <w:tc>
          <w:tcPr>
            <w:tcW w:w="567" w:type="dxa"/>
            <w:gridSpan w:val="2"/>
            <w:tcBorders>
              <w:bottom w:val="single" w:sz="4" w:space="0" w:color="auto"/>
            </w:tcBorders>
            <w:vAlign w:val="bottom"/>
          </w:tcPr>
          <w:p w14:paraId="6846ECB3" w14:textId="0BD90716" w:rsidR="00A16BD4" w:rsidRDefault="00A16BD4" w:rsidP="00811095">
            <w:pPr>
              <w:jc w:val="center"/>
              <w:rPr>
                <w:b/>
                <w:sz w:val="16"/>
                <w:szCs w:val="16"/>
              </w:rPr>
            </w:pPr>
          </w:p>
        </w:tc>
      </w:tr>
      <w:tr w:rsidR="00A16BD4" w14:paraId="463A506A" w14:textId="77777777" w:rsidTr="00811095">
        <w:tblPrEx>
          <w:tblBorders>
            <w:bottom w:val="none" w:sz="0" w:space="0" w:color="auto"/>
          </w:tblBorders>
          <w:tblCellMar>
            <w:top w:w="28" w:type="dxa"/>
            <w:bottom w:w="28" w:type="dxa"/>
          </w:tblCellMar>
        </w:tblPrEx>
        <w:trPr>
          <w:gridAfter w:val="1"/>
          <w:wAfter w:w="483" w:type="dxa"/>
          <w:cantSplit/>
        </w:trPr>
        <w:tc>
          <w:tcPr>
            <w:tcW w:w="3118" w:type="dxa"/>
            <w:vAlign w:val="center"/>
          </w:tcPr>
          <w:p w14:paraId="2D5E0F10" w14:textId="77777777" w:rsidR="00A16BD4" w:rsidRDefault="00A16BD4" w:rsidP="00811095">
            <w:pPr>
              <w:keepNext/>
              <w:rPr>
                <w:b/>
              </w:rPr>
            </w:pPr>
          </w:p>
        </w:tc>
        <w:tc>
          <w:tcPr>
            <w:tcW w:w="425" w:type="dxa"/>
            <w:vAlign w:val="center"/>
          </w:tcPr>
          <w:p w14:paraId="0C749848" w14:textId="77777777" w:rsidR="00A16BD4" w:rsidRDefault="00A16BD4" w:rsidP="00811095">
            <w:pPr>
              <w:keepNext/>
              <w:jc w:val="right"/>
              <w:rPr>
                <w:sz w:val="16"/>
              </w:rPr>
            </w:pPr>
            <w:r>
              <w:rPr>
                <w:sz w:val="16"/>
              </w:rPr>
              <w:t>1</w:t>
            </w:r>
          </w:p>
        </w:tc>
        <w:tc>
          <w:tcPr>
            <w:tcW w:w="1276" w:type="dxa"/>
            <w:vAlign w:val="center"/>
          </w:tcPr>
          <w:p w14:paraId="7002AFDC" w14:textId="4E4D5823" w:rsidR="00A16BD4" w:rsidRDefault="00A16BD4" w:rsidP="00811095">
            <w:pPr>
              <w:keepNext/>
              <w:jc w:val="right"/>
              <w:rPr>
                <w:sz w:val="16"/>
              </w:rPr>
            </w:pPr>
          </w:p>
        </w:tc>
        <w:tc>
          <w:tcPr>
            <w:tcW w:w="567" w:type="dxa"/>
            <w:vAlign w:val="center"/>
          </w:tcPr>
          <w:p w14:paraId="3221837C" w14:textId="21E44C3C" w:rsidR="00A16BD4" w:rsidRDefault="00A16BD4" w:rsidP="00811095">
            <w:pPr>
              <w:keepNext/>
              <w:jc w:val="right"/>
              <w:rPr>
                <w:sz w:val="16"/>
              </w:rPr>
            </w:pPr>
          </w:p>
        </w:tc>
        <w:tc>
          <w:tcPr>
            <w:tcW w:w="1276" w:type="dxa"/>
            <w:vAlign w:val="center"/>
          </w:tcPr>
          <w:p w14:paraId="4ABDE990" w14:textId="6371DAD0" w:rsidR="00A16BD4" w:rsidRDefault="00A16BD4" w:rsidP="00811095">
            <w:pPr>
              <w:keepNext/>
              <w:jc w:val="right"/>
              <w:rPr>
                <w:sz w:val="16"/>
              </w:rPr>
            </w:pPr>
          </w:p>
        </w:tc>
        <w:tc>
          <w:tcPr>
            <w:tcW w:w="1276" w:type="dxa"/>
            <w:vAlign w:val="center"/>
          </w:tcPr>
          <w:p w14:paraId="72B61805" w14:textId="38C11C92" w:rsidR="00A16BD4" w:rsidRDefault="00A16BD4" w:rsidP="00811095">
            <w:pPr>
              <w:keepNext/>
              <w:jc w:val="right"/>
              <w:rPr>
                <w:sz w:val="16"/>
              </w:rPr>
            </w:pPr>
          </w:p>
        </w:tc>
        <w:tc>
          <w:tcPr>
            <w:tcW w:w="1134" w:type="dxa"/>
            <w:gridSpan w:val="2"/>
            <w:vAlign w:val="center"/>
          </w:tcPr>
          <w:p w14:paraId="4EC4686F" w14:textId="2DF55B6C" w:rsidR="00A16BD4" w:rsidRDefault="00A16BD4" w:rsidP="00811095">
            <w:pPr>
              <w:keepNext/>
              <w:jc w:val="right"/>
              <w:rPr>
                <w:sz w:val="16"/>
              </w:rPr>
            </w:pPr>
          </w:p>
        </w:tc>
        <w:tc>
          <w:tcPr>
            <w:tcW w:w="425" w:type="dxa"/>
            <w:vAlign w:val="center"/>
          </w:tcPr>
          <w:p w14:paraId="5FE74476" w14:textId="3A06B25D" w:rsidR="00A16BD4" w:rsidRDefault="00A16BD4" w:rsidP="00811095">
            <w:pPr>
              <w:keepNext/>
              <w:jc w:val="right"/>
              <w:rPr>
                <w:sz w:val="16"/>
              </w:rPr>
            </w:pPr>
          </w:p>
        </w:tc>
      </w:tr>
      <w:tr w:rsidR="00A16BD4" w14:paraId="1CA9F384" w14:textId="77777777" w:rsidTr="00811095">
        <w:tblPrEx>
          <w:tblBorders>
            <w:bottom w:val="none" w:sz="0" w:space="0" w:color="auto"/>
          </w:tblBorders>
          <w:tblCellMar>
            <w:top w:w="28" w:type="dxa"/>
            <w:bottom w:w="28" w:type="dxa"/>
          </w:tblCellMar>
        </w:tblPrEx>
        <w:trPr>
          <w:gridAfter w:val="1"/>
          <w:wAfter w:w="483" w:type="dxa"/>
          <w:cantSplit/>
        </w:trPr>
        <w:tc>
          <w:tcPr>
            <w:tcW w:w="9072" w:type="dxa"/>
            <w:gridSpan w:val="8"/>
            <w:vAlign w:val="center"/>
          </w:tcPr>
          <w:p w14:paraId="462BBB6A" w14:textId="77777777" w:rsidR="00A16BD4" w:rsidRDefault="00A16BD4" w:rsidP="00811095">
            <w:pPr>
              <w:rPr>
                <w:sz w:val="16"/>
                <w:szCs w:val="16"/>
              </w:rPr>
            </w:pPr>
            <w:r>
              <w:rPr>
                <w:sz w:val="16"/>
                <w:szCs w:val="16"/>
              </w:rPr>
              <w:t xml:space="preserve">SAMSUNG MEDISON </w:t>
            </w:r>
            <w:proofErr w:type="gramStart"/>
            <w:r>
              <w:rPr>
                <w:sz w:val="16"/>
                <w:szCs w:val="16"/>
              </w:rPr>
              <w:t>V8 - digitální</w:t>
            </w:r>
            <w:proofErr w:type="gramEnd"/>
            <w:r>
              <w:rPr>
                <w:sz w:val="16"/>
                <w:szCs w:val="16"/>
              </w:rPr>
              <w:t xml:space="preserve"> barevný ultrazvukový přístroj třídy </w:t>
            </w:r>
            <w:proofErr w:type="spellStart"/>
            <w:r>
              <w:rPr>
                <w:sz w:val="16"/>
                <w:szCs w:val="16"/>
              </w:rPr>
              <w:t>HighEnd</w:t>
            </w:r>
            <w:proofErr w:type="spellEnd"/>
            <w:r>
              <w:rPr>
                <w:sz w:val="16"/>
                <w:szCs w:val="16"/>
              </w:rPr>
              <w:t xml:space="preserve"> </w:t>
            </w:r>
          </w:p>
          <w:p w14:paraId="16C1A13C" w14:textId="77777777" w:rsidR="00A16BD4" w:rsidRDefault="00A16BD4" w:rsidP="00811095">
            <w:r>
              <w:rPr>
                <w:sz w:val="16"/>
                <w:szCs w:val="16"/>
              </w:rPr>
              <w:t xml:space="preserve">23, 8", 4 porty, klávesnice, </w:t>
            </w:r>
            <w:proofErr w:type="spellStart"/>
            <w:r>
              <w:rPr>
                <w:sz w:val="16"/>
                <w:szCs w:val="16"/>
              </w:rPr>
              <w:t>ClearVision</w:t>
            </w:r>
            <w:proofErr w:type="spellEnd"/>
            <w:r>
              <w:rPr>
                <w:sz w:val="16"/>
                <w:szCs w:val="16"/>
              </w:rPr>
              <w:t xml:space="preserve">, </w:t>
            </w:r>
            <w:proofErr w:type="spellStart"/>
            <w:r>
              <w:rPr>
                <w:sz w:val="16"/>
                <w:szCs w:val="16"/>
              </w:rPr>
              <w:t>MultiVision</w:t>
            </w:r>
            <w:proofErr w:type="spellEnd"/>
            <w:r>
              <w:rPr>
                <w:sz w:val="16"/>
                <w:szCs w:val="16"/>
              </w:rPr>
              <w:t xml:space="preserve">, HQ-Vision, </w:t>
            </w:r>
            <w:proofErr w:type="spellStart"/>
            <w:r>
              <w:rPr>
                <w:sz w:val="16"/>
                <w:szCs w:val="16"/>
              </w:rPr>
              <w:t>ShadowHDR</w:t>
            </w:r>
            <w:proofErr w:type="spellEnd"/>
            <w:r>
              <w:rPr>
                <w:sz w:val="16"/>
                <w:szCs w:val="16"/>
              </w:rPr>
              <w:t xml:space="preserve">, </w:t>
            </w:r>
            <w:proofErr w:type="spellStart"/>
            <w:r>
              <w:rPr>
                <w:sz w:val="16"/>
                <w:szCs w:val="16"/>
              </w:rPr>
              <w:t>EzExam</w:t>
            </w:r>
            <w:proofErr w:type="spellEnd"/>
            <w:r>
              <w:rPr>
                <w:sz w:val="16"/>
                <w:szCs w:val="16"/>
              </w:rPr>
              <w:t xml:space="preserve">+, </w:t>
            </w:r>
            <w:proofErr w:type="spellStart"/>
            <w:r>
              <w:rPr>
                <w:sz w:val="16"/>
                <w:szCs w:val="16"/>
              </w:rPr>
              <w:t>NeedleMate</w:t>
            </w:r>
            <w:proofErr w:type="spellEnd"/>
            <w:r>
              <w:rPr>
                <w:sz w:val="16"/>
                <w:szCs w:val="16"/>
              </w:rPr>
              <w:t xml:space="preserve">+, </w:t>
            </w:r>
            <w:proofErr w:type="spellStart"/>
            <w:r>
              <w:rPr>
                <w:sz w:val="16"/>
                <w:szCs w:val="16"/>
              </w:rPr>
              <w:t>BiometryAssist</w:t>
            </w:r>
            <w:proofErr w:type="spellEnd"/>
            <w:r>
              <w:rPr>
                <w:sz w:val="16"/>
                <w:szCs w:val="16"/>
              </w:rPr>
              <w:t>, MV-</w:t>
            </w:r>
            <w:proofErr w:type="spellStart"/>
            <w:r>
              <w:rPr>
                <w:sz w:val="16"/>
                <w:szCs w:val="16"/>
              </w:rPr>
              <w:t>Flow</w:t>
            </w:r>
            <w:proofErr w:type="spellEnd"/>
            <w:r>
              <w:rPr>
                <w:sz w:val="16"/>
                <w:szCs w:val="16"/>
              </w:rPr>
              <w:t xml:space="preserve">, </w:t>
            </w:r>
            <w:proofErr w:type="spellStart"/>
            <w:r>
              <w:rPr>
                <w:sz w:val="16"/>
                <w:szCs w:val="16"/>
              </w:rPr>
              <w:t>LumiFlow</w:t>
            </w:r>
            <w:proofErr w:type="spellEnd"/>
            <w:r>
              <w:rPr>
                <w:sz w:val="16"/>
                <w:szCs w:val="16"/>
              </w:rPr>
              <w:t xml:space="preserve">, DICOM, </w:t>
            </w:r>
            <w:proofErr w:type="spellStart"/>
            <w:r>
              <w:rPr>
                <w:sz w:val="16"/>
                <w:szCs w:val="16"/>
              </w:rPr>
              <w:t>Panoramic</w:t>
            </w:r>
            <w:proofErr w:type="spellEnd"/>
            <w:r>
              <w:rPr>
                <w:sz w:val="16"/>
                <w:szCs w:val="16"/>
              </w:rPr>
              <w:t>, ohřívač gelu</w:t>
            </w:r>
          </w:p>
        </w:tc>
        <w:tc>
          <w:tcPr>
            <w:tcW w:w="425" w:type="dxa"/>
            <w:vAlign w:val="center"/>
          </w:tcPr>
          <w:p w14:paraId="1D533877" w14:textId="77777777" w:rsidR="00A16BD4" w:rsidRDefault="00A16BD4" w:rsidP="00811095">
            <w:pPr>
              <w:jc w:val="right"/>
            </w:pPr>
          </w:p>
        </w:tc>
      </w:tr>
      <w:tr w:rsidR="00A16BD4" w14:paraId="2F850062" w14:textId="77777777" w:rsidTr="00811095">
        <w:tblPrEx>
          <w:tblBorders>
            <w:bottom w:val="none" w:sz="0" w:space="0" w:color="auto"/>
          </w:tblBorders>
          <w:tblCellMar>
            <w:top w:w="28" w:type="dxa"/>
            <w:bottom w:w="28" w:type="dxa"/>
          </w:tblCellMar>
        </w:tblPrEx>
        <w:trPr>
          <w:gridAfter w:val="1"/>
          <w:wAfter w:w="483" w:type="dxa"/>
          <w:cantSplit/>
        </w:trPr>
        <w:tc>
          <w:tcPr>
            <w:tcW w:w="3118" w:type="dxa"/>
            <w:vAlign w:val="center"/>
          </w:tcPr>
          <w:p w14:paraId="3EEFD0F7" w14:textId="77777777" w:rsidR="00A16BD4" w:rsidRDefault="00A16BD4" w:rsidP="00811095">
            <w:pPr>
              <w:keepNext/>
              <w:rPr>
                <w:b/>
              </w:rPr>
            </w:pPr>
          </w:p>
        </w:tc>
        <w:tc>
          <w:tcPr>
            <w:tcW w:w="425" w:type="dxa"/>
            <w:vAlign w:val="center"/>
          </w:tcPr>
          <w:p w14:paraId="11306E8C" w14:textId="77777777" w:rsidR="00A16BD4" w:rsidRDefault="00A16BD4" w:rsidP="00811095">
            <w:pPr>
              <w:keepNext/>
              <w:jc w:val="right"/>
              <w:rPr>
                <w:sz w:val="16"/>
              </w:rPr>
            </w:pPr>
            <w:r>
              <w:rPr>
                <w:sz w:val="16"/>
              </w:rPr>
              <w:t>1</w:t>
            </w:r>
          </w:p>
        </w:tc>
        <w:tc>
          <w:tcPr>
            <w:tcW w:w="1276" w:type="dxa"/>
            <w:vAlign w:val="center"/>
          </w:tcPr>
          <w:p w14:paraId="0A0DAA09" w14:textId="44474A7A" w:rsidR="00A16BD4" w:rsidRDefault="00A16BD4" w:rsidP="00811095">
            <w:pPr>
              <w:keepNext/>
              <w:jc w:val="right"/>
              <w:rPr>
                <w:sz w:val="16"/>
              </w:rPr>
            </w:pPr>
          </w:p>
        </w:tc>
        <w:tc>
          <w:tcPr>
            <w:tcW w:w="567" w:type="dxa"/>
            <w:vAlign w:val="center"/>
          </w:tcPr>
          <w:p w14:paraId="4940BF16" w14:textId="6D2BCC3E" w:rsidR="00A16BD4" w:rsidRDefault="00A16BD4" w:rsidP="00811095">
            <w:pPr>
              <w:keepNext/>
              <w:jc w:val="right"/>
              <w:rPr>
                <w:sz w:val="16"/>
              </w:rPr>
            </w:pPr>
          </w:p>
        </w:tc>
        <w:tc>
          <w:tcPr>
            <w:tcW w:w="1276" w:type="dxa"/>
            <w:vAlign w:val="center"/>
          </w:tcPr>
          <w:p w14:paraId="53EF8216" w14:textId="44618B5A" w:rsidR="00A16BD4" w:rsidRDefault="00A16BD4" w:rsidP="00811095">
            <w:pPr>
              <w:keepNext/>
              <w:jc w:val="right"/>
              <w:rPr>
                <w:sz w:val="16"/>
              </w:rPr>
            </w:pPr>
          </w:p>
        </w:tc>
        <w:tc>
          <w:tcPr>
            <w:tcW w:w="1276" w:type="dxa"/>
            <w:vAlign w:val="center"/>
          </w:tcPr>
          <w:p w14:paraId="265E70B1" w14:textId="18F9DB5F" w:rsidR="00A16BD4" w:rsidRDefault="00A16BD4" w:rsidP="00811095">
            <w:pPr>
              <w:keepNext/>
              <w:jc w:val="right"/>
              <w:rPr>
                <w:sz w:val="16"/>
              </w:rPr>
            </w:pPr>
          </w:p>
        </w:tc>
        <w:tc>
          <w:tcPr>
            <w:tcW w:w="1134" w:type="dxa"/>
            <w:gridSpan w:val="2"/>
            <w:vAlign w:val="center"/>
          </w:tcPr>
          <w:p w14:paraId="101602F5" w14:textId="5DAEE0FB" w:rsidR="00A16BD4" w:rsidRDefault="00A16BD4" w:rsidP="00811095">
            <w:pPr>
              <w:keepNext/>
              <w:jc w:val="right"/>
              <w:rPr>
                <w:sz w:val="16"/>
              </w:rPr>
            </w:pPr>
          </w:p>
        </w:tc>
        <w:tc>
          <w:tcPr>
            <w:tcW w:w="425" w:type="dxa"/>
            <w:vAlign w:val="center"/>
          </w:tcPr>
          <w:p w14:paraId="377C1D83" w14:textId="083B155A" w:rsidR="00A16BD4" w:rsidRDefault="00A16BD4" w:rsidP="00811095">
            <w:pPr>
              <w:keepNext/>
              <w:jc w:val="right"/>
              <w:rPr>
                <w:sz w:val="16"/>
              </w:rPr>
            </w:pPr>
          </w:p>
        </w:tc>
      </w:tr>
      <w:tr w:rsidR="00A16BD4" w14:paraId="4BCD56CC" w14:textId="77777777" w:rsidTr="00811095">
        <w:tblPrEx>
          <w:tblBorders>
            <w:bottom w:val="none" w:sz="0" w:space="0" w:color="auto"/>
          </w:tblBorders>
          <w:tblCellMar>
            <w:top w:w="28" w:type="dxa"/>
            <w:bottom w:w="28" w:type="dxa"/>
          </w:tblCellMar>
        </w:tblPrEx>
        <w:trPr>
          <w:gridAfter w:val="1"/>
          <w:wAfter w:w="483" w:type="dxa"/>
          <w:cantSplit/>
        </w:trPr>
        <w:tc>
          <w:tcPr>
            <w:tcW w:w="9072" w:type="dxa"/>
            <w:gridSpan w:val="8"/>
            <w:vAlign w:val="center"/>
          </w:tcPr>
          <w:p w14:paraId="1C6C889E" w14:textId="77777777" w:rsidR="00A16BD4" w:rsidRDefault="00A16BD4" w:rsidP="00811095">
            <w:r>
              <w:rPr>
                <w:sz w:val="16"/>
                <w:szCs w:val="16"/>
              </w:rPr>
              <w:t xml:space="preserve">SAMSUNG MEDISON </w:t>
            </w:r>
            <w:proofErr w:type="gramStart"/>
            <w:r>
              <w:rPr>
                <w:sz w:val="16"/>
                <w:szCs w:val="16"/>
              </w:rPr>
              <w:t>1,7-12MHz</w:t>
            </w:r>
            <w:proofErr w:type="gramEnd"/>
            <w:r>
              <w:rPr>
                <w:sz w:val="16"/>
                <w:szCs w:val="16"/>
              </w:rPr>
              <w:t xml:space="preserve"> širokopásmová lineární sonda (LA2-9S)</w:t>
            </w:r>
          </w:p>
        </w:tc>
        <w:tc>
          <w:tcPr>
            <w:tcW w:w="425" w:type="dxa"/>
            <w:vAlign w:val="center"/>
          </w:tcPr>
          <w:p w14:paraId="0AC1E726" w14:textId="77777777" w:rsidR="00A16BD4" w:rsidRDefault="00A16BD4" w:rsidP="00811095">
            <w:pPr>
              <w:jc w:val="right"/>
            </w:pPr>
          </w:p>
        </w:tc>
      </w:tr>
      <w:tr w:rsidR="00A16BD4" w14:paraId="79D3C531" w14:textId="77777777" w:rsidTr="00811095">
        <w:tblPrEx>
          <w:tblBorders>
            <w:bottom w:val="none" w:sz="0" w:space="0" w:color="auto"/>
          </w:tblBorders>
          <w:tblCellMar>
            <w:top w:w="28" w:type="dxa"/>
            <w:bottom w:w="28" w:type="dxa"/>
          </w:tblCellMar>
        </w:tblPrEx>
        <w:trPr>
          <w:gridAfter w:val="1"/>
          <w:wAfter w:w="483" w:type="dxa"/>
          <w:cantSplit/>
        </w:trPr>
        <w:tc>
          <w:tcPr>
            <w:tcW w:w="3118" w:type="dxa"/>
            <w:vAlign w:val="center"/>
          </w:tcPr>
          <w:p w14:paraId="1F87C094" w14:textId="77777777" w:rsidR="00A16BD4" w:rsidRDefault="00A16BD4" w:rsidP="00811095">
            <w:pPr>
              <w:keepNext/>
              <w:rPr>
                <w:b/>
              </w:rPr>
            </w:pPr>
          </w:p>
        </w:tc>
        <w:tc>
          <w:tcPr>
            <w:tcW w:w="425" w:type="dxa"/>
            <w:vAlign w:val="center"/>
          </w:tcPr>
          <w:p w14:paraId="35F3B9E5" w14:textId="77777777" w:rsidR="00A16BD4" w:rsidRDefault="00A16BD4" w:rsidP="00811095">
            <w:pPr>
              <w:keepNext/>
              <w:jc w:val="right"/>
              <w:rPr>
                <w:sz w:val="16"/>
              </w:rPr>
            </w:pPr>
            <w:r>
              <w:rPr>
                <w:sz w:val="16"/>
              </w:rPr>
              <w:t>1</w:t>
            </w:r>
          </w:p>
        </w:tc>
        <w:tc>
          <w:tcPr>
            <w:tcW w:w="1276" w:type="dxa"/>
            <w:vAlign w:val="center"/>
          </w:tcPr>
          <w:p w14:paraId="622F4EA5" w14:textId="46BB5C66" w:rsidR="00A16BD4" w:rsidRDefault="00A16BD4" w:rsidP="00811095">
            <w:pPr>
              <w:keepNext/>
              <w:jc w:val="right"/>
              <w:rPr>
                <w:sz w:val="16"/>
              </w:rPr>
            </w:pPr>
          </w:p>
        </w:tc>
        <w:tc>
          <w:tcPr>
            <w:tcW w:w="567" w:type="dxa"/>
            <w:vAlign w:val="center"/>
          </w:tcPr>
          <w:p w14:paraId="4BE90295" w14:textId="5A88A1FD" w:rsidR="00A16BD4" w:rsidRDefault="00A16BD4" w:rsidP="00811095">
            <w:pPr>
              <w:keepNext/>
              <w:jc w:val="right"/>
              <w:rPr>
                <w:sz w:val="16"/>
              </w:rPr>
            </w:pPr>
          </w:p>
        </w:tc>
        <w:tc>
          <w:tcPr>
            <w:tcW w:w="1276" w:type="dxa"/>
            <w:vAlign w:val="center"/>
          </w:tcPr>
          <w:p w14:paraId="4514E485" w14:textId="00F53897" w:rsidR="00A16BD4" w:rsidRDefault="00A16BD4" w:rsidP="00811095">
            <w:pPr>
              <w:keepNext/>
              <w:jc w:val="right"/>
              <w:rPr>
                <w:sz w:val="16"/>
              </w:rPr>
            </w:pPr>
          </w:p>
        </w:tc>
        <w:tc>
          <w:tcPr>
            <w:tcW w:w="1276" w:type="dxa"/>
            <w:vAlign w:val="center"/>
          </w:tcPr>
          <w:p w14:paraId="4D8FACB7" w14:textId="584C44B8" w:rsidR="00A16BD4" w:rsidRDefault="00A16BD4" w:rsidP="00811095">
            <w:pPr>
              <w:keepNext/>
              <w:jc w:val="right"/>
              <w:rPr>
                <w:sz w:val="16"/>
              </w:rPr>
            </w:pPr>
          </w:p>
        </w:tc>
        <w:tc>
          <w:tcPr>
            <w:tcW w:w="1134" w:type="dxa"/>
            <w:gridSpan w:val="2"/>
            <w:vAlign w:val="center"/>
          </w:tcPr>
          <w:p w14:paraId="1BE1BFA0" w14:textId="09D555E1" w:rsidR="00A16BD4" w:rsidRDefault="00A16BD4" w:rsidP="00811095">
            <w:pPr>
              <w:keepNext/>
              <w:jc w:val="right"/>
              <w:rPr>
                <w:sz w:val="16"/>
              </w:rPr>
            </w:pPr>
          </w:p>
        </w:tc>
        <w:tc>
          <w:tcPr>
            <w:tcW w:w="425" w:type="dxa"/>
            <w:vAlign w:val="center"/>
          </w:tcPr>
          <w:p w14:paraId="3E811A1E" w14:textId="7E011025" w:rsidR="00A16BD4" w:rsidRDefault="00A16BD4" w:rsidP="00811095">
            <w:pPr>
              <w:keepNext/>
              <w:jc w:val="right"/>
              <w:rPr>
                <w:sz w:val="16"/>
              </w:rPr>
            </w:pPr>
          </w:p>
        </w:tc>
      </w:tr>
      <w:tr w:rsidR="00A16BD4" w14:paraId="2F6BAA4A" w14:textId="77777777" w:rsidTr="00811095">
        <w:tblPrEx>
          <w:tblBorders>
            <w:bottom w:val="none" w:sz="0" w:space="0" w:color="auto"/>
          </w:tblBorders>
          <w:tblCellMar>
            <w:top w:w="28" w:type="dxa"/>
            <w:bottom w:w="28" w:type="dxa"/>
          </w:tblCellMar>
        </w:tblPrEx>
        <w:trPr>
          <w:gridAfter w:val="1"/>
          <w:wAfter w:w="483" w:type="dxa"/>
          <w:cantSplit/>
        </w:trPr>
        <w:tc>
          <w:tcPr>
            <w:tcW w:w="9072" w:type="dxa"/>
            <w:gridSpan w:val="8"/>
            <w:vAlign w:val="center"/>
          </w:tcPr>
          <w:p w14:paraId="4C40CFE7" w14:textId="77777777" w:rsidR="00A16BD4" w:rsidRDefault="00A16BD4" w:rsidP="00811095">
            <w:r>
              <w:rPr>
                <w:sz w:val="16"/>
                <w:szCs w:val="16"/>
              </w:rPr>
              <w:t>SAMSUNG MEDISON 2-14,8MHz širokopásmová lineární sonda (LA2-</w:t>
            </w:r>
            <w:proofErr w:type="gramStart"/>
            <w:r>
              <w:rPr>
                <w:sz w:val="16"/>
                <w:szCs w:val="16"/>
              </w:rPr>
              <w:t>14A</w:t>
            </w:r>
            <w:proofErr w:type="gramEnd"/>
            <w:r>
              <w:rPr>
                <w:sz w:val="16"/>
                <w:szCs w:val="16"/>
              </w:rPr>
              <w:t>)</w:t>
            </w:r>
          </w:p>
        </w:tc>
        <w:tc>
          <w:tcPr>
            <w:tcW w:w="425" w:type="dxa"/>
            <w:vAlign w:val="center"/>
          </w:tcPr>
          <w:p w14:paraId="6D74A85B" w14:textId="77777777" w:rsidR="00A16BD4" w:rsidRDefault="00A16BD4" w:rsidP="00811095">
            <w:pPr>
              <w:jc w:val="right"/>
            </w:pPr>
          </w:p>
        </w:tc>
      </w:tr>
      <w:tr w:rsidR="00A16BD4" w14:paraId="5B1505C0" w14:textId="77777777" w:rsidTr="00811095">
        <w:tblPrEx>
          <w:tblBorders>
            <w:bottom w:val="none" w:sz="0" w:space="0" w:color="auto"/>
          </w:tblBorders>
          <w:tblCellMar>
            <w:top w:w="28" w:type="dxa"/>
            <w:bottom w:w="28" w:type="dxa"/>
          </w:tblCellMar>
        </w:tblPrEx>
        <w:trPr>
          <w:gridAfter w:val="1"/>
          <w:wAfter w:w="483" w:type="dxa"/>
          <w:cantSplit/>
        </w:trPr>
        <w:tc>
          <w:tcPr>
            <w:tcW w:w="3118" w:type="dxa"/>
            <w:vAlign w:val="center"/>
          </w:tcPr>
          <w:p w14:paraId="50709CD8" w14:textId="77777777" w:rsidR="00A16BD4" w:rsidRDefault="00A16BD4" w:rsidP="00811095">
            <w:pPr>
              <w:keepNext/>
              <w:rPr>
                <w:b/>
              </w:rPr>
            </w:pPr>
          </w:p>
        </w:tc>
        <w:tc>
          <w:tcPr>
            <w:tcW w:w="425" w:type="dxa"/>
            <w:vAlign w:val="center"/>
          </w:tcPr>
          <w:p w14:paraId="0B3DDAA5" w14:textId="77777777" w:rsidR="00A16BD4" w:rsidRDefault="00A16BD4" w:rsidP="00811095">
            <w:pPr>
              <w:keepNext/>
              <w:jc w:val="right"/>
              <w:rPr>
                <w:sz w:val="16"/>
              </w:rPr>
            </w:pPr>
            <w:r>
              <w:rPr>
                <w:sz w:val="16"/>
              </w:rPr>
              <w:t>1</w:t>
            </w:r>
          </w:p>
        </w:tc>
        <w:tc>
          <w:tcPr>
            <w:tcW w:w="1276" w:type="dxa"/>
            <w:vAlign w:val="center"/>
          </w:tcPr>
          <w:p w14:paraId="5EF9AD0D" w14:textId="0A7F50AE" w:rsidR="00A16BD4" w:rsidRDefault="00A16BD4" w:rsidP="00811095">
            <w:pPr>
              <w:keepNext/>
              <w:jc w:val="right"/>
              <w:rPr>
                <w:sz w:val="16"/>
              </w:rPr>
            </w:pPr>
          </w:p>
        </w:tc>
        <w:tc>
          <w:tcPr>
            <w:tcW w:w="567" w:type="dxa"/>
            <w:vAlign w:val="center"/>
          </w:tcPr>
          <w:p w14:paraId="2B70C602" w14:textId="704B0EAF" w:rsidR="00A16BD4" w:rsidRDefault="00A16BD4" w:rsidP="00811095">
            <w:pPr>
              <w:keepNext/>
              <w:jc w:val="right"/>
              <w:rPr>
                <w:sz w:val="16"/>
              </w:rPr>
            </w:pPr>
          </w:p>
        </w:tc>
        <w:tc>
          <w:tcPr>
            <w:tcW w:w="1276" w:type="dxa"/>
            <w:vAlign w:val="center"/>
          </w:tcPr>
          <w:p w14:paraId="2068FEFD" w14:textId="34B3C9A2" w:rsidR="00A16BD4" w:rsidRDefault="00A16BD4" w:rsidP="00811095">
            <w:pPr>
              <w:keepNext/>
              <w:jc w:val="right"/>
              <w:rPr>
                <w:sz w:val="16"/>
              </w:rPr>
            </w:pPr>
          </w:p>
        </w:tc>
        <w:tc>
          <w:tcPr>
            <w:tcW w:w="1276" w:type="dxa"/>
            <w:vAlign w:val="center"/>
          </w:tcPr>
          <w:p w14:paraId="770AF597" w14:textId="09C06372" w:rsidR="00A16BD4" w:rsidRDefault="00A16BD4" w:rsidP="00811095">
            <w:pPr>
              <w:keepNext/>
              <w:jc w:val="right"/>
              <w:rPr>
                <w:sz w:val="16"/>
              </w:rPr>
            </w:pPr>
          </w:p>
        </w:tc>
        <w:tc>
          <w:tcPr>
            <w:tcW w:w="1134" w:type="dxa"/>
            <w:gridSpan w:val="2"/>
            <w:vAlign w:val="center"/>
          </w:tcPr>
          <w:p w14:paraId="7A7C9F35" w14:textId="221E917E" w:rsidR="00A16BD4" w:rsidRDefault="00A16BD4" w:rsidP="00811095">
            <w:pPr>
              <w:keepNext/>
              <w:jc w:val="right"/>
              <w:rPr>
                <w:sz w:val="16"/>
              </w:rPr>
            </w:pPr>
          </w:p>
        </w:tc>
        <w:tc>
          <w:tcPr>
            <w:tcW w:w="425" w:type="dxa"/>
            <w:vAlign w:val="center"/>
          </w:tcPr>
          <w:p w14:paraId="19F4B01D" w14:textId="1CD4932B" w:rsidR="00A16BD4" w:rsidRDefault="00A16BD4" w:rsidP="00811095">
            <w:pPr>
              <w:keepNext/>
              <w:jc w:val="right"/>
              <w:rPr>
                <w:sz w:val="16"/>
              </w:rPr>
            </w:pPr>
          </w:p>
        </w:tc>
      </w:tr>
      <w:tr w:rsidR="00A16BD4" w14:paraId="09B23A06" w14:textId="77777777" w:rsidTr="00811095">
        <w:tblPrEx>
          <w:tblBorders>
            <w:bottom w:val="none" w:sz="0" w:space="0" w:color="auto"/>
          </w:tblBorders>
          <w:tblCellMar>
            <w:top w:w="28" w:type="dxa"/>
            <w:bottom w:w="28" w:type="dxa"/>
          </w:tblCellMar>
        </w:tblPrEx>
        <w:trPr>
          <w:gridAfter w:val="1"/>
          <w:wAfter w:w="483" w:type="dxa"/>
          <w:cantSplit/>
        </w:trPr>
        <w:tc>
          <w:tcPr>
            <w:tcW w:w="9072" w:type="dxa"/>
            <w:gridSpan w:val="8"/>
            <w:vAlign w:val="center"/>
          </w:tcPr>
          <w:p w14:paraId="508A7FF3" w14:textId="77777777" w:rsidR="00A16BD4" w:rsidRDefault="00A16BD4" w:rsidP="00811095">
            <w:r>
              <w:rPr>
                <w:sz w:val="16"/>
                <w:szCs w:val="16"/>
              </w:rPr>
              <w:t xml:space="preserve">SAMSUNG MEDISON </w:t>
            </w:r>
            <w:proofErr w:type="gramStart"/>
            <w:r>
              <w:rPr>
                <w:sz w:val="16"/>
                <w:szCs w:val="16"/>
              </w:rPr>
              <w:t>2,7-12MHz</w:t>
            </w:r>
            <w:proofErr w:type="gramEnd"/>
            <w:r>
              <w:rPr>
                <w:sz w:val="16"/>
                <w:szCs w:val="16"/>
              </w:rPr>
              <w:t xml:space="preserve"> širokopásmová </w:t>
            </w:r>
            <w:proofErr w:type="spellStart"/>
            <w:r>
              <w:rPr>
                <w:sz w:val="16"/>
                <w:szCs w:val="16"/>
              </w:rPr>
              <w:t>mikrokonvexní</w:t>
            </w:r>
            <w:proofErr w:type="spellEnd"/>
            <w:r>
              <w:rPr>
                <w:sz w:val="16"/>
                <w:szCs w:val="16"/>
              </w:rPr>
              <w:t xml:space="preserve"> sonda (CA4-10M)</w:t>
            </w:r>
          </w:p>
        </w:tc>
        <w:tc>
          <w:tcPr>
            <w:tcW w:w="425" w:type="dxa"/>
            <w:vAlign w:val="center"/>
          </w:tcPr>
          <w:p w14:paraId="6C5B6803" w14:textId="77777777" w:rsidR="00A16BD4" w:rsidRDefault="00A16BD4" w:rsidP="00811095">
            <w:pPr>
              <w:jc w:val="right"/>
            </w:pPr>
          </w:p>
        </w:tc>
      </w:tr>
      <w:tr w:rsidR="00A16BD4" w14:paraId="47405803" w14:textId="77777777" w:rsidTr="00811095">
        <w:tblPrEx>
          <w:tblBorders>
            <w:bottom w:val="none" w:sz="0" w:space="0" w:color="auto"/>
          </w:tblBorders>
          <w:tblCellMar>
            <w:top w:w="28" w:type="dxa"/>
            <w:bottom w:w="28" w:type="dxa"/>
          </w:tblCellMar>
        </w:tblPrEx>
        <w:trPr>
          <w:gridAfter w:val="1"/>
          <w:wAfter w:w="483" w:type="dxa"/>
          <w:cantSplit/>
        </w:trPr>
        <w:tc>
          <w:tcPr>
            <w:tcW w:w="3118" w:type="dxa"/>
            <w:vAlign w:val="center"/>
          </w:tcPr>
          <w:p w14:paraId="1568A045" w14:textId="77777777" w:rsidR="00A16BD4" w:rsidRDefault="00A16BD4" w:rsidP="00811095">
            <w:pPr>
              <w:keepNext/>
              <w:rPr>
                <w:b/>
              </w:rPr>
            </w:pPr>
          </w:p>
        </w:tc>
        <w:tc>
          <w:tcPr>
            <w:tcW w:w="425" w:type="dxa"/>
            <w:vAlign w:val="center"/>
          </w:tcPr>
          <w:p w14:paraId="69D9315C" w14:textId="77777777" w:rsidR="00A16BD4" w:rsidRDefault="00A16BD4" w:rsidP="00811095">
            <w:pPr>
              <w:keepNext/>
              <w:jc w:val="right"/>
              <w:rPr>
                <w:sz w:val="16"/>
              </w:rPr>
            </w:pPr>
            <w:r>
              <w:rPr>
                <w:sz w:val="16"/>
              </w:rPr>
              <w:t>1</w:t>
            </w:r>
          </w:p>
        </w:tc>
        <w:tc>
          <w:tcPr>
            <w:tcW w:w="1276" w:type="dxa"/>
            <w:vAlign w:val="center"/>
          </w:tcPr>
          <w:p w14:paraId="4C477C66" w14:textId="36D5C771" w:rsidR="00A16BD4" w:rsidRDefault="00A16BD4" w:rsidP="00811095">
            <w:pPr>
              <w:keepNext/>
              <w:jc w:val="right"/>
              <w:rPr>
                <w:sz w:val="16"/>
              </w:rPr>
            </w:pPr>
          </w:p>
        </w:tc>
        <w:tc>
          <w:tcPr>
            <w:tcW w:w="567" w:type="dxa"/>
            <w:vAlign w:val="center"/>
          </w:tcPr>
          <w:p w14:paraId="6D7C370F" w14:textId="3F7CEE7B" w:rsidR="00A16BD4" w:rsidRDefault="00A16BD4" w:rsidP="00811095">
            <w:pPr>
              <w:keepNext/>
              <w:jc w:val="right"/>
              <w:rPr>
                <w:sz w:val="16"/>
              </w:rPr>
            </w:pPr>
          </w:p>
        </w:tc>
        <w:tc>
          <w:tcPr>
            <w:tcW w:w="1276" w:type="dxa"/>
            <w:vAlign w:val="center"/>
          </w:tcPr>
          <w:p w14:paraId="51592AC4" w14:textId="4293E9CB" w:rsidR="00A16BD4" w:rsidRDefault="00A16BD4" w:rsidP="00811095">
            <w:pPr>
              <w:keepNext/>
              <w:jc w:val="right"/>
              <w:rPr>
                <w:sz w:val="16"/>
              </w:rPr>
            </w:pPr>
          </w:p>
        </w:tc>
        <w:tc>
          <w:tcPr>
            <w:tcW w:w="1276" w:type="dxa"/>
            <w:vAlign w:val="center"/>
          </w:tcPr>
          <w:p w14:paraId="64CA85D4" w14:textId="2BDC6ED0" w:rsidR="00A16BD4" w:rsidRDefault="00A16BD4" w:rsidP="00811095">
            <w:pPr>
              <w:keepNext/>
              <w:jc w:val="right"/>
              <w:rPr>
                <w:sz w:val="16"/>
              </w:rPr>
            </w:pPr>
          </w:p>
        </w:tc>
        <w:tc>
          <w:tcPr>
            <w:tcW w:w="1134" w:type="dxa"/>
            <w:gridSpan w:val="2"/>
            <w:vAlign w:val="center"/>
          </w:tcPr>
          <w:p w14:paraId="487D140B" w14:textId="2578F1AE" w:rsidR="00A16BD4" w:rsidRDefault="00A16BD4" w:rsidP="00811095">
            <w:pPr>
              <w:keepNext/>
              <w:jc w:val="right"/>
              <w:rPr>
                <w:sz w:val="16"/>
              </w:rPr>
            </w:pPr>
          </w:p>
        </w:tc>
        <w:tc>
          <w:tcPr>
            <w:tcW w:w="425" w:type="dxa"/>
            <w:vAlign w:val="center"/>
          </w:tcPr>
          <w:p w14:paraId="0176D7C5" w14:textId="5146D57D" w:rsidR="00A16BD4" w:rsidRDefault="00A16BD4" w:rsidP="00811095">
            <w:pPr>
              <w:keepNext/>
              <w:jc w:val="right"/>
              <w:rPr>
                <w:sz w:val="16"/>
              </w:rPr>
            </w:pPr>
          </w:p>
        </w:tc>
      </w:tr>
      <w:tr w:rsidR="00A16BD4" w14:paraId="75ACDEC6" w14:textId="77777777" w:rsidTr="00811095">
        <w:tblPrEx>
          <w:tblBorders>
            <w:bottom w:val="none" w:sz="0" w:space="0" w:color="auto"/>
          </w:tblBorders>
          <w:tblCellMar>
            <w:top w:w="28" w:type="dxa"/>
            <w:bottom w:w="28" w:type="dxa"/>
          </w:tblCellMar>
        </w:tblPrEx>
        <w:trPr>
          <w:gridAfter w:val="1"/>
          <w:wAfter w:w="483" w:type="dxa"/>
          <w:cantSplit/>
        </w:trPr>
        <w:tc>
          <w:tcPr>
            <w:tcW w:w="9072" w:type="dxa"/>
            <w:gridSpan w:val="8"/>
            <w:vAlign w:val="center"/>
          </w:tcPr>
          <w:p w14:paraId="0A7D54D2" w14:textId="77777777" w:rsidR="00A16BD4" w:rsidRDefault="00A16BD4" w:rsidP="00811095">
            <w:r>
              <w:rPr>
                <w:sz w:val="16"/>
                <w:szCs w:val="16"/>
              </w:rPr>
              <w:t xml:space="preserve">SAMSUNG MEDISON </w:t>
            </w:r>
            <w:proofErr w:type="gramStart"/>
            <w:r>
              <w:rPr>
                <w:sz w:val="16"/>
                <w:szCs w:val="16"/>
              </w:rPr>
              <w:t>0,8-7MHz</w:t>
            </w:r>
            <w:proofErr w:type="gramEnd"/>
            <w:r>
              <w:rPr>
                <w:sz w:val="16"/>
                <w:szCs w:val="16"/>
              </w:rPr>
              <w:t xml:space="preserve"> širokopásmová konvexní sonda (CA1-7S)</w:t>
            </w:r>
          </w:p>
        </w:tc>
        <w:tc>
          <w:tcPr>
            <w:tcW w:w="425" w:type="dxa"/>
            <w:vAlign w:val="center"/>
          </w:tcPr>
          <w:p w14:paraId="052BA02F" w14:textId="77777777" w:rsidR="00A16BD4" w:rsidRDefault="00A16BD4" w:rsidP="00811095">
            <w:pPr>
              <w:jc w:val="right"/>
            </w:pPr>
          </w:p>
        </w:tc>
      </w:tr>
      <w:tr w:rsidR="00A16BD4" w14:paraId="71E3A053" w14:textId="77777777" w:rsidTr="00811095">
        <w:tblPrEx>
          <w:tblBorders>
            <w:bottom w:val="none" w:sz="0" w:space="0" w:color="auto"/>
          </w:tblBorders>
          <w:tblCellMar>
            <w:top w:w="28" w:type="dxa"/>
            <w:bottom w:w="28" w:type="dxa"/>
          </w:tblCellMar>
        </w:tblPrEx>
        <w:tc>
          <w:tcPr>
            <w:tcW w:w="9980" w:type="dxa"/>
            <w:gridSpan w:val="10"/>
          </w:tcPr>
          <w:p w14:paraId="03EB3883" w14:textId="77777777" w:rsidR="00A16BD4" w:rsidRDefault="00A16BD4" w:rsidP="00811095">
            <w:pPr>
              <w:rPr>
                <w:sz w:val="16"/>
                <w:szCs w:val="16"/>
              </w:rPr>
            </w:pPr>
            <w:r w:rsidRPr="001830AA">
              <w:rPr>
                <w:noProof/>
                <w:sz w:val="16"/>
                <w:szCs w:val="16"/>
              </w:rPr>
              <w:drawing>
                <wp:inline distT="0" distB="0" distL="0" distR="0" wp14:anchorId="448A8CD5" wp14:editId="4250FCF6">
                  <wp:extent cx="6296025" cy="1828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6025" cy="1828800"/>
                          </a:xfrm>
                          <a:prstGeom prst="rect">
                            <a:avLst/>
                          </a:prstGeom>
                          <a:noFill/>
                          <a:ln>
                            <a:noFill/>
                          </a:ln>
                        </pic:spPr>
                      </pic:pic>
                    </a:graphicData>
                  </a:graphic>
                </wp:inline>
              </w:drawing>
            </w:r>
            <w:r>
              <w:rPr>
                <w:sz w:val="16"/>
                <w:szCs w:val="16"/>
              </w:rPr>
              <w:t xml:space="preserve"> </w:t>
            </w:r>
          </w:p>
        </w:tc>
      </w:tr>
    </w:tbl>
    <w:p w14:paraId="3FBC3D8E" w14:textId="77777777" w:rsidR="00A16BD4" w:rsidRPr="008A363E" w:rsidRDefault="00A16BD4" w:rsidP="00A16BD4">
      <w:pPr>
        <w:spacing w:after="120" w:line="276" w:lineRule="auto"/>
        <w:rPr>
          <w:rFonts w:ascii="Tahoma" w:hAnsi="Tahoma" w:cs="Tahoma"/>
          <w:b/>
          <w:iCs/>
          <w:sz w:val="20"/>
          <w:szCs w:val="22"/>
        </w:rPr>
      </w:pPr>
    </w:p>
    <w:sectPr w:rsidR="00A16BD4" w:rsidRPr="008A363E" w:rsidSect="00D83A06">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C4E83" w14:textId="77777777" w:rsidR="001E0331" w:rsidRDefault="001E0331">
      <w:r>
        <w:separator/>
      </w:r>
    </w:p>
    <w:p w14:paraId="777CBD0C" w14:textId="77777777" w:rsidR="001E0331" w:rsidRDefault="001E0331"/>
  </w:endnote>
  <w:endnote w:type="continuationSeparator" w:id="0">
    <w:p w14:paraId="09B4B022" w14:textId="77777777" w:rsidR="001E0331" w:rsidRDefault="001E0331">
      <w:r>
        <w:continuationSeparator/>
      </w:r>
    </w:p>
    <w:p w14:paraId="73D5CB56" w14:textId="77777777" w:rsidR="001E0331" w:rsidRDefault="001E0331"/>
    <w:p w14:paraId="6BE68AEA" w14:textId="77777777" w:rsidR="001E0331" w:rsidRDefault="001E0331">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DF6930">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DC2B53">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DC2B53">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4C358F1B" w:rsidR="00073BB0" w:rsidRPr="001F2FF6" w:rsidRDefault="003871B7"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E6187E">
      <w:rPr>
        <w:rFonts w:ascii="Verdana" w:hAnsi="Verdana"/>
        <w:sz w:val="18"/>
        <w:szCs w:val="18"/>
      </w:rPr>
      <w:t>4</w:t>
    </w:r>
    <w:r w:rsidRPr="005C4047">
      <w:rPr>
        <w:rFonts w:ascii="Verdana" w:hAnsi="Verdana"/>
        <w:sz w:val="18"/>
        <w:szCs w:val="18"/>
      </w:rPr>
      <w:t>/</w:t>
    </w:r>
    <w:r w:rsidR="00B44200">
      <w:rPr>
        <w:rFonts w:ascii="Verdana" w:hAnsi="Verdana"/>
        <w:sz w:val="18"/>
        <w:szCs w:val="18"/>
      </w:rPr>
      <w:t>1</w:t>
    </w:r>
    <w:r w:rsidR="002927DF">
      <w:rPr>
        <w:rFonts w:ascii="Verdana" w:hAnsi="Verdana"/>
        <w:sz w:val="18"/>
        <w:szCs w:val="18"/>
      </w:rPr>
      <w:t>5</w:t>
    </w:r>
    <w:r>
      <w:rPr>
        <w:rFonts w:ascii="Verdana" w:hAnsi="Verdana"/>
        <w:sz w:val="18"/>
        <w:szCs w:val="18"/>
      </w:rPr>
      <w:t>/</w:t>
    </w:r>
    <w:r w:rsidR="002927DF">
      <w:rPr>
        <w:rFonts w:ascii="Verdana" w:hAnsi="Verdana"/>
        <w:sz w:val="18"/>
        <w:szCs w:val="18"/>
      </w:rPr>
      <w:t>UZV-</w:t>
    </w:r>
    <w:r w:rsidR="00B44200">
      <w:rPr>
        <w:rFonts w:ascii="Verdana" w:hAnsi="Verdana"/>
        <w:sz w:val="18"/>
        <w:szCs w:val="18"/>
      </w:rPr>
      <w:t>RD</w:t>
    </w:r>
    <w:r w:rsidR="002927DF">
      <w:rPr>
        <w:rFonts w:ascii="Verdana" w:hAnsi="Verdana"/>
        <w:sz w:val="18"/>
        <w:szCs w:val="18"/>
      </w:rPr>
      <w:t>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DF6930">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DC2B53">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36E5C" w14:textId="77777777" w:rsidR="001E0331" w:rsidRDefault="001E0331">
      <w:r>
        <w:separator/>
      </w:r>
    </w:p>
    <w:p w14:paraId="7CDD6BC7" w14:textId="77777777" w:rsidR="001E0331" w:rsidRDefault="001E0331"/>
  </w:footnote>
  <w:footnote w:type="continuationSeparator" w:id="0">
    <w:p w14:paraId="2C72BE4C" w14:textId="77777777" w:rsidR="001E0331" w:rsidRDefault="001E0331">
      <w:r>
        <w:continuationSeparator/>
      </w:r>
    </w:p>
    <w:p w14:paraId="48FB2301" w14:textId="77777777" w:rsidR="001E0331" w:rsidRDefault="001E0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4"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1"/>
  </w:num>
  <w:num w:numId="2">
    <w:abstractNumId w:val="14"/>
  </w:num>
  <w:num w:numId="3">
    <w:abstractNumId w:val="42"/>
  </w:num>
  <w:num w:numId="4">
    <w:abstractNumId w:val="7"/>
  </w:num>
  <w:num w:numId="5">
    <w:abstractNumId w:val="16"/>
  </w:num>
  <w:num w:numId="6">
    <w:abstractNumId w:val="30"/>
  </w:num>
  <w:num w:numId="7">
    <w:abstractNumId w:val="33"/>
  </w:num>
  <w:num w:numId="8">
    <w:abstractNumId w:val="9"/>
  </w:num>
  <w:num w:numId="9">
    <w:abstractNumId w:val="20"/>
  </w:num>
  <w:num w:numId="10">
    <w:abstractNumId w:val="35"/>
  </w:num>
  <w:num w:numId="11">
    <w:abstractNumId w:val="18"/>
  </w:num>
  <w:num w:numId="12">
    <w:abstractNumId w:val="40"/>
  </w:num>
  <w:num w:numId="13">
    <w:abstractNumId w:val="46"/>
  </w:num>
  <w:num w:numId="14">
    <w:abstractNumId w:val="36"/>
  </w:num>
  <w:num w:numId="15">
    <w:abstractNumId w:val="45"/>
  </w:num>
  <w:num w:numId="16">
    <w:abstractNumId w:val="15"/>
  </w:num>
  <w:num w:numId="17">
    <w:abstractNumId w:val="29"/>
  </w:num>
  <w:num w:numId="18">
    <w:abstractNumId w:val="17"/>
  </w:num>
  <w:num w:numId="19">
    <w:abstractNumId w:val="19"/>
  </w:num>
  <w:num w:numId="20">
    <w:abstractNumId w:val="34"/>
  </w:num>
  <w:num w:numId="21">
    <w:abstractNumId w:val="0"/>
  </w:num>
  <w:num w:numId="22">
    <w:abstractNumId w:val="48"/>
  </w:num>
  <w:num w:numId="23">
    <w:abstractNumId w:val="8"/>
  </w:num>
  <w:num w:numId="24">
    <w:abstractNumId w:val="25"/>
  </w:num>
  <w:num w:numId="25">
    <w:abstractNumId w:val="13"/>
  </w:num>
  <w:num w:numId="26">
    <w:abstractNumId w:val="23"/>
  </w:num>
  <w:num w:numId="27">
    <w:abstractNumId w:val="44"/>
  </w:num>
  <w:num w:numId="28">
    <w:abstractNumId w:val="11"/>
  </w:num>
  <w:num w:numId="29">
    <w:abstractNumId w:val="47"/>
  </w:num>
  <w:num w:numId="30">
    <w:abstractNumId w:val="10"/>
  </w:num>
  <w:num w:numId="31">
    <w:abstractNumId w:val="12"/>
  </w:num>
  <w:num w:numId="32">
    <w:abstractNumId w:val="6"/>
  </w:num>
  <w:num w:numId="33">
    <w:abstractNumId w:val="5"/>
  </w:num>
  <w:num w:numId="34">
    <w:abstractNumId w:val="37"/>
  </w:num>
  <w:num w:numId="35">
    <w:abstractNumId w:val="22"/>
  </w:num>
  <w:num w:numId="36">
    <w:abstractNumId w:val="4"/>
  </w:num>
  <w:num w:numId="37">
    <w:abstractNumId w:val="24"/>
  </w:num>
  <w:num w:numId="38">
    <w:abstractNumId w:val="31"/>
  </w:num>
  <w:num w:numId="39">
    <w:abstractNumId w:val="3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1"/>
  </w:num>
  <w:num w:numId="54">
    <w:abstractNumId w:val="32"/>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172D8"/>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331"/>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6DDE"/>
    <w:rsid w:val="0035756E"/>
    <w:rsid w:val="00370920"/>
    <w:rsid w:val="00377951"/>
    <w:rsid w:val="00384B6B"/>
    <w:rsid w:val="003871B7"/>
    <w:rsid w:val="00390A2D"/>
    <w:rsid w:val="00392100"/>
    <w:rsid w:val="00392D02"/>
    <w:rsid w:val="00395F66"/>
    <w:rsid w:val="003970A3"/>
    <w:rsid w:val="003A014F"/>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2587"/>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579"/>
    <w:rsid w:val="009F3E8A"/>
    <w:rsid w:val="009F7CD0"/>
    <w:rsid w:val="00A0086F"/>
    <w:rsid w:val="00A03883"/>
    <w:rsid w:val="00A06AD7"/>
    <w:rsid w:val="00A076BF"/>
    <w:rsid w:val="00A07AF4"/>
    <w:rsid w:val="00A14448"/>
    <w:rsid w:val="00A15D7E"/>
    <w:rsid w:val="00A16BD4"/>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4200"/>
    <w:rsid w:val="00B45033"/>
    <w:rsid w:val="00B54AD2"/>
    <w:rsid w:val="00B563A8"/>
    <w:rsid w:val="00B56D7C"/>
    <w:rsid w:val="00B60673"/>
    <w:rsid w:val="00B6133F"/>
    <w:rsid w:val="00B61C73"/>
    <w:rsid w:val="00B63017"/>
    <w:rsid w:val="00B63C03"/>
    <w:rsid w:val="00B66E29"/>
    <w:rsid w:val="00B677D2"/>
    <w:rsid w:val="00B73E2B"/>
    <w:rsid w:val="00B7455C"/>
    <w:rsid w:val="00B805D4"/>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2B53"/>
    <w:rsid w:val="00DC7782"/>
    <w:rsid w:val="00DD23F1"/>
    <w:rsid w:val="00DE0323"/>
    <w:rsid w:val="00DE40ED"/>
    <w:rsid w:val="00DE417C"/>
    <w:rsid w:val="00DE494F"/>
    <w:rsid w:val="00DF587C"/>
    <w:rsid w:val="00DF6930"/>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15:docId w15:val="{BE622C9B-86C9-4C95-8201-58BFCBA9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E22E5-DBD2-4153-B7AF-7E869643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4309</Words>
  <Characters>25424</Characters>
  <Application>Microsoft Office Word</Application>
  <DocSecurity>4</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2024-04-18T06:32:00Z</cp:lastPrinted>
  <dcterms:created xsi:type="dcterms:W3CDTF">2024-04-22T11:54:00Z</dcterms:created>
  <dcterms:modified xsi:type="dcterms:W3CDTF">2024-04-22T11:54:00Z</dcterms:modified>
</cp:coreProperties>
</file>