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AA0398">
        <w:t>KOA-V-3/2024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A0398" w:rsidRPr="00AA0398">
        <w:rPr>
          <w:rFonts w:cs="Arial"/>
          <w:szCs w:val="20"/>
        </w:rPr>
        <w:t xml:space="preserve">Mgr. </w:t>
      </w:r>
      <w:r w:rsidR="00AA0398">
        <w:t>Ivana Milichovská</w:t>
      </w:r>
      <w:r w:rsidRPr="00A3020E">
        <w:rPr>
          <w:rFonts w:cs="Arial"/>
          <w:szCs w:val="20"/>
        </w:rPr>
        <w:t xml:space="preserve">, </w:t>
      </w:r>
      <w:r w:rsidR="00AA0398" w:rsidRPr="00AA0398">
        <w:rPr>
          <w:rFonts w:cs="Arial"/>
          <w:szCs w:val="20"/>
        </w:rPr>
        <w:t>ředitelka -</w:t>
      </w:r>
      <w:r w:rsidR="00AA0398">
        <w:t xml:space="preserve"> Úřad práce České republiky - kontaktní pracoviště Kolín</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A0398" w:rsidRPr="00AA0398">
        <w:rPr>
          <w:rFonts w:cs="Arial"/>
          <w:szCs w:val="20"/>
        </w:rPr>
        <w:t>Dobrovského 1278</w:t>
      </w:r>
      <w:r w:rsidR="00AA0398">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A0398" w:rsidRPr="00AA0398">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A0398" w:rsidRPr="00AA0398">
        <w:rPr>
          <w:rFonts w:cs="Arial"/>
          <w:szCs w:val="20"/>
        </w:rPr>
        <w:t>Kutnohorská č</w:t>
      </w:r>
      <w:r w:rsidR="00AA0398">
        <w:t>.p. 39, Kolín IV, 280 02 Kolín 2</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AA0398"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A0398" w:rsidRPr="00AA0398">
        <w:rPr>
          <w:rFonts w:cs="Arial"/>
          <w:szCs w:val="20"/>
        </w:rPr>
        <w:t>Město Kolín</w:t>
      </w:r>
      <w:r w:rsidR="00AA0398" w:rsidRPr="00AA0398">
        <w:rPr>
          <w:rFonts w:cs="Arial"/>
          <w:vanish/>
          <w:szCs w:val="20"/>
        </w:rPr>
        <w:t>0</w:t>
      </w:r>
    </w:p>
    <w:p w:rsidR="00B72145" w:rsidRPr="00A3020E" w:rsidRDefault="00AA0398"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A0398">
        <w:rPr>
          <w:rFonts w:cs="Arial"/>
          <w:noProof/>
          <w:szCs w:val="20"/>
        </w:rPr>
        <w:t xml:space="preserve">Mgr. </w:t>
      </w:r>
      <w:r>
        <w:rPr>
          <w:noProof/>
        </w:rPr>
        <w:t>Michael Kašpar, starosta</w:t>
      </w:r>
    </w:p>
    <w:p w:rsidR="00B72145" w:rsidRPr="00A3020E" w:rsidRDefault="00AA0398"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A0398">
        <w:rPr>
          <w:rFonts w:cs="Arial"/>
          <w:szCs w:val="20"/>
        </w:rPr>
        <w:t>Karlovo náměstí</w:t>
      </w:r>
      <w:r>
        <w:t xml:space="preserve"> č.p. 78, Kolín I, 280 02 Kolín 2</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A0398" w:rsidRPr="00AA0398">
        <w:rPr>
          <w:rFonts w:cs="Arial"/>
          <w:szCs w:val="20"/>
        </w:rPr>
        <w:t>00235440</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A0398">
        <w:rPr>
          <w:noProof/>
        </w:rPr>
        <w:t>1.5.2024</w:t>
      </w:r>
      <w:r>
        <w:t xml:space="preserve"> do </w:t>
      </w:r>
      <w:r w:rsidR="00AA0398">
        <w:rPr>
          <w:noProof/>
        </w:rPr>
        <w:t>31.10.2024</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AA0398"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AA0398" w:rsidRPr="008F1A38" w:rsidRDefault="00AA0398" w:rsidP="009133EE">
            <w:pPr>
              <w:spacing w:before="20" w:after="20"/>
              <w:jc w:val="left"/>
              <w:rPr>
                <w:rFonts w:cs="Arial"/>
                <w:szCs w:val="20"/>
              </w:rPr>
            </w:pPr>
            <w:r>
              <w:rPr>
                <w:rFonts w:cs="Arial"/>
                <w:szCs w:val="20"/>
              </w:rPr>
              <w:t>uklízeč veřejných prostranství</w:t>
            </w:r>
          </w:p>
        </w:tc>
        <w:tc>
          <w:tcPr>
            <w:tcW w:w="1701" w:type="dxa"/>
            <w:tcBorders>
              <w:left w:val="single" w:sz="4" w:space="0" w:color="auto"/>
              <w:right w:val="single" w:sz="4" w:space="0" w:color="auto"/>
            </w:tcBorders>
            <w:vAlign w:val="center"/>
          </w:tcPr>
          <w:p w:rsidR="00AA0398" w:rsidRPr="00612679" w:rsidRDefault="00AA0398" w:rsidP="00AA0398">
            <w:pPr>
              <w:spacing w:before="20" w:after="20"/>
              <w:jc w:val="center"/>
              <w:rPr>
                <w:rFonts w:cs="Arial"/>
                <w:szCs w:val="20"/>
              </w:rPr>
            </w:pPr>
            <w:r>
              <w:rPr>
                <w:rFonts w:cs="Arial"/>
                <w:szCs w:val="20"/>
              </w:rPr>
              <w:t>5</w:t>
            </w:r>
          </w:p>
        </w:tc>
        <w:tc>
          <w:tcPr>
            <w:tcW w:w="2268" w:type="dxa"/>
            <w:tcBorders>
              <w:left w:val="single" w:sz="4" w:space="0" w:color="auto"/>
              <w:right w:val="single" w:sz="4" w:space="0" w:color="auto"/>
            </w:tcBorders>
          </w:tcPr>
          <w:p w:rsidR="00AA0398" w:rsidRPr="0028078F" w:rsidRDefault="00AA0398" w:rsidP="00AA0398">
            <w:pPr>
              <w:spacing w:before="20" w:after="20"/>
              <w:jc w:val="center"/>
              <w:rPr>
                <w:rFonts w:cs="Arial"/>
                <w:szCs w:val="20"/>
              </w:rPr>
            </w:pPr>
            <w:r>
              <w:rPr>
                <w:rFonts w:cs="Arial"/>
                <w:szCs w:val="20"/>
              </w:rPr>
              <w:t>20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AA0398" w:rsidP="00AA0398">
            <w:pPr>
              <w:spacing w:before="20" w:after="20"/>
              <w:jc w:val="center"/>
              <w:rPr>
                <w:rFonts w:cs="Arial"/>
                <w:szCs w:val="20"/>
              </w:rPr>
            </w:pPr>
            <w:r w:rsidRPr="00AA0398">
              <w:rPr>
                <w:rFonts w:cs="Arial"/>
                <w:szCs w:val="20"/>
              </w:rPr>
              <w:t>5</w:t>
            </w:r>
          </w:p>
        </w:tc>
        <w:tc>
          <w:tcPr>
            <w:tcW w:w="2268" w:type="dxa"/>
            <w:tcBorders>
              <w:left w:val="single" w:sz="4" w:space="0" w:color="auto"/>
              <w:right w:val="single" w:sz="4" w:space="0" w:color="auto"/>
            </w:tcBorders>
            <w:shd w:val="clear" w:color="auto" w:fill="E6E6E6"/>
          </w:tcPr>
          <w:p w:rsidR="009D3732" w:rsidRPr="0028078F" w:rsidRDefault="00AA0398" w:rsidP="00AA0398">
            <w:pPr>
              <w:spacing w:before="20" w:after="20"/>
              <w:jc w:val="center"/>
              <w:rPr>
                <w:rFonts w:cs="Arial"/>
                <w:szCs w:val="20"/>
              </w:rPr>
            </w:pPr>
            <w:r>
              <w:rPr>
                <w:rFonts w:cs="Arial"/>
                <w:szCs w:val="20"/>
              </w:rPr>
              <w:t>20</w:t>
            </w:r>
          </w:p>
        </w:tc>
      </w:tr>
    </w:tbl>
    <w:p w:rsidR="009811CF" w:rsidRPr="00E73E23" w:rsidRDefault="009811CF" w:rsidP="0084551C">
      <w:pPr>
        <w:pStyle w:val="Boddohody"/>
        <w:numPr>
          <w:ilvl w:val="1"/>
          <w:numId w:val="7"/>
        </w:numPr>
        <w:tabs>
          <w:tab w:val="left" w:pos="784"/>
        </w:tabs>
      </w:pPr>
      <w:r w:rsidRPr="009811CF">
        <w:lastRenderedPageBreak/>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A0398">
        <w:rPr>
          <w:noProof/>
        </w:rPr>
        <w:t>31.10.2024</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AA0398"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AA0398" w:rsidRPr="008F1A38" w:rsidRDefault="00AA0398" w:rsidP="009133EE">
            <w:pPr>
              <w:spacing w:before="20" w:after="20"/>
              <w:jc w:val="left"/>
              <w:rPr>
                <w:rFonts w:cs="Arial"/>
                <w:szCs w:val="20"/>
              </w:rPr>
            </w:pPr>
            <w:r>
              <w:rPr>
                <w:rFonts w:cs="Arial"/>
                <w:szCs w:val="20"/>
              </w:rPr>
              <w:t>uklízeč veřejných prostranství</w:t>
            </w:r>
          </w:p>
        </w:tc>
        <w:tc>
          <w:tcPr>
            <w:tcW w:w="1559" w:type="dxa"/>
            <w:gridSpan w:val="2"/>
            <w:tcBorders>
              <w:left w:val="single" w:sz="4" w:space="0" w:color="auto"/>
              <w:right w:val="single" w:sz="4" w:space="0" w:color="auto"/>
            </w:tcBorders>
            <w:tcMar>
              <w:right w:w="454" w:type="dxa"/>
            </w:tcMar>
            <w:vAlign w:val="center"/>
          </w:tcPr>
          <w:p w:rsidR="00AA0398" w:rsidRPr="008F1A38" w:rsidRDefault="00AA0398" w:rsidP="00A520AB">
            <w:pPr>
              <w:spacing w:before="20" w:after="20"/>
              <w:jc w:val="right"/>
              <w:rPr>
                <w:rFonts w:cs="Arial"/>
                <w:szCs w:val="20"/>
              </w:rPr>
            </w:pPr>
            <w:r>
              <w:rPr>
                <w:rFonts w:cs="Arial"/>
                <w:szCs w:val="20"/>
              </w:rPr>
              <w:t>5</w:t>
            </w:r>
          </w:p>
        </w:tc>
        <w:tc>
          <w:tcPr>
            <w:tcW w:w="1578" w:type="dxa"/>
            <w:gridSpan w:val="2"/>
            <w:tcBorders>
              <w:left w:val="single" w:sz="4" w:space="0" w:color="auto"/>
              <w:right w:val="single" w:sz="4" w:space="0" w:color="auto"/>
            </w:tcBorders>
          </w:tcPr>
          <w:p w:rsidR="00AA0398" w:rsidRPr="00612679" w:rsidRDefault="00AA0398" w:rsidP="00AA0398">
            <w:pPr>
              <w:spacing w:before="20" w:after="20"/>
              <w:jc w:val="center"/>
              <w:rPr>
                <w:rFonts w:cs="Arial"/>
                <w:szCs w:val="20"/>
              </w:rPr>
            </w:pPr>
            <w:r>
              <w:rPr>
                <w:rFonts w:cs="Arial"/>
                <w:szCs w:val="20"/>
              </w:rPr>
              <w:t>20</w:t>
            </w:r>
          </w:p>
        </w:tc>
        <w:tc>
          <w:tcPr>
            <w:tcW w:w="1716" w:type="dxa"/>
            <w:gridSpan w:val="2"/>
            <w:tcBorders>
              <w:left w:val="single" w:sz="4" w:space="0" w:color="auto"/>
              <w:right w:val="single" w:sz="4" w:space="0" w:color="auto"/>
            </w:tcBorders>
            <w:tcMar>
              <w:right w:w="454" w:type="dxa"/>
            </w:tcMar>
            <w:vAlign w:val="center"/>
          </w:tcPr>
          <w:p w:rsidR="00AA0398" w:rsidRPr="00612679" w:rsidRDefault="00AA0398" w:rsidP="00A520AB">
            <w:pPr>
              <w:spacing w:before="20" w:after="20"/>
              <w:jc w:val="right"/>
              <w:rPr>
                <w:rFonts w:cs="Arial"/>
                <w:szCs w:val="20"/>
              </w:rPr>
            </w:pPr>
            <w:r>
              <w:rPr>
                <w:rFonts w:cs="Arial"/>
                <w:szCs w:val="20"/>
              </w:rPr>
              <w:t>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lastRenderedPageBreak/>
        <w:t xml:space="preserve">Součet poskytnutých měsíčních příspěvků nepřekročí částku </w:t>
      </w:r>
      <w:r w:rsidR="00AA0398" w:rsidRPr="00AA0398">
        <w:rPr>
          <w:rFonts w:ascii="Arial" w:hAnsi="Arial" w:cs="Arial"/>
          <w:sz w:val="20"/>
          <w:szCs w:val="20"/>
        </w:rPr>
        <w:t>375 000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2713E6">
        <w:t>………….</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lastRenderedPageBreak/>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lastRenderedPageBreak/>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lastRenderedPageBreak/>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A0398" w:rsidP="009B751F">
      <w:pPr>
        <w:keepNext/>
        <w:keepLines/>
        <w:tabs>
          <w:tab w:val="left" w:pos="2520"/>
        </w:tabs>
        <w:rPr>
          <w:rFonts w:cs="Arial"/>
          <w:szCs w:val="20"/>
        </w:rPr>
      </w:pPr>
      <w:r>
        <w:rPr>
          <w:noProof/>
        </w:rPr>
        <w:t>V Kolíně</w:t>
      </w:r>
      <w:r w:rsidR="000378AA" w:rsidRPr="008F1A38">
        <w:rPr>
          <w:rFonts w:cs="Arial"/>
          <w:szCs w:val="20"/>
        </w:rPr>
        <w:t xml:space="preserve"> dne </w:t>
      </w:r>
      <w:r w:rsidR="002713E6">
        <w:rPr>
          <w:rFonts w:cs="Arial"/>
          <w:szCs w:val="20"/>
        </w:rPr>
        <w:t>22.04.2024</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CC51BB">
          <w:footerReference w:type="default" r:id="rId7"/>
          <w:footerReference w:type="first" r:id="rId8"/>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AA0398" w:rsidP="009B751F">
      <w:pPr>
        <w:keepNext/>
        <w:keepLines/>
        <w:jc w:val="center"/>
        <w:rPr>
          <w:rFonts w:cs="Arial"/>
          <w:szCs w:val="20"/>
        </w:rPr>
      </w:pPr>
      <w:r w:rsidRPr="00AA0398">
        <w:rPr>
          <w:rFonts w:cs="Arial"/>
          <w:szCs w:val="20"/>
        </w:rPr>
        <w:t xml:space="preserve">Mgr. </w:t>
      </w:r>
      <w:r>
        <w:t>Michael Kašpar</w:t>
      </w:r>
      <w:r>
        <w:tab/>
      </w:r>
      <w:r>
        <w:br/>
        <w:t>starosta</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AA0398" w:rsidP="009B751F">
      <w:pPr>
        <w:keepNext/>
        <w:keepLines/>
        <w:jc w:val="center"/>
        <w:rPr>
          <w:rFonts w:cs="Arial"/>
          <w:szCs w:val="20"/>
        </w:rPr>
      </w:pPr>
      <w:r w:rsidRPr="00AA0398">
        <w:rPr>
          <w:rFonts w:cs="Arial"/>
          <w:szCs w:val="20"/>
        </w:rPr>
        <w:t xml:space="preserve">Mgr. </w:t>
      </w:r>
      <w:r>
        <w:t>Ivana Milichovská</w:t>
      </w:r>
    </w:p>
    <w:p w:rsidR="00E73C9C" w:rsidRDefault="00AA0398" w:rsidP="00E73C9C">
      <w:pPr>
        <w:keepNext/>
        <w:keepLines/>
        <w:jc w:val="center"/>
        <w:rPr>
          <w:rFonts w:cs="Arial"/>
          <w:szCs w:val="20"/>
        </w:rPr>
      </w:pPr>
      <w:r w:rsidRPr="00AA0398">
        <w:rPr>
          <w:rFonts w:cs="Arial"/>
          <w:szCs w:val="20"/>
        </w:rPr>
        <w:t>ředitelka -</w:t>
      </w:r>
      <w:r>
        <w:t xml:space="preserve"> Úřad práce České republiky - kontaktní pracoviště Kolín</w:t>
      </w:r>
    </w:p>
    <w:p w:rsidR="00AA0398" w:rsidRDefault="00AA0398"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CC51BB">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AA0398" w:rsidRDefault="00AA0398" w:rsidP="0007184F">
      <w:pPr>
        <w:keepNext/>
        <w:keepLines/>
        <w:tabs>
          <w:tab w:val="left" w:pos="2160"/>
        </w:tab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AA0398" w:rsidRPr="00AA0398">
        <w:rPr>
          <w:rFonts w:cs="Arial"/>
          <w:szCs w:val="20"/>
        </w:rPr>
        <w:t>Jitka Kopecká</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AA0398" w:rsidRPr="00AA0398">
        <w:rPr>
          <w:rFonts w:cs="Arial"/>
          <w:szCs w:val="20"/>
        </w:rPr>
        <w:t>950 129</w:t>
      </w:r>
      <w:r w:rsidR="00AA0398">
        <w:t xml:space="preserve"> 428</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AA0398" w:rsidRDefault="00AA0398" w:rsidP="00E903B9">
      <w:pPr>
        <w:keepNext/>
        <w:keepLines/>
        <w:rPr>
          <w:rFonts w:cs="Arial"/>
          <w:bCs/>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lastRenderedPageBreak/>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CC51BB">
      <w:footerReference w:type="default" r:id="rI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0C7" w:rsidRDefault="00E870C7">
      <w:r>
        <w:separator/>
      </w:r>
    </w:p>
  </w:endnote>
  <w:endnote w:type="continuationSeparator" w:id="0">
    <w:p w:rsidR="00E870C7" w:rsidRDefault="00E8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0C7" w:rsidRDefault="00E870C7">
      <w:r>
        <w:separator/>
      </w:r>
    </w:p>
  </w:footnote>
  <w:footnote w:type="continuationSeparator" w:id="0">
    <w:p w:rsidR="00E870C7" w:rsidRDefault="00E8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61984211">
    <w:abstractNumId w:val="6"/>
    <w:lvlOverride w:ilvl="0">
      <w:startOverride w:val="1"/>
    </w:lvlOverride>
  </w:num>
  <w:num w:numId="2" w16cid:durableId="1207181518">
    <w:abstractNumId w:val="6"/>
    <w:lvlOverride w:ilvl="0">
      <w:startOverride w:val="1"/>
    </w:lvlOverride>
  </w:num>
  <w:num w:numId="3" w16cid:durableId="1178041657">
    <w:abstractNumId w:val="6"/>
    <w:lvlOverride w:ilvl="0">
      <w:startOverride w:val="1"/>
    </w:lvlOverride>
  </w:num>
  <w:num w:numId="4" w16cid:durableId="1505585487">
    <w:abstractNumId w:val="6"/>
  </w:num>
  <w:num w:numId="5" w16cid:durableId="1360936368">
    <w:abstractNumId w:val="6"/>
    <w:lvlOverride w:ilvl="0">
      <w:startOverride w:val="1"/>
    </w:lvlOverride>
  </w:num>
  <w:num w:numId="6" w16cid:durableId="1217088299">
    <w:abstractNumId w:val="6"/>
    <w:lvlOverride w:ilvl="0">
      <w:startOverride w:val="1"/>
    </w:lvlOverride>
  </w:num>
  <w:num w:numId="7" w16cid:durableId="1785079654">
    <w:abstractNumId w:val="0"/>
  </w:num>
  <w:num w:numId="8" w16cid:durableId="974871555">
    <w:abstractNumId w:val="6"/>
    <w:lvlOverride w:ilvl="0">
      <w:startOverride w:val="1"/>
    </w:lvlOverride>
  </w:num>
  <w:num w:numId="9" w16cid:durableId="641689894">
    <w:abstractNumId w:val="3"/>
  </w:num>
  <w:num w:numId="10" w16cid:durableId="625239048">
    <w:abstractNumId w:val="4"/>
  </w:num>
  <w:num w:numId="11" w16cid:durableId="1468276087">
    <w:abstractNumId w:val="5"/>
  </w:num>
  <w:num w:numId="12" w16cid:durableId="659888868">
    <w:abstractNumId w:val="2"/>
  </w:num>
  <w:num w:numId="13" w16cid:durableId="1356422968">
    <w:abstractNumId w:val="1"/>
  </w:num>
  <w:num w:numId="14" w16cid:durableId="10350823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E6"/>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13E6"/>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A5E0A"/>
    <w:rsid w:val="003B59CE"/>
    <w:rsid w:val="003C6435"/>
    <w:rsid w:val="003D0A3B"/>
    <w:rsid w:val="003D703F"/>
    <w:rsid w:val="003D72A2"/>
    <w:rsid w:val="003E3A8A"/>
    <w:rsid w:val="003E3C6B"/>
    <w:rsid w:val="003E7E6F"/>
    <w:rsid w:val="003F3275"/>
    <w:rsid w:val="003F7ECD"/>
    <w:rsid w:val="00400261"/>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2F30"/>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4850"/>
    <w:rsid w:val="00755F95"/>
    <w:rsid w:val="00756A66"/>
    <w:rsid w:val="00756EE1"/>
    <w:rsid w:val="007663FC"/>
    <w:rsid w:val="007668C5"/>
    <w:rsid w:val="00771329"/>
    <w:rsid w:val="007844C1"/>
    <w:rsid w:val="00785335"/>
    <w:rsid w:val="00790DAB"/>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0C8"/>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2A76"/>
    <w:rsid w:val="009E38F1"/>
    <w:rsid w:val="009F050C"/>
    <w:rsid w:val="009F0A77"/>
    <w:rsid w:val="009F0D46"/>
    <w:rsid w:val="009F374B"/>
    <w:rsid w:val="009F3BE4"/>
    <w:rsid w:val="009F77D3"/>
    <w:rsid w:val="00A04576"/>
    <w:rsid w:val="00A06255"/>
    <w:rsid w:val="00A07A70"/>
    <w:rsid w:val="00A14FDC"/>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3AEF"/>
    <w:rsid w:val="00A945C8"/>
    <w:rsid w:val="00A97CB9"/>
    <w:rsid w:val="00AA0398"/>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C51BB"/>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5CA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32897"/>
    <w:rsid w:val="00E41862"/>
    <w:rsid w:val="00E505D3"/>
    <w:rsid w:val="00E638BB"/>
    <w:rsid w:val="00E73C9C"/>
    <w:rsid w:val="00E73E23"/>
    <w:rsid w:val="00E76B0E"/>
    <w:rsid w:val="00E8478D"/>
    <w:rsid w:val="00E84D3F"/>
    <w:rsid w:val="00E870C7"/>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5A36"/>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71BAF"/>
  <w15:chartTrackingRefBased/>
  <w15:docId w15:val="{4D1AF3B6-EE61-4409-83AB-96A50EAD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tka.kopecka1\Desktop\VPP%20M&#283;sto%20Kol&#237;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VPP Město Kolín</Template>
  <TotalTime>1</TotalTime>
  <Pages>1</Pages>
  <Words>2936</Words>
  <Characters>17329</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Kopecká Jitka (UPS-KOA)</dc:creator>
  <cp:keywords/>
  <dc:description>Předloha byla vytvořena v informačním systému OKpráce.</dc:description>
  <cp:lastModifiedBy>Kopecká Jitka (UPS-KOA)</cp:lastModifiedBy>
  <cp:revision>2</cp:revision>
  <cp:lastPrinted>1601-01-01T00:00:00Z</cp:lastPrinted>
  <dcterms:created xsi:type="dcterms:W3CDTF">2024-04-22T07:47:00Z</dcterms:created>
  <dcterms:modified xsi:type="dcterms:W3CDTF">2024-04-22T07:48:00Z</dcterms:modified>
</cp:coreProperties>
</file>