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FF9" w:rsidRDefault="00671278">
      <w:pPr>
        <w:spacing w:before="60"/>
        <w:ind w:left="592" w:right="589"/>
        <w:jc w:val="center"/>
        <w:rPr>
          <w:b/>
          <w:i/>
          <w:sz w:val="40"/>
        </w:rPr>
      </w:pPr>
      <w:bookmarkStart w:id="0" w:name="_GoBack"/>
      <w:bookmarkEnd w:id="0"/>
      <w:r>
        <w:rPr>
          <w:b/>
          <w:i/>
          <w:sz w:val="40"/>
        </w:rPr>
        <w:t>Smlouva o dodávce IT služeb</w:t>
      </w:r>
    </w:p>
    <w:p w:rsidR="00957FF9" w:rsidRDefault="00957FF9">
      <w:pPr>
        <w:pStyle w:val="Zkladntext"/>
        <w:spacing w:before="2"/>
        <w:rPr>
          <w:b/>
          <w:i/>
          <w:sz w:val="60"/>
        </w:rPr>
      </w:pPr>
    </w:p>
    <w:p w:rsidR="00957FF9" w:rsidRDefault="00671278">
      <w:pPr>
        <w:pStyle w:val="Nadpis1"/>
        <w:spacing w:before="1"/>
      </w:pPr>
      <w:r>
        <w:rPr>
          <w:noProof/>
        </w:rPr>
        <mc:AlternateContent>
          <mc:Choice Requires="wps">
            <w:drawing>
              <wp:anchor distT="0" distB="0" distL="114300" distR="114300" simplePos="0" relativeHeight="251658240" behindDoc="0" locked="0" layoutInCell="1" allowOverlap="1">
                <wp:simplePos x="0" y="0"/>
                <wp:positionH relativeFrom="page">
                  <wp:posOffset>689610</wp:posOffset>
                </wp:positionH>
                <wp:positionV relativeFrom="paragraph">
                  <wp:posOffset>361950</wp:posOffset>
                </wp:positionV>
                <wp:extent cx="2950210" cy="12211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122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60"/>
                              <w:gridCol w:w="1223"/>
                              <w:gridCol w:w="3064"/>
                            </w:tblGrid>
                            <w:tr w:rsidR="00957FF9">
                              <w:trPr>
                                <w:trHeight w:val="281"/>
                              </w:trPr>
                              <w:tc>
                                <w:tcPr>
                                  <w:tcW w:w="360" w:type="dxa"/>
                                  <w:vMerge w:val="restart"/>
                                </w:tcPr>
                                <w:p w:rsidR="00957FF9" w:rsidRDefault="00957FF9">
                                  <w:pPr>
                                    <w:pStyle w:val="TableParagraph"/>
                                    <w:spacing w:before="0"/>
                                    <w:rPr>
                                      <w:rFonts w:ascii="Times New Roman"/>
                                    </w:rPr>
                                  </w:pPr>
                                </w:p>
                              </w:tc>
                              <w:tc>
                                <w:tcPr>
                                  <w:tcW w:w="1223" w:type="dxa"/>
                                </w:tcPr>
                                <w:p w:rsidR="00957FF9" w:rsidRDefault="00671278">
                                  <w:pPr>
                                    <w:pStyle w:val="TableParagraph"/>
                                    <w:spacing w:before="0" w:line="221" w:lineRule="exact"/>
                                    <w:ind w:right="54"/>
                                    <w:jc w:val="right"/>
                                    <w:rPr>
                                      <w:sz w:val="20"/>
                                    </w:rPr>
                                  </w:pPr>
                                  <w:r>
                                    <w:rPr>
                                      <w:sz w:val="20"/>
                                    </w:rPr>
                                    <w:t>Sídlo:</w:t>
                                  </w:r>
                                </w:p>
                              </w:tc>
                              <w:tc>
                                <w:tcPr>
                                  <w:tcW w:w="3064" w:type="dxa"/>
                                </w:tcPr>
                                <w:p w:rsidR="00957FF9" w:rsidRDefault="00671278">
                                  <w:pPr>
                                    <w:pStyle w:val="TableParagraph"/>
                                    <w:spacing w:before="0" w:line="221" w:lineRule="exact"/>
                                    <w:ind w:left="55"/>
                                    <w:rPr>
                                      <w:sz w:val="20"/>
                                    </w:rPr>
                                  </w:pPr>
                                  <w:r>
                                    <w:rPr>
                                      <w:sz w:val="20"/>
                                    </w:rPr>
                                    <w:t>Rychnovská 350, Praha 18 - Letňany</w:t>
                                  </w:r>
                                </w:p>
                              </w:tc>
                            </w:tr>
                            <w:tr w:rsidR="00957FF9">
                              <w:trPr>
                                <w:trHeight w:val="341"/>
                              </w:trPr>
                              <w:tc>
                                <w:tcPr>
                                  <w:tcW w:w="360" w:type="dxa"/>
                                  <w:vMerge/>
                                  <w:tcBorders>
                                    <w:top w:val="nil"/>
                                  </w:tcBorders>
                                </w:tcPr>
                                <w:p w:rsidR="00957FF9" w:rsidRDefault="00957FF9">
                                  <w:pPr>
                                    <w:rPr>
                                      <w:sz w:val="2"/>
                                      <w:szCs w:val="2"/>
                                    </w:rPr>
                                  </w:pPr>
                                </w:p>
                              </w:tc>
                              <w:tc>
                                <w:tcPr>
                                  <w:tcW w:w="1223" w:type="dxa"/>
                                </w:tcPr>
                                <w:p w:rsidR="00957FF9" w:rsidRDefault="00671278">
                                  <w:pPr>
                                    <w:pStyle w:val="TableParagraph"/>
                                    <w:spacing w:before="51"/>
                                    <w:ind w:right="53"/>
                                    <w:jc w:val="right"/>
                                    <w:rPr>
                                      <w:sz w:val="20"/>
                                    </w:rPr>
                                  </w:pPr>
                                  <w:r>
                                    <w:rPr>
                                      <w:sz w:val="20"/>
                                    </w:rPr>
                                    <w:t>IČ:</w:t>
                                  </w:r>
                                </w:p>
                              </w:tc>
                              <w:tc>
                                <w:tcPr>
                                  <w:tcW w:w="3064" w:type="dxa"/>
                                </w:tcPr>
                                <w:p w:rsidR="00957FF9" w:rsidRDefault="00671278">
                                  <w:pPr>
                                    <w:pStyle w:val="TableParagraph"/>
                                    <w:spacing w:before="51"/>
                                    <w:ind w:left="55"/>
                                    <w:rPr>
                                      <w:sz w:val="20"/>
                                    </w:rPr>
                                  </w:pPr>
                                  <w:r>
                                    <w:rPr>
                                      <w:sz w:val="20"/>
                                    </w:rPr>
                                    <w:t>60446005</w:t>
                                  </w:r>
                                </w:p>
                              </w:tc>
                            </w:tr>
                            <w:tr w:rsidR="00957FF9">
                              <w:trPr>
                                <w:trHeight w:val="341"/>
                              </w:trPr>
                              <w:tc>
                                <w:tcPr>
                                  <w:tcW w:w="360" w:type="dxa"/>
                                  <w:vMerge/>
                                  <w:tcBorders>
                                    <w:top w:val="nil"/>
                                  </w:tcBorders>
                                </w:tcPr>
                                <w:p w:rsidR="00957FF9" w:rsidRDefault="00957FF9">
                                  <w:pPr>
                                    <w:rPr>
                                      <w:sz w:val="2"/>
                                      <w:szCs w:val="2"/>
                                    </w:rPr>
                                  </w:pPr>
                                </w:p>
                              </w:tc>
                              <w:tc>
                                <w:tcPr>
                                  <w:tcW w:w="1223" w:type="dxa"/>
                                </w:tcPr>
                                <w:p w:rsidR="00957FF9" w:rsidRDefault="00671278">
                                  <w:pPr>
                                    <w:pStyle w:val="TableParagraph"/>
                                    <w:spacing w:before="50"/>
                                    <w:ind w:right="53"/>
                                    <w:jc w:val="right"/>
                                    <w:rPr>
                                      <w:sz w:val="20"/>
                                    </w:rPr>
                                  </w:pPr>
                                  <w:r>
                                    <w:rPr>
                                      <w:sz w:val="20"/>
                                    </w:rPr>
                                    <w:t>DIČ:</w:t>
                                  </w:r>
                                </w:p>
                              </w:tc>
                              <w:tc>
                                <w:tcPr>
                                  <w:tcW w:w="3064" w:type="dxa"/>
                                </w:tcPr>
                                <w:p w:rsidR="00957FF9" w:rsidRDefault="00671278">
                                  <w:pPr>
                                    <w:pStyle w:val="TableParagraph"/>
                                    <w:spacing w:before="50"/>
                                    <w:ind w:left="55"/>
                                    <w:rPr>
                                      <w:sz w:val="20"/>
                                    </w:rPr>
                                  </w:pPr>
                                  <w:r>
                                    <w:rPr>
                                      <w:sz w:val="20"/>
                                    </w:rPr>
                                    <w:t>Neuvedeno (není plátce DPH)</w:t>
                                  </w:r>
                                </w:p>
                              </w:tc>
                            </w:tr>
                            <w:tr w:rsidR="00957FF9">
                              <w:trPr>
                                <w:trHeight w:val="958"/>
                              </w:trPr>
                              <w:tc>
                                <w:tcPr>
                                  <w:tcW w:w="360" w:type="dxa"/>
                                </w:tcPr>
                                <w:p w:rsidR="00957FF9" w:rsidRDefault="00957FF9">
                                  <w:pPr>
                                    <w:pStyle w:val="TableParagraph"/>
                                    <w:spacing w:before="0"/>
                                    <w:rPr>
                                      <w:i/>
                                      <w:sz w:val="26"/>
                                    </w:rPr>
                                  </w:pPr>
                                </w:p>
                                <w:p w:rsidR="00957FF9" w:rsidRDefault="00957FF9">
                                  <w:pPr>
                                    <w:pStyle w:val="TableParagraph"/>
                                    <w:spacing w:before="3"/>
                                    <w:rPr>
                                      <w:i/>
                                      <w:sz w:val="33"/>
                                    </w:rPr>
                                  </w:pPr>
                                </w:p>
                                <w:p w:rsidR="00957FF9" w:rsidRDefault="00671278">
                                  <w:pPr>
                                    <w:pStyle w:val="TableParagraph"/>
                                    <w:spacing w:before="1" w:line="256" w:lineRule="exact"/>
                                    <w:ind w:left="50"/>
                                    <w:rPr>
                                      <w:i/>
                                      <w:sz w:val="24"/>
                                    </w:rPr>
                                  </w:pPr>
                                  <w:r>
                                    <w:rPr>
                                      <w:i/>
                                      <w:sz w:val="24"/>
                                    </w:rPr>
                                    <w:t>a</w:t>
                                  </w:r>
                                </w:p>
                              </w:tc>
                              <w:tc>
                                <w:tcPr>
                                  <w:tcW w:w="1223" w:type="dxa"/>
                                </w:tcPr>
                                <w:p w:rsidR="00957FF9" w:rsidRDefault="00671278">
                                  <w:pPr>
                                    <w:pStyle w:val="TableParagraph"/>
                                    <w:spacing w:before="51"/>
                                    <w:ind w:right="53"/>
                                    <w:jc w:val="right"/>
                                    <w:rPr>
                                      <w:sz w:val="20"/>
                                    </w:rPr>
                                  </w:pPr>
                                  <w:r>
                                    <w:rPr>
                                      <w:sz w:val="20"/>
                                    </w:rPr>
                                    <w:t>Zastoupená:</w:t>
                                  </w:r>
                                </w:p>
                              </w:tc>
                              <w:tc>
                                <w:tcPr>
                                  <w:tcW w:w="3064" w:type="dxa"/>
                                </w:tcPr>
                                <w:p w:rsidR="00957FF9" w:rsidRDefault="00671278">
                                  <w:pPr>
                                    <w:pStyle w:val="TableParagraph"/>
                                    <w:spacing w:before="51"/>
                                    <w:ind w:left="55"/>
                                    <w:rPr>
                                      <w:sz w:val="20"/>
                                    </w:rPr>
                                  </w:pPr>
                                  <w:r>
                                    <w:rPr>
                                      <w:sz w:val="20"/>
                                    </w:rPr>
                                    <w:t>Mgr. Evou Duchkovou</w:t>
                                  </w:r>
                                </w:p>
                              </w:tc>
                            </w:tr>
                          </w:tbl>
                          <w:p w:rsidR="00957FF9" w:rsidRDefault="00957FF9">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3pt;margin-top:28.5pt;width:232.3pt;height:9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zsrAIAAKoFAAAOAAAAZHJzL2Uyb0RvYy54bWysVG1vmzAQ/j5p/8Hyd4phJA2opGpDmCZ1&#10;L1K7H+CACdbAZrYT6Kr9951NSNJWk6ZtfLAO+/zcPXeP7+p6aBu0Z0pzKVIcXBCMmChkycU2xV8f&#10;cm+BkTZUlLSRgqX4kWl8vXz75qrvEhbKWjYlUwhAhE76LsW1MV3i+7qoWUv1heyYgMNKqpYa+FVb&#10;v1S0B/S28UNC5n4vVdkpWTCtYTcbD/HS4VcVK8znqtLMoCbFkJtxq3Lrxq7+8oomW0W7mheHNOhf&#10;ZNFSLiDoESqjhqKd4q+gWl4oqWVlLgrZ+rKqeMEcB2ATkBds7mvaMccFiqO7Y5n0/4MtPu2/KMTL&#10;FEcYCdpCix7YYNCtHFBkq9N3OgGn+w7czADb0GXHVHd3svimkZCrmootu1FK9jWjJWQX2Jv+2dUR&#10;R1uQTf9RlhCG7ox0QEOlWls6KAYCdOjS47EzNpUCNsN4RsIAjgo4C8IwCMjMxaDJdL1T2rxnskXW&#10;SLGC1jt4ur/TxqZDk8nFRhMy503j2t+IZxvgOO5AcLhqz2warptPMYnXi/Ui8qJwvvYikmXeTb6K&#10;vHkeXM6yd9lqlQU/bdwgSmpelkzYMJOygujPOnfQ+KiJo7a0bHhp4WxKWm03q0ahPQVl5+47FOTM&#10;zX+ehisCcHlBKQgjchvGXj5fXHpRHs28+JIsPBLEt/GcRHGU5c8p3XHB/p0S6lMcz8LZqKbfciPu&#10;e82NJi03MDsa3qZ4cXSiidXgWpSutYbyZrTPSmHTP5UC2j012inWinSUqxk2A6BYGW9k+QjaVRKU&#10;BSqEgQdGLdUPjHoYHinW33dUMYyaDwL0byfNZKjJ2EwGFQVcTbHBaDRXZpxIu07xbQ3I4wsT8gbe&#10;SMWdek9ZHF4WDARH4jC87MQ5/3depxG7/AUAAP//AwBQSwMEFAAGAAgAAAAhAEf3rmvgAAAACgEA&#10;AA8AAABkcnMvZG93bnJldi54bWxMj8FOwzAQRO9I/IO1SNyoTUrTNo1TVQhOSIg0HHp0YjexGq9D&#10;7Lbh71lOcBzt0+ybfDu5nl3MGKxHCY8zAcxg47XFVsJn9fqwAhaiQq16j0bCtwmwLW5vcpVpf8XS&#10;XPaxZVSCIVMSuhiHjPPQdMapMPODQbod/ehUpDi2XI/qSuWu54kQKXfKIn3o1GCeO9Oc9mcnYXfA&#10;8sV+vdcf5bG0VbUW+JaepLy/m3YbYNFM8Q+GX31Sh4Kcan9GHVhPWaxSQiUslrSJgMVyngCrJSRP&#10;6znwIuf/JxQ/AAAA//8DAFBLAQItABQABgAIAAAAIQC2gziS/gAAAOEBAAATAAAAAAAAAAAAAAAA&#10;AAAAAABbQ29udGVudF9UeXBlc10ueG1sUEsBAi0AFAAGAAgAAAAhADj9If/WAAAAlAEAAAsAAAAA&#10;AAAAAAAAAAAALwEAAF9yZWxzLy5yZWxzUEsBAi0AFAAGAAgAAAAhACWA/OysAgAAqgUAAA4AAAAA&#10;AAAAAAAAAAAALgIAAGRycy9lMm9Eb2MueG1sUEsBAi0AFAAGAAgAAAAhAEf3rmvgAAAACgEAAA8A&#10;AAAAAAAAAAAAAAAABgUAAGRycy9kb3ducmV2LnhtbFBLBQYAAAAABAAEAPMAAAATBgAAAAA=&#10;" filled="f" stroked="f">
                <v:textbox inset="0,0,0,0">
                  <w:txbxContent>
                    <w:tbl>
                      <w:tblPr>
                        <w:tblStyle w:val="TableNormal"/>
                        <w:tblW w:w="0" w:type="auto"/>
                        <w:tblInd w:w="7" w:type="dxa"/>
                        <w:tblLayout w:type="fixed"/>
                        <w:tblLook w:val="01E0" w:firstRow="1" w:lastRow="1" w:firstColumn="1" w:lastColumn="1" w:noHBand="0" w:noVBand="0"/>
                      </w:tblPr>
                      <w:tblGrid>
                        <w:gridCol w:w="360"/>
                        <w:gridCol w:w="1223"/>
                        <w:gridCol w:w="3064"/>
                      </w:tblGrid>
                      <w:tr w:rsidR="00957FF9">
                        <w:trPr>
                          <w:trHeight w:val="281"/>
                        </w:trPr>
                        <w:tc>
                          <w:tcPr>
                            <w:tcW w:w="360" w:type="dxa"/>
                            <w:vMerge w:val="restart"/>
                          </w:tcPr>
                          <w:p w:rsidR="00957FF9" w:rsidRDefault="00957FF9">
                            <w:pPr>
                              <w:pStyle w:val="TableParagraph"/>
                              <w:spacing w:before="0"/>
                              <w:rPr>
                                <w:rFonts w:ascii="Times New Roman"/>
                              </w:rPr>
                            </w:pPr>
                          </w:p>
                        </w:tc>
                        <w:tc>
                          <w:tcPr>
                            <w:tcW w:w="1223" w:type="dxa"/>
                          </w:tcPr>
                          <w:p w:rsidR="00957FF9" w:rsidRDefault="00671278">
                            <w:pPr>
                              <w:pStyle w:val="TableParagraph"/>
                              <w:spacing w:before="0" w:line="221" w:lineRule="exact"/>
                              <w:ind w:right="54"/>
                              <w:jc w:val="right"/>
                              <w:rPr>
                                <w:sz w:val="20"/>
                              </w:rPr>
                            </w:pPr>
                            <w:r>
                              <w:rPr>
                                <w:sz w:val="20"/>
                              </w:rPr>
                              <w:t>Sídlo:</w:t>
                            </w:r>
                          </w:p>
                        </w:tc>
                        <w:tc>
                          <w:tcPr>
                            <w:tcW w:w="3064" w:type="dxa"/>
                          </w:tcPr>
                          <w:p w:rsidR="00957FF9" w:rsidRDefault="00671278">
                            <w:pPr>
                              <w:pStyle w:val="TableParagraph"/>
                              <w:spacing w:before="0" w:line="221" w:lineRule="exact"/>
                              <w:ind w:left="55"/>
                              <w:rPr>
                                <w:sz w:val="20"/>
                              </w:rPr>
                            </w:pPr>
                            <w:r>
                              <w:rPr>
                                <w:sz w:val="20"/>
                              </w:rPr>
                              <w:t>Rychnovská 350, Praha 18 - Letňany</w:t>
                            </w:r>
                          </w:p>
                        </w:tc>
                      </w:tr>
                      <w:tr w:rsidR="00957FF9">
                        <w:trPr>
                          <w:trHeight w:val="341"/>
                        </w:trPr>
                        <w:tc>
                          <w:tcPr>
                            <w:tcW w:w="360" w:type="dxa"/>
                            <w:vMerge/>
                            <w:tcBorders>
                              <w:top w:val="nil"/>
                            </w:tcBorders>
                          </w:tcPr>
                          <w:p w:rsidR="00957FF9" w:rsidRDefault="00957FF9">
                            <w:pPr>
                              <w:rPr>
                                <w:sz w:val="2"/>
                                <w:szCs w:val="2"/>
                              </w:rPr>
                            </w:pPr>
                          </w:p>
                        </w:tc>
                        <w:tc>
                          <w:tcPr>
                            <w:tcW w:w="1223" w:type="dxa"/>
                          </w:tcPr>
                          <w:p w:rsidR="00957FF9" w:rsidRDefault="00671278">
                            <w:pPr>
                              <w:pStyle w:val="TableParagraph"/>
                              <w:spacing w:before="51"/>
                              <w:ind w:right="53"/>
                              <w:jc w:val="right"/>
                              <w:rPr>
                                <w:sz w:val="20"/>
                              </w:rPr>
                            </w:pPr>
                            <w:r>
                              <w:rPr>
                                <w:sz w:val="20"/>
                              </w:rPr>
                              <w:t>IČ:</w:t>
                            </w:r>
                          </w:p>
                        </w:tc>
                        <w:tc>
                          <w:tcPr>
                            <w:tcW w:w="3064" w:type="dxa"/>
                          </w:tcPr>
                          <w:p w:rsidR="00957FF9" w:rsidRDefault="00671278">
                            <w:pPr>
                              <w:pStyle w:val="TableParagraph"/>
                              <w:spacing w:before="51"/>
                              <w:ind w:left="55"/>
                              <w:rPr>
                                <w:sz w:val="20"/>
                              </w:rPr>
                            </w:pPr>
                            <w:r>
                              <w:rPr>
                                <w:sz w:val="20"/>
                              </w:rPr>
                              <w:t>60446005</w:t>
                            </w:r>
                          </w:p>
                        </w:tc>
                      </w:tr>
                      <w:tr w:rsidR="00957FF9">
                        <w:trPr>
                          <w:trHeight w:val="341"/>
                        </w:trPr>
                        <w:tc>
                          <w:tcPr>
                            <w:tcW w:w="360" w:type="dxa"/>
                            <w:vMerge/>
                            <w:tcBorders>
                              <w:top w:val="nil"/>
                            </w:tcBorders>
                          </w:tcPr>
                          <w:p w:rsidR="00957FF9" w:rsidRDefault="00957FF9">
                            <w:pPr>
                              <w:rPr>
                                <w:sz w:val="2"/>
                                <w:szCs w:val="2"/>
                              </w:rPr>
                            </w:pPr>
                          </w:p>
                        </w:tc>
                        <w:tc>
                          <w:tcPr>
                            <w:tcW w:w="1223" w:type="dxa"/>
                          </w:tcPr>
                          <w:p w:rsidR="00957FF9" w:rsidRDefault="00671278">
                            <w:pPr>
                              <w:pStyle w:val="TableParagraph"/>
                              <w:spacing w:before="50"/>
                              <w:ind w:right="53"/>
                              <w:jc w:val="right"/>
                              <w:rPr>
                                <w:sz w:val="20"/>
                              </w:rPr>
                            </w:pPr>
                            <w:r>
                              <w:rPr>
                                <w:sz w:val="20"/>
                              </w:rPr>
                              <w:t>DIČ:</w:t>
                            </w:r>
                          </w:p>
                        </w:tc>
                        <w:tc>
                          <w:tcPr>
                            <w:tcW w:w="3064" w:type="dxa"/>
                          </w:tcPr>
                          <w:p w:rsidR="00957FF9" w:rsidRDefault="00671278">
                            <w:pPr>
                              <w:pStyle w:val="TableParagraph"/>
                              <w:spacing w:before="50"/>
                              <w:ind w:left="55"/>
                              <w:rPr>
                                <w:sz w:val="20"/>
                              </w:rPr>
                            </w:pPr>
                            <w:r>
                              <w:rPr>
                                <w:sz w:val="20"/>
                              </w:rPr>
                              <w:t>Neuvedeno (není plátce DPH)</w:t>
                            </w:r>
                          </w:p>
                        </w:tc>
                      </w:tr>
                      <w:tr w:rsidR="00957FF9">
                        <w:trPr>
                          <w:trHeight w:val="958"/>
                        </w:trPr>
                        <w:tc>
                          <w:tcPr>
                            <w:tcW w:w="360" w:type="dxa"/>
                          </w:tcPr>
                          <w:p w:rsidR="00957FF9" w:rsidRDefault="00957FF9">
                            <w:pPr>
                              <w:pStyle w:val="TableParagraph"/>
                              <w:spacing w:before="0"/>
                              <w:rPr>
                                <w:i/>
                                <w:sz w:val="26"/>
                              </w:rPr>
                            </w:pPr>
                          </w:p>
                          <w:p w:rsidR="00957FF9" w:rsidRDefault="00957FF9">
                            <w:pPr>
                              <w:pStyle w:val="TableParagraph"/>
                              <w:spacing w:before="3"/>
                              <w:rPr>
                                <w:i/>
                                <w:sz w:val="33"/>
                              </w:rPr>
                            </w:pPr>
                          </w:p>
                          <w:p w:rsidR="00957FF9" w:rsidRDefault="00671278">
                            <w:pPr>
                              <w:pStyle w:val="TableParagraph"/>
                              <w:spacing w:before="1" w:line="256" w:lineRule="exact"/>
                              <w:ind w:left="50"/>
                              <w:rPr>
                                <w:i/>
                                <w:sz w:val="24"/>
                              </w:rPr>
                            </w:pPr>
                            <w:r>
                              <w:rPr>
                                <w:i/>
                                <w:sz w:val="24"/>
                              </w:rPr>
                              <w:t>a</w:t>
                            </w:r>
                          </w:p>
                        </w:tc>
                        <w:tc>
                          <w:tcPr>
                            <w:tcW w:w="1223" w:type="dxa"/>
                          </w:tcPr>
                          <w:p w:rsidR="00957FF9" w:rsidRDefault="00671278">
                            <w:pPr>
                              <w:pStyle w:val="TableParagraph"/>
                              <w:spacing w:before="51"/>
                              <w:ind w:right="53"/>
                              <w:jc w:val="right"/>
                              <w:rPr>
                                <w:sz w:val="20"/>
                              </w:rPr>
                            </w:pPr>
                            <w:r>
                              <w:rPr>
                                <w:sz w:val="20"/>
                              </w:rPr>
                              <w:t>Zastoupená:</w:t>
                            </w:r>
                          </w:p>
                        </w:tc>
                        <w:tc>
                          <w:tcPr>
                            <w:tcW w:w="3064" w:type="dxa"/>
                          </w:tcPr>
                          <w:p w:rsidR="00957FF9" w:rsidRDefault="00671278">
                            <w:pPr>
                              <w:pStyle w:val="TableParagraph"/>
                              <w:spacing w:before="51"/>
                              <w:ind w:left="55"/>
                              <w:rPr>
                                <w:sz w:val="20"/>
                              </w:rPr>
                            </w:pPr>
                            <w:r>
                              <w:rPr>
                                <w:sz w:val="20"/>
                              </w:rPr>
                              <w:t>Mgr. Evou Duchkovou</w:t>
                            </w:r>
                          </w:p>
                        </w:tc>
                      </w:tr>
                    </w:tbl>
                    <w:p w:rsidR="00957FF9" w:rsidRDefault="00957FF9">
                      <w:pPr>
                        <w:pStyle w:val="Zkladntext"/>
                      </w:pPr>
                    </w:p>
                  </w:txbxContent>
                </v:textbox>
                <w10:wrap anchorx="page"/>
              </v:shape>
            </w:pict>
          </mc:Fallback>
        </mc:AlternateContent>
      </w:r>
      <w:bookmarkStart w:id="1" w:name="Základní_škola_generála_Františka_Fajtla"/>
      <w:bookmarkEnd w:id="1"/>
      <w:r>
        <w:t>Základní škola generála Františka Fajtla DFC</w:t>
      </w:r>
    </w:p>
    <w:p w:rsidR="00957FF9" w:rsidRDefault="00957FF9">
      <w:pPr>
        <w:pStyle w:val="Zkladntext"/>
        <w:rPr>
          <w:i/>
          <w:sz w:val="30"/>
        </w:rPr>
      </w:pPr>
    </w:p>
    <w:p w:rsidR="00957FF9" w:rsidRDefault="00957FF9">
      <w:pPr>
        <w:pStyle w:val="Zkladntext"/>
        <w:rPr>
          <w:i/>
          <w:sz w:val="30"/>
        </w:rPr>
      </w:pPr>
    </w:p>
    <w:p w:rsidR="00957FF9" w:rsidRDefault="00957FF9">
      <w:pPr>
        <w:pStyle w:val="Zkladntext"/>
        <w:rPr>
          <w:i/>
          <w:sz w:val="30"/>
        </w:rPr>
      </w:pPr>
    </w:p>
    <w:p w:rsidR="00957FF9" w:rsidRDefault="00957FF9">
      <w:pPr>
        <w:pStyle w:val="Zkladntext"/>
        <w:rPr>
          <w:i/>
          <w:sz w:val="30"/>
        </w:rPr>
      </w:pPr>
    </w:p>
    <w:p w:rsidR="00957FF9" w:rsidRDefault="00957FF9">
      <w:pPr>
        <w:pStyle w:val="Zkladntext"/>
        <w:spacing w:before="6"/>
        <w:rPr>
          <w:i/>
          <w:sz w:val="26"/>
        </w:rPr>
      </w:pPr>
    </w:p>
    <w:p w:rsidR="00957FF9" w:rsidRDefault="00671278">
      <w:pPr>
        <w:ind w:right="115"/>
        <w:jc w:val="right"/>
        <w:rPr>
          <w:sz w:val="18"/>
        </w:rPr>
      </w:pPr>
      <w:r>
        <w:rPr>
          <w:sz w:val="18"/>
        </w:rPr>
        <w:t>(dále jen zákazník)</w:t>
      </w:r>
    </w:p>
    <w:p w:rsidR="00957FF9" w:rsidRDefault="00957FF9">
      <w:pPr>
        <w:pStyle w:val="Zkladntext"/>
        <w:rPr>
          <w:sz w:val="20"/>
        </w:rPr>
      </w:pPr>
    </w:p>
    <w:p w:rsidR="00957FF9" w:rsidRDefault="00957FF9">
      <w:pPr>
        <w:pStyle w:val="Zkladntext"/>
        <w:spacing w:before="2"/>
        <w:rPr>
          <w:sz w:val="28"/>
        </w:rPr>
      </w:pPr>
    </w:p>
    <w:p w:rsidR="00957FF9" w:rsidRDefault="00671278">
      <w:pPr>
        <w:pStyle w:val="Nadpis1"/>
      </w:pPr>
      <w:bookmarkStart w:id="2" w:name="Petr_Kříž"/>
      <w:bookmarkEnd w:id="2"/>
      <w:r>
        <w:t>Petr Kříž</w:t>
      </w:r>
    </w:p>
    <w:p w:rsidR="00957FF9" w:rsidRDefault="00671278">
      <w:pPr>
        <w:spacing w:before="239" w:line="355" w:lineRule="auto"/>
        <w:ind w:left="1378" w:right="4149" w:hanging="1116"/>
        <w:rPr>
          <w:sz w:val="20"/>
        </w:rPr>
      </w:pPr>
      <w:r>
        <w:rPr>
          <w:sz w:val="20"/>
        </w:rPr>
        <w:t>Místo podnikání: Radvanická 697/14, 197 00, Praha 9 - Kbely IČ: 60446005</w:t>
      </w:r>
    </w:p>
    <w:p w:rsidR="00957FF9" w:rsidRDefault="00671278">
      <w:pPr>
        <w:spacing w:before="1"/>
        <w:ind w:left="1234"/>
        <w:rPr>
          <w:sz w:val="20"/>
        </w:rPr>
      </w:pPr>
      <w:r>
        <w:rPr>
          <w:sz w:val="20"/>
        </w:rPr>
        <w:t>DIČ: CZ8106050678</w:t>
      </w:r>
    </w:p>
    <w:p w:rsidR="00957FF9" w:rsidRDefault="00957FF9">
      <w:pPr>
        <w:pStyle w:val="Zkladntext"/>
        <w:spacing w:before="8"/>
        <w:rPr>
          <w:sz w:val="8"/>
        </w:rPr>
      </w:pPr>
    </w:p>
    <w:p w:rsidR="00957FF9" w:rsidRDefault="00671278">
      <w:pPr>
        <w:spacing w:before="93"/>
        <w:ind w:right="112"/>
        <w:jc w:val="right"/>
        <w:rPr>
          <w:sz w:val="18"/>
        </w:rPr>
      </w:pPr>
      <w:bookmarkStart w:id="3" w:name="(dále_jen_dodavatel)"/>
      <w:bookmarkEnd w:id="3"/>
      <w:r>
        <w:rPr>
          <w:sz w:val="18"/>
        </w:rPr>
        <w:t>(dále jen dodavatel)</w:t>
      </w:r>
    </w:p>
    <w:p w:rsidR="00957FF9" w:rsidRDefault="00957FF9">
      <w:pPr>
        <w:pStyle w:val="Zkladntext"/>
        <w:rPr>
          <w:sz w:val="20"/>
        </w:rPr>
      </w:pPr>
    </w:p>
    <w:p w:rsidR="00957FF9" w:rsidRDefault="00671278">
      <w:pPr>
        <w:pStyle w:val="Nadpis2"/>
        <w:spacing w:before="233"/>
        <w:ind w:right="582"/>
      </w:pPr>
      <w:r>
        <w:t>uzavřeli tuto smlouvu na dodávku IT služeb</w:t>
      </w:r>
    </w:p>
    <w:p w:rsidR="00957FF9" w:rsidRDefault="00671278">
      <w:pPr>
        <w:ind w:left="620" w:right="581"/>
        <w:jc w:val="center"/>
        <w:rPr>
          <w:b/>
          <w:sz w:val="24"/>
        </w:rPr>
      </w:pPr>
      <w:r>
        <w:rPr>
          <w:b/>
          <w:sz w:val="24"/>
        </w:rPr>
        <w:t>(dle občanského zákoníku nepojmenovanou smlouvu)</w:t>
      </w:r>
    </w:p>
    <w:p w:rsidR="00957FF9" w:rsidRDefault="00957FF9">
      <w:pPr>
        <w:pStyle w:val="Zkladntext"/>
        <w:rPr>
          <w:b/>
          <w:sz w:val="26"/>
        </w:rPr>
      </w:pPr>
    </w:p>
    <w:p w:rsidR="00957FF9" w:rsidRDefault="00671278">
      <w:pPr>
        <w:spacing w:before="163"/>
        <w:ind w:left="620" w:right="579"/>
        <w:jc w:val="center"/>
        <w:rPr>
          <w:b/>
          <w:sz w:val="24"/>
        </w:rPr>
      </w:pPr>
      <w:r>
        <w:rPr>
          <w:b/>
          <w:sz w:val="24"/>
        </w:rPr>
        <w:t>Článek I. (rozsah dodávaných služeb)</w:t>
      </w:r>
    </w:p>
    <w:p w:rsidR="00957FF9" w:rsidRDefault="00671278">
      <w:pPr>
        <w:pStyle w:val="Zkladntext"/>
        <w:spacing w:before="230"/>
        <w:ind w:left="155"/>
      </w:pPr>
      <w:r>
        <w:t>Dodavatel se zavazuje k zajištění následujících činností v rámci sjednané dodávky IT služeb:</w:t>
      </w:r>
    </w:p>
    <w:p w:rsidR="00957FF9" w:rsidRDefault="00957FF9">
      <w:pPr>
        <w:pStyle w:val="Zkladntext"/>
        <w:spacing w:before="9"/>
        <w:rPr>
          <w:sz w:val="28"/>
        </w:rPr>
      </w:pPr>
    </w:p>
    <w:p w:rsidR="00957FF9" w:rsidRDefault="00671278">
      <w:pPr>
        <w:pStyle w:val="Odstavecseseznamem"/>
        <w:numPr>
          <w:ilvl w:val="0"/>
          <w:numId w:val="4"/>
        </w:numPr>
        <w:tabs>
          <w:tab w:val="left" w:pos="875"/>
          <w:tab w:val="left" w:pos="876"/>
        </w:tabs>
        <w:spacing w:before="1"/>
        <w:ind w:right="226"/>
        <w:rPr>
          <w:i/>
          <w:sz w:val="24"/>
        </w:rPr>
      </w:pPr>
      <w:r>
        <w:rPr>
          <w:b/>
          <w:i/>
          <w:sz w:val="24"/>
        </w:rPr>
        <w:t>základní monitoring a aktualizace prac. stanic</w:t>
      </w:r>
      <w:r>
        <w:rPr>
          <w:i/>
          <w:sz w:val="24"/>
        </w:rPr>
        <w:t>, zpracování vybraných technických ukazatelů o stavu a využití zařízení a provádění činností k předcházení poruchový</w:t>
      </w:r>
      <w:r>
        <w:rPr>
          <w:i/>
          <w:sz w:val="24"/>
        </w:rPr>
        <w:t xml:space="preserve">ch stavů či snížení jejich eventuálních dopadů. Průběžná aktualizace zahrnuje balík vybraného základního aplikačního sofware jako např. Jawa, .NET framework, Adobe </w:t>
      </w:r>
      <w:r>
        <w:rPr>
          <w:i/>
          <w:spacing w:val="-5"/>
          <w:sz w:val="24"/>
        </w:rPr>
        <w:t xml:space="preserve">Reader, </w:t>
      </w:r>
      <w:r>
        <w:rPr>
          <w:i/>
          <w:sz w:val="24"/>
        </w:rPr>
        <w:t xml:space="preserve">VLC player apt., který je </w:t>
      </w:r>
      <w:r>
        <w:rPr>
          <w:i/>
          <w:spacing w:val="-2"/>
          <w:sz w:val="24"/>
        </w:rPr>
        <w:t xml:space="preserve">široce </w:t>
      </w:r>
      <w:r>
        <w:rPr>
          <w:i/>
          <w:sz w:val="24"/>
        </w:rPr>
        <w:t xml:space="preserve">rozšířen a je </w:t>
      </w:r>
      <w:r>
        <w:rPr>
          <w:i/>
          <w:spacing w:val="-3"/>
          <w:sz w:val="24"/>
        </w:rPr>
        <w:t xml:space="preserve">proto </w:t>
      </w:r>
      <w:r>
        <w:rPr>
          <w:i/>
          <w:sz w:val="24"/>
        </w:rPr>
        <w:t>vyšší předpoklad, že může být z</w:t>
      </w:r>
      <w:r>
        <w:rPr>
          <w:i/>
          <w:sz w:val="24"/>
        </w:rPr>
        <w:t>neužito zranitelností jeho starších verzí.</w:t>
      </w:r>
    </w:p>
    <w:p w:rsidR="00957FF9" w:rsidRDefault="00957FF9">
      <w:pPr>
        <w:pStyle w:val="Zkladntext"/>
        <w:rPr>
          <w:i/>
        </w:rPr>
      </w:pPr>
    </w:p>
    <w:p w:rsidR="00957FF9" w:rsidRDefault="00671278">
      <w:pPr>
        <w:pStyle w:val="Odstavecseseznamem"/>
        <w:numPr>
          <w:ilvl w:val="0"/>
          <w:numId w:val="4"/>
        </w:numPr>
        <w:tabs>
          <w:tab w:val="left" w:pos="875"/>
          <w:tab w:val="left" w:pos="876"/>
        </w:tabs>
        <w:ind w:right="245"/>
        <w:rPr>
          <w:i/>
          <w:sz w:val="24"/>
        </w:rPr>
      </w:pPr>
      <w:r>
        <w:rPr>
          <w:b/>
          <w:i/>
          <w:sz w:val="24"/>
        </w:rPr>
        <w:t xml:space="preserve">základní monitoring a aktualizace tabletů se systémem iOS a </w:t>
      </w:r>
      <w:r>
        <w:rPr>
          <w:b/>
          <w:i/>
          <w:spacing w:val="-5"/>
          <w:sz w:val="24"/>
        </w:rPr>
        <w:t xml:space="preserve">AppleTV, </w:t>
      </w:r>
      <w:r>
        <w:rPr>
          <w:i/>
          <w:sz w:val="24"/>
        </w:rPr>
        <w:t>zpracování vybraných technických ukazatelů o stavu a využití zařízení a provádění činností k předcházení poruchových stavů či snížení jejich ev</w:t>
      </w:r>
      <w:r>
        <w:rPr>
          <w:i/>
          <w:sz w:val="24"/>
        </w:rPr>
        <w:t>entuálních dopadů. Případný budoucí požadavek na správu tabletů či přenosných zařízení s jiným operačním systémem není součástí této smlouvy a bude řešen individuální dohodou na konkrétním požadavku či dodatkem k této</w:t>
      </w:r>
      <w:r>
        <w:rPr>
          <w:i/>
          <w:spacing w:val="-1"/>
          <w:sz w:val="24"/>
        </w:rPr>
        <w:t xml:space="preserve"> </w:t>
      </w:r>
      <w:r>
        <w:rPr>
          <w:i/>
          <w:sz w:val="24"/>
        </w:rPr>
        <w:t>smlouvě.</w:t>
      </w:r>
    </w:p>
    <w:p w:rsidR="00957FF9" w:rsidRDefault="00957FF9">
      <w:pPr>
        <w:pStyle w:val="Zkladntext"/>
        <w:rPr>
          <w:i/>
        </w:rPr>
      </w:pPr>
    </w:p>
    <w:p w:rsidR="00957FF9" w:rsidRDefault="00671278">
      <w:pPr>
        <w:pStyle w:val="Odstavecseseznamem"/>
        <w:numPr>
          <w:ilvl w:val="0"/>
          <w:numId w:val="4"/>
        </w:numPr>
        <w:tabs>
          <w:tab w:val="left" w:pos="875"/>
          <w:tab w:val="left" w:pos="876"/>
        </w:tabs>
        <w:ind w:right="229"/>
        <w:rPr>
          <w:i/>
          <w:sz w:val="24"/>
        </w:rPr>
      </w:pPr>
      <w:r>
        <w:rPr>
          <w:b/>
          <w:i/>
          <w:sz w:val="24"/>
        </w:rPr>
        <w:t xml:space="preserve">provoz sdílené telefonické hotline pro zaměstnance školy </w:t>
      </w:r>
      <w:r>
        <w:rPr>
          <w:i/>
          <w:sz w:val="24"/>
        </w:rPr>
        <w:t xml:space="preserve">již není nabízen. Zůstává však zachována možnost obracet se na kontaktní telefon </w:t>
      </w:r>
      <w:r>
        <w:rPr>
          <w:i/>
          <w:spacing w:val="-4"/>
          <w:sz w:val="24"/>
        </w:rPr>
        <w:t xml:space="preserve">pro </w:t>
      </w:r>
      <w:r>
        <w:rPr>
          <w:i/>
          <w:sz w:val="24"/>
        </w:rPr>
        <w:t>vedoucí pracovníky školy a ICT koordinátora školy viz zadávání</w:t>
      </w:r>
      <w:r>
        <w:rPr>
          <w:i/>
          <w:spacing w:val="-1"/>
          <w:sz w:val="24"/>
        </w:rPr>
        <w:t xml:space="preserve"> </w:t>
      </w:r>
      <w:r>
        <w:rPr>
          <w:i/>
          <w:sz w:val="24"/>
        </w:rPr>
        <w:t>požadavků.</w:t>
      </w:r>
    </w:p>
    <w:p w:rsidR="00957FF9" w:rsidRDefault="00957FF9">
      <w:pPr>
        <w:rPr>
          <w:sz w:val="24"/>
        </w:rPr>
        <w:sectPr w:rsidR="00957FF9">
          <w:footerReference w:type="default" r:id="rId7"/>
          <w:type w:val="continuous"/>
          <w:pgSz w:w="11910" w:h="16840"/>
          <w:pgMar w:top="1340" w:right="1300" w:bottom="1280" w:left="980" w:header="708" w:footer="1098" w:gutter="0"/>
          <w:pgNumType w:start="1"/>
          <w:cols w:space="708"/>
        </w:sectPr>
      </w:pPr>
    </w:p>
    <w:p w:rsidR="00957FF9" w:rsidRDefault="00671278">
      <w:pPr>
        <w:pStyle w:val="Odstavecseseznamem"/>
        <w:numPr>
          <w:ilvl w:val="0"/>
          <w:numId w:val="4"/>
        </w:numPr>
        <w:tabs>
          <w:tab w:val="left" w:pos="875"/>
          <w:tab w:val="left" w:pos="876"/>
        </w:tabs>
        <w:spacing w:before="60"/>
        <w:ind w:right="418"/>
        <w:rPr>
          <w:sz w:val="24"/>
        </w:rPr>
      </w:pPr>
      <w:r>
        <w:rPr>
          <w:b/>
          <w:i/>
          <w:sz w:val="24"/>
        </w:rPr>
        <w:lastRenderedPageBreak/>
        <w:t xml:space="preserve">správa </w:t>
      </w:r>
      <w:r>
        <w:rPr>
          <w:b/>
          <w:sz w:val="24"/>
        </w:rPr>
        <w:t xml:space="preserve">serverů a řešení závad </w:t>
      </w:r>
      <w:r>
        <w:rPr>
          <w:sz w:val="24"/>
        </w:rPr>
        <w:t>čítající dle potřeby monitoring a správu serverů a dále řešení závad zařízení či cloudových služeb využívaných zákazníkem. Řešení drobných závad hardware zařízení na pracovišti zákazníka a v případě potřeby zajištění specializovaného servisu hardware. Sprá</w:t>
      </w:r>
      <w:r>
        <w:rPr>
          <w:sz w:val="24"/>
        </w:rPr>
        <w:t>va serverů a řešení softwarových závad a drobných závad hardware budou zajištěny v rámci paušální platby za správu serverů a řešení závad až do rozsahu viz článek III.</w:t>
      </w:r>
    </w:p>
    <w:p w:rsidR="00957FF9" w:rsidRDefault="00671278">
      <w:pPr>
        <w:pStyle w:val="Zkladntext"/>
        <w:ind w:left="876" w:right="163"/>
      </w:pPr>
      <w:r>
        <w:t>Specializovaný servis jako výměna vadných hardwarových dílů zařízení nemusí být z organi</w:t>
      </w:r>
      <w:r>
        <w:t>začních, technických či kvalifikačních důvodů prováděn u zákazníka v rámci paušální platby a může být (a v mnoha případech bude) zajištěn subdodavatelem nebo třetí stranou jako například servis vadné kopírky-tiskárny, dotykové plochy interaktivní tabule ne</w:t>
      </w:r>
      <w:r>
        <w:t>bo výměny lampy či napájecího zdroje dataprojektoru, all-in-one PC atd. a bude proto hrazen vždy zvlášť jako samostatná položka nad rámec běžné dodávky IT služeb.</w:t>
      </w:r>
    </w:p>
    <w:p w:rsidR="00957FF9" w:rsidRDefault="00957FF9">
      <w:pPr>
        <w:pStyle w:val="Zkladntext"/>
        <w:spacing w:before="8"/>
        <w:rPr>
          <w:sz w:val="28"/>
        </w:rPr>
      </w:pPr>
    </w:p>
    <w:p w:rsidR="00957FF9" w:rsidRDefault="00671278">
      <w:pPr>
        <w:pStyle w:val="Zkladntext"/>
        <w:spacing w:line="288" w:lineRule="auto"/>
        <w:ind w:left="155" w:right="133"/>
        <w:jc w:val="both"/>
      </w:pPr>
      <w:r>
        <w:t>Viz body 1. - 4. výše je sjednaná doávka IT služeb hrazená v rámci měsíční paušální platby m</w:t>
      </w:r>
      <w:r>
        <w:t>íněna jako řádná údržba stávajícího stavu.</w:t>
      </w:r>
    </w:p>
    <w:p w:rsidR="00957FF9" w:rsidRDefault="00957FF9">
      <w:pPr>
        <w:pStyle w:val="Zkladntext"/>
        <w:spacing w:before="10"/>
        <w:rPr>
          <w:sz w:val="28"/>
        </w:rPr>
      </w:pPr>
    </w:p>
    <w:p w:rsidR="00957FF9" w:rsidRDefault="00671278">
      <w:pPr>
        <w:pStyle w:val="Zkladntext"/>
        <w:spacing w:line="288" w:lineRule="auto"/>
        <w:ind w:left="155" w:right="113"/>
        <w:jc w:val="both"/>
      </w:pPr>
      <w:r>
        <w:t>V případě opravy zařízení výměnou za nové, instalace nových zařízení za účelem rozšíření stávající infrastruktury či provádění změn jako například stěhování techniky do nového umístění, konzultační činnosti jako zpracovávání různých přehledů či záměrů, pří</w:t>
      </w:r>
      <w:r>
        <w:t>pravy technických podkladů pro nabídková řízení, součinnosti a zajištění služeb pro třetí strany (např. dodavatelé úprav elektroinstalace, různých auditů atp.) či podpory při práci se softwarovým vybavením jako např. tisk vysvědčení či předávání dat školní</w:t>
      </w:r>
      <w:r>
        <w:t xml:space="preserve"> matriky, budou tyto činnosti vždy vyúčtovány a hrazeny jako práce nad rámec smluvené doávky IT služeb.</w:t>
      </w:r>
    </w:p>
    <w:p w:rsidR="00957FF9" w:rsidRDefault="00957FF9">
      <w:pPr>
        <w:pStyle w:val="Zkladntext"/>
        <w:spacing w:before="9"/>
        <w:rPr>
          <w:sz w:val="23"/>
        </w:rPr>
      </w:pPr>
    </w:p>
    <w:p w:rsidR="00957FF9" w:rsidRDefault="00671278">
      <w:pPr>
        <w:pStyle w:val="Nadpis2"/>
        <w:ind w:right="583"/>
      </w:pPr>
      <w:r>
        <w:t>Článek II. (způsob provádění dodávky IT služeb)</w:t>
      </w:r>
    </w:p>
    <w:p w:rsidR="00957FF9" w:rsidRDefault="00957FF9">
      <w:pPr>
        <w:pStyle w:val="Zkladntext"/>
        <w:rPr>
          <w:b/>
        </w:rPr>
      </w:pPr>
    </w:p>
    <w:p w:rsidR="00957FF9" w:rsidRDefault="00671278">
      <w:pPr>
        <w:pStyle w:val="Zkladntext"/>
        <w:ind w:left="864"/>
      </w:pPr>
      <w:r>
        <w:t>Dodavatel provádí činnost s využitím vlastních pracovníků a subdodavatelů formou:</w:t>
      </w:r>
    </w:p>
    <w:p w:rsidR="00957FF9" w:rsidRDefault="00957FF9">
      <w:pPr>
        <w:pStyle w:val="Zkladntext"/>
        <w:spacing w:before="7"/>
        <w:rPr>
          <w:sz w:val="33"/>
        </w:rPr>
      </w:pPr>
    </w:p>
    <w:p w:rsidR="00957FF9" w:rsidRDefault="00671278">
      <w:pPr>
        <w:pStyle w:val="Odstavecseseznamem"/>
        <w:numPr>
          <w:ilvl w:val="0"/>
          <w:numId w:val="2"/>
        </w:numPr>
        <w:tabs>
          <w:tab w:val="left" w:pos="876"/>
        </w:tabs>
        <w:spacing w:line="283" w:lineRule="auto"/>
        <w:ind w:right="112"/>
        <w:rPr>
          <w:rFonts w:ascii="OpenSymbol" w:hAnsi="OpenSymbol"/>
          <w:sz w:val="24"/>
        </w:rPr>
      </w:pPr>
      <w:r>
        <w:rPr>
          <w:b/>
          <w:i/>
          <w:sz w:val="24"/>
        </w:rPr>
        <w:t xml:space="preserve">vzdálené správy </w:t>
      </w:r>
      <w:r>
        <w:rPr>
          <w:sz w:val="24"/>
        </w:rPr>
        <w:t>zah</w:t>
      </w:r>
      <w:r>
        <w:rPr>
          <w:sz w:val="24"/>
        </w:rPr>
        <w:t>rnující správu počítačové sítě prostřednictvím vzdáleného přístupu a softwarových či hardwarových nástrojů, zařízení či služeb pro centralizovaný management informačních systémů provozovaných či licencovaných dodavatelem (Vzdálená správa nezahrnuje okamžit</w:t>
      </w:r>
      <w:r>
        <w:rPr>
          <w:sz w:val="24"/>
        </w:rPr>
        <w:t>é řešení požadavků - viz článek III.</w:t>
      </w:r>
      <w:r>
        <w:rPr>
          <w:spacing w:val="29"/>
          <w:sz w:val="24"/>
        </w:rPr>
        <w:t xml:space="preserve"> </w:t>
      </w:r>
      <w:r>
        <w:rPr>
          <w:sz w:val="24"/>
        </w:rPr>
        <w:t>plánovaná práce, urgentní práce).</w:t>
      </w:r>
    </w:p>
    <w:p w:rsidR="00957FF9" w:rsidRDefault="00957FF9">
      <w:pPr>
        <w:pStyle w:val="Zkladntext"/>
        <w:spacing w:before="8"/>
        <w:rPr>
          <w:sz w:val="28"/>
        </w:rPr>
      </w:pPr>
    </w:p>
    <w:p w:rsidR="00957FF9" w:rsidRDefault="00671278">
      <w:pPr>
        <w:pStyle w:val="Odstavecseseznamem"/>
        <w:numPr>
          <w:ilvl w:val="0"/>
          <w:numId w:val="2"/>
        </w:numPr>
        <w:tabs>
          <w:tab w:val="left" w:pos="876"/>
        </w:tabs>
        <w:spacing w:line="283" w:lineRule="auto"/>
        <w:rPr>
          <w:rFonts w:ascii="OpenSymbol" w:hAnsi="OpenSymbol"/>
          <w:sz w:val="24"/>
        </w:rPr>
      </w:pPr>
      <w:r>
        <w:rPr>
          <w:b/>
          <w:i/>
          <w:sz w:val="24"/>
        </w:rPr>
        <w:t xml:space="preserve">práce u zákazníka </w:t>
      </w:r>
      <w:r>
        <w:rPr>
          <w:sz w:val="24"/>
        </w:rPr>
        <w:t>zahrnující zejména technické, organizační a konzultační činnosti prováděné v sídle či pobočce zákazníka a navrácení či vyzvednutí zařízení za účelem zajištění servisu</w:t>
      </w:r>
      <w:r>
        <w:rPr>
          <w:sz w:val="24"/>
        </w:rPr>
        <w:t>, instalace či úpravy nastavení zařízení. V případě práce u zákaníka je účtována vždy první započatá hodina celá a to i v případě, že požadovaná činnost (např. předání zařízení či drobná konzultace) je kratší. Práce u zákazníka nezahrnuje okamžité řešení p</w:t>
      </w:r>
      <w:r>
        <w:rPr>
          <w:sz w:val="24"/>
        </w:rPr>
        <w:t>ožadavků - viz článek III. plánovaná práce, urgentní</w:t>
      </w:r>
      <w:r>
        <w:rPr>
          <w:spacing w:val="-4"/>
          <w:sz w:val="24"/>
        </w:rPr>
        <w:t xml:space="preserve"> </w:t>
      </w:r>
      <w:r>
        <w:rPr>
          <w:sz w:val="24"/>
        </w:rPr>
        <w:t>práce).</w:t>
      </w:r>
    </w:p>
    <w:p w:rsidR="00957FF9" w:rsidRDefault="00957FF9">
      <w:pPr>
        <w:pStyle w:val="Zkladntext"/>
        <w:spacing w:before="4"/>
        <w:rPr>
          <w:sz w:val="29"/>
        </w:rPr>
      </w:pPr>
    </w:p>
    <w:p w:rsidR="00957FF9" w:rsidRDefault="00671278">
      <w:pPr>
        <w:pStyle w:val="Odstavecseseznamem"/>
        <w:numPr>
          <w:ilvl w:val="0"/>
          <w:numId w:val="2"/>
        </w:numPr>
        <w:tabs>
          <w:tab w:val="left" w:pos="876"/>
        </w:tabs>
        <w:spacing w:line="264" w:lineRule="auto"/>
        <w:ind w:right="112"/>
        <w:rPr>
          <w:rFonts w:ascii="OpenSymbol" w:hAnsi="OpenSymbol"/>
          <w:sz w:val="24"/>
        </w:rPr>
      </w:pPr>
      <w:r>
        <w:rPr>
          <w:b/>
          <w:i/>
          <w:sz w:val="24"/>
        </w:rPr>
        <w:t xml:space="preserve">zajištění specializovaného servisu </w:t>
      </w:r>
      <w:r>
        <w:rPr>
          <w:sz w:val="24"/>
        </w:rPr>
        <w:t>zařízení např. dataprojektoru, tiskárny atp. (bude vždy hrazeno nad rámec běžné dodávky IT</w:t>
      </w:r>
      <w:r>
        <w:rPr>
          <w:spacing w:val="-6"/>
          <w:sz w:val="24"/>
        </w:rPr>
        <w:t xml:space="preserve"> </w:t>
      </w:r>
      <w:r>
        <w:rPr>
          <w:sz w:val="24"/>
        </w:rPr>
        <w:t>služeb)</w:t>
      </w:r>
    </w:p>
    <w:p w:rsidR="00957FF9" w:rsidRDefault="00957FF9">
      <w:pPr>
        <w:spacing w:line="264" w:lineRule="auto"/>
        <w:jc w:val="both"/>
        <w:rPr>
          <w:rFonts w:ascii="OpenSymbol" w:hAnsi="OpenSymbol"/>
          <w:sz w:val="24"/>
        </w:rPr>
        <w:sectPr w:rsidR="00957FF9">
          <w:pgSz w:w="11910" w:h="16840"/>
          <w:pgMar w:top="1340" w:right="1300" w:bottom="1280" w:left="980" w:header="0" w:footer="1098" w:gutter="0"/>
          <w:cols w:space="708"/>
        </w:sectPr>
      </w:pPr>
    </w:p>
    <w:p w:rsidR="00957FF9" w:rsidRDefault="00671278">
      <w:pPr>
        <w:pStyle w:val="Nadpis2"/>
        <w:spacing w:before="60"/>
        <w:ind w:right="582"/>
      </w:pPr>
      <w:r>
        <w:lastRenderedPageBreak/>
        <w:t xml:space="preserve">Článek III. (rozsah a cena správy v rámci </w:t>
      </w:r>
      <w:r>
        <w:t>měsíčního paušálu)</w:t>
      </w:r>
    </w:p>
    <w:p w:rsidR="00957FF9" w:rsidRDefault="00957FF9">
      <w:pPr>
        <w:pStyle w:val="Zkladntext"/>
        <w:rPr>
          <w:b/>
        </w:rPr>
      </w:pPr>
    </w:p>
    <w:p w:rsidR="00957FF9" w:rsidRDefault="00671278">
      <w:pPr>
        <w:pStyle w:val="Zkladntext"/>
        <w:spacing w:line="288" w:lineRule="auto"/>
        <w:ind w:left="155" w:right="115"/>
        <w:jc w:val="both"/>
      </w:pPr>
      <w:r>
        <w:t>Cena za hodinu práce bude účtována za jednoho každého technika, který je na danou práci zákazníkovi poskytnut. Cena za příjezd na lokaci mimo Prahu bude účtována za jeden každý kilometr dopravní vzdálenosti od hranic hl. m. Prahy. Příje</w:t>
      </w:r>
      <w:r>
        <w:t>zd k zákazníkovi po Praze (výlučně však na sídlo či běžnou provozovnu zákazníka) je zdarma, avšak v případě práce u zákazníka bude vždy účtována nejméně jedna celá hodina práce každého technika, který je v rámci příjezdu zákazníkovi poskytnut.</w:t>
      </w:r>
    </w:p>
    <w:p w:rsidR="00957FF9" w:rsidRDefault="00957FF9">
      <w:pPr>
        <w:pStyle w:val="Zkladntext"/>
        <w:spacing w:before="7"/>
        <w:rPr>
          <w:sz w:val="28"/>
        </w:rPr>
      </w:pPr>
    </w:p>
    <w:p w:rsidR="00957FF9" w:rsidRDefault="00671278">
      <w:pPr>
        <w:pStyle w:val="Zkladntext"/>
        <w:ind w:left="155"/>
        <w:jc w:val="both"/>
      </w:pPr>
      <w:r>
        <w:t>Cenník platný k datu zahájení platnosti této smlouvy:</w:t>
      </w:r>
    </w:p>
    <w:tbl>
      <w:tblPr>
        <w:tblStyle w:val="TableNormal"/>
        <w:tblW w:w="0" w:type="auto"/>
        <w:tblInd w:w="1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72"/>
        <w:gridCol w:w="2784"/>
      </w:tblGrid>
      <w:tr w:rsidR="00957FF9">
        <w:trPr>
          <w:trHeight w:val="382"/>
        </w:trPr>
        <w:tc>
          <w:tcPr>
            <w:tcW w:w="6572" w:type="dxa"/>
          </w:tcPr>
          <w:p w:rsidR="00957FF9" w:rsidRDefault="00671278">
            <w:pPr>
              <w:pStyle w:val="TableParagraph"/>
              <w:ind w:left="56"/>
              <w:rPr>
                <w:sz w:val="24"/>
              </w:rPr>
            </w:pPr>
            <w:r>
              <w:rPr>
                <w:sz w:val="24"/>
              </w:rPr>
              <w:t>Jedna hodina práce jednoho technika</w:t>
            </w:r>
          </w:p>
        </w:tc>
        <w:tc>
          <w:tcPr>
            <w:tcW w:w="2784" w:type="dxa"/>
          </w:tcPr>
          <w:p w:rsidR="00957FF9" w:rsidRDefault="00671278">
            <w:pPr>
              <w:pStyle w:val="TableParagraph"/>
              <w:ind w:right="46"/>
              <w:jc w:val="right"/>
              <w:rPr>
                <w:b/>
                <w:sz w:val="24"/>
              </w:rPr>
            </w:pPr>
            <w:r>
              <w:rPr>
                <w:b/>
                <w:sz w:val="24"/>
              </w:rPr>
              <w:t>975 Kč bez DPH</w:t>
            </w:r>
          </w:p>
        </w:tc>
      </w:tr>
      <w:tr w:rsidR="00957FF9">
        <w:trPr>
          <w:trHeight w:val="657"/>
        </w:trPr>
        <w:tc>
          <w:tcPr>
            <w:tcW w:w="6572" w:type="dxa"/>
          </w:tcPr>
          <w:p w:rsidR="00957FF9" w:rsidRDefault="00671278">
            <w:pPr>
              <w:pStyle w:val="TableParagraph"/>
              <w:ind w:left="56" w:right="472"/>
              <w:rPr>
                <w:sz w:val="24"/>
              </w:rPr>
            </w:pPr>
            <w:r>
              <w:rPr>
                <w:sz w:val="24"/>
              </w:rPr>
              <w:t>Příjezd na lokaci mimo Prahu včetně času jednoho technika na cestě. Cena za jeden kilometr dopravní vzdálenosti.</w:t>
            </w:r>
          </w:p>
        </w:tc>
        <w:tc>
          <w:tcPr>
            <w:tcW w:w="2784" w:type="dxa"/>
          </w:tcPr>
          <w:p w:rsidR="00957FF9" w:rsidRDefault="00671278">
            <w:pPr>
              <w:pStyle w:val="TableParagraph"/>
              <w:ind w:right="106"/>
              <w:jc w:val="right"/>
              <w:rPr>
                <w:b/>
                <w:sz w:val="24"/>
              </w:rPr>
            </w:pPr>
            <w:r>
              <w:rPr>
                <w:b/>
                <w:sz w:val="24"/>
              </w:rPr>
              <w:t>16 Kč bez DPH</w:t>
            </w:r>
          </w:p>
        </w:tc>
      </w:tr>
      <w:tr w:rsidR="00957FF9">
        <w:trPr>
          <w:trHeight w:val="659"/>
        </w:trPr>
        <w:tc>
          <w:tcPr>
            <w:tcW w:w="6572" w:type="dxa"/>
          </w:tcPr>
          <w:p w:rsidR="00957FF9" w:rsidRDefault="00671278">
            <w:pPr>
              <w:pStyle w:val="TableParagraph"/>
              <w:ind w:left="56" w:right="273"/>
              <w:rPr>
                <w:sz w:val="24"/>
              </w:rPr>
            </w:pPr>
            <w:r>
              <w:rPr>
                <w:sz w:val="24"/>
              </w:rPr>
              <w:t>Základní monitoring a aktualizace jedné prac. stanice (PC, NTB, Informační kiosek atp.) za jeden měsíc</w:t>
            </w:r>
          </w:p>
        </w:tc>
        <w:tc>
          <w:tcPr>
            <w:tcW w:w="2784" w:type="dxa"/>
          </w:tcPr>
          <w:p w:rsidR="00957FF9" w:rsidRDefault="00671278">
            <w:pPr>
              <w:pStyle w:val="TableParagraph"/>
              <w:ind w:right="46"/>
              <w:jc w:val="right"/>
              <w:rPr>
                <w:b/>
                <w:sz w:val="24"/>
              </w:rPr>
            </w:pPr>
            <w:r>
              <w:rPr>
                <w:b/>
                <w:sz w:val="24"/>
              </w:rPr>
              <w:t>60 Kč bez DPH</w:t>
            </w:r>
          </w:p>
        </w:tc>
      </w:tr>
      <w:tr w:rsidR="00957FF9">
        <w:trPr>
          <w:trHeight w:val="656"/>
        </w:trPr>
        <w:tc>
          <w:tcPr>
            <w:tcW w:w="6572" w:type="dxa"/>
          </w:tcPr>
          <w:p w:rsidR="00957FF9" w:rsidRDefault="00671278">
            <w:pPr>
              <w:pStyle w:val="TableParagraph"/>
              <w:ind w:left="56" w:right="379"/>
              <w:rPr>
                <w:sz w:val="24"/>
              </w:rPr>
            </w:pPr>
            <w:r>
              <w:rPr>
                <w:sz w:val="24"/>
              </w:rPr>
              <w:t>Základní monitoring a aktualizace jednoho tabletu se systémem (s využitím MDM řešení hrazeného přímo zákazníkem)</w:t>
            </w:r>
          </w:p>
        </w:tc>
        <w:tc>
          <w:tcPr>
            <w:tcW w:w="2784" w:type="dxa"/>
          </w:tcPr>
          <w:p w:rsidR="00957FF9" w:rsidRDefault="00671278">
            <w:pPr>
              <w:pStyle w:val="TableParagraph"/>
              <w:ind w:right="46"/>
              <w:jc w:val="right"/>
              <w:rPr>
                <w:b/>
                <w:sz w:val="24"/>
              </w:rPr>
            </w:pPr>
            <w:r>
              <w:rPr>
                <w:b/>
                <w:sz w:val="24"/>
              </w:rPr>
              <w:t>0 Kč bez DPH</w:t>
            </w:r>
          </w:p>
        </w:tc>
      </w:tr>
    </w:tbl>
    <w:p w:rsidR="00957FF9" w:rsidRDefault="00957FF9">
      <w:pPr>
        <w:pStyle w:val="Zkladntext"/>
        <w:spacing w:before="7"/>
        <w:rPr>
          <w:sz w:val="28"/>
        </w:rPr>
      </w:pPr>
    </w:p>
    <w:p w:rsidR="00957FF9" w:rsidRDefault="00671278">
      <w:pPr>
        <w:pStyle w:val="Zkladntext"/>
        <w:spacing w:before="1"/>
        <w:ind w:left="155"/>
        <w:jc w:val="both"/>
      </w:pPr>
      <w:r>
        <w:t>Výše uvedené ceny budou zákazníkovi účtovány navýšené o hodnotu DPH.</w:t>
      </w:r>
    </w:p>
    <w:p w:rsidR="00957FF9" w:rsidRDefault="00957FF9">
      <w:pPr>
        <w:pStyle w:val="Zkladntext"/>
        <w:spacing w:before="6"/>
        <w:rPr>
          <w:sz w:val="33"/>
        </w:rPr>
      </w:pPr>
    </w:p>
    <w:p w:rsidR="00957FF9" w:rsidRDefault="00671278">
      <w:pPr>
        <w:pStyle w:val="Zkladntext"/>
        <w:spacing w:line="288" w:lineRule="auto"/>
        <w:ind w:left="155" w:right="115"/>
        <w:jc w:val="both"/>
      </w:pPr>
      <w:r>
        <w:t>Výše uvedené ceny budou valorizovány vzhledem k inflaci vždy na začátku kalendářního roku dle průměrné roční míry inflace v ČR za přechzozí kalendářní rok.</w:t>
      </w:r>
    </w:p>
    <w:p w:rsidR="00957FF9" w:rsidRDefault="00957FF9">
      <w:pPr>
        <w:pStyle w:val="Zkladntext"/>
        <w:spacing w:before="10"/>
        <w:rPr>
          <w:sz w:val="28"/>
        </w:rPr>
      </w:pPr>
    </w:p>
    <w:p w:rsidR="00957FF9" w:rsidRDefault="00671278">
      <w:pPr>
        <w:pStyle w:val="Zkladntext"/>
        <w:spacing w:line="288" w:lineRule="auto"/>
        <w:ind w:left="155" w:right="117"/>
        <w:jc w:val="both"/>
      </w:pPr>
      <w:r>
        <w:t>Výše uvedené ceny mohou být d</w:t>
      </w:r>
      <w:r>
        <w:t>odavatelem jednostranně změněny vzhledem k případným změnám na trhu jako např. citelná změna kurzu CZK vůči EUR nebo USD. Tato jednostranná úprava ceny musí být zákazníkovi písemně a prokazatelně oznámena nejméně 6 měsíců předem.</w:t>
      </w:r>
    </w:p>
    <w:p w:rsidR="00957FF9" w:rsidRDefault="00957FF9">
      <w:pPr>
        <w:pStyle w:val="Zkladntext"/>
        <w:rPr>
          <w:sz w:val="26"/>
        </w:rPr>
      </w:pPr>
    </w:p>
    <w:p w:rsidR="00957FF9" w:rsidRDefault="00957FF9">
      <w:pPr>
        <w:pStyle w:val="Zkladntext"/>
        <w:spacing w:before="10"/>
        <w:rPr>
          <w:sz w:val="21"/>
        </w:rPr>
      </w:pPr>
    </w:p>
    <w:p w:rsidR="00957FF9" w:rsidRDefault="00671278">
      <w:pPr>
        <w:pStyle w:val="Nadpis2"/>
        <w:ind w:left="864" w:right="0"/>
        <w:jc w:val="left"/>
      </w:pPr>
      <w:r>
        <w:t>Dodavatel se zavazuje po</w:t>
      </w:r>
      <w:r>
        <w:t>skytnout zákazníkovi</w:t>
      </w:r>
    </w:p>
    <w:p w:rsidR="00957FF9" w:rsidRDefault="00957FF9">
      <w:pPr>
        <w:pStyle w:val="Zkladntext"/>
        <w:rPr>
          <w:b/>
        </w:rPr>
      </w:pPr>
    </w:p>
    <w:p w:rsidR="00957FF9" w:rsidRDefault="00671278">
      <w:pPr>
        <w:pStyle w:val="Odstavecseseznamem"/>
        <w:numPr>
          <w:ilvl w:val="0"/>
          <w:numId w:val="3"/>
        </w:numPr>
        <w:tabs>
          <w:tab w:val="left" w:pos="876"/>
        </w:tabs>
        <w:ind w:right="136"/>
        <w:jc w:val="both"/>
        <w:rPr>
          <w:i/>
          <w:sz w:val="24"/>
        </w:rPr>
      </w:pPr>
      <w:r>
        <w:rPr>
          <w:i/>
          <w:sz w:val="24"/>
        </w:rPr>
        <w:t xml:space="preserve">zajištění základního monitoringu a aktualizace pracovních stanic, za který bude účtována cena za jednu každou pracovní stanici či spravovaný jednoúčelový systém (jako např. kiosek </w:t>
      </w:r>
      <w:r>
        <w:rPr>
          <w:i/>
          <w:spacing w:val="-4"/>
          <w:sz w:val="24"/>
        </w:rPr>
        <w:t xml:space="preserve">pro </w:t>
      </w:r>
      <w:r>
        <w:rPr>
          <w:i/>
          <w:sz w:val="24"/>
        </w:rPr>
        <w:t>zobrazení docházky zaměstnanců založený na platfor</w:t>
      </w:r>
      <w:r>
        <w:rPr>
          <w:i/>
          <w:sz w:val="24"/>
        </w:rPr>
        <w:t>mě MS Windows atp.) každý kalendářní měsíc a řešení závad či poruchových stavů zjištěných na základě dat z monitoringu či požadavků od pracovníků</w:t>
      </w:r>
      <w:r>
        <w:rPr>
          <w:i/>
          <w:spacing w:val="-1"/>
          <w:sz w:val="24"/>
        </w:rPr>
        <w:t xml:space="preserve"> </w:t>
      </w:r>
      <w:r>
        <w:rPr>
          <w:i/>
          <w:sz w:val="24"/>
        </w:rPr>
        <w:t>zákazníka.</w:t>
      </w:r>
    </w:p>
    <w:p w:rsidR="00957FF9" w:rsidRDefault="00957FF9">
      <w:pPr>
        <w:pStyle w:val="Zkladntext"/>
        <w:rPr>
          <w:i/>
        </w:rPr>
      </w:pPr>
    </w:p>
    <w:p w:rsidR="00957FF9" w:rsidRDefault="00671278">
      <w:pPr>
        <w:pStyle w:val="Odstavecseseznamem"/>
        <w:numPr>
          <w:ilvl w:val="0"/>
          <w:numId w:val="3"/>
        </w:numPr>
        <w:tabs>
          <w:tab w:val="left" w:pos="876"/>
        </w:tabs>
        <w:ind w:right="135"/>
        <w:jc w:val="both"/>
        <w:rPr>
          <w:b/>
          <w:i/>
          <w:sz w:val="24"/>
        </w:rPr>
      </w:pPr>
      <w:r>
        <w:rPr>
          <w:i/>
          <w:sz w:val="24"/>
        </w:rPr>
        <w:t xml:space="preserve">zajištění základního monitoringu a aktualizace tabletů se systémem iOS a </w:t>
      </w:r>
      <w:r>
        <w:rPr>
          <w:i/>
          <w:spacing w:val="-4"/>
          <w:sz w:val="24"/>
        </w:rPr>
        <w:t xml:space="preserve">AppleTV, </w:t>
      </w:r>
      <w:r>
        <w:rPr>
          <w:i/>
          <w:sz w:val="24"/>
        </w:rPr>
        <w:t xml:space="preserve">za </w:t>
      </w:r>
      <w:r>
        <w:rPr>
          <w:i/>
          <w:sz w:val="24"/>
        </w:rPr>
        <w:t xml:space="preserve">který bude účtována cena za jedno zařízení každý kalendářní měsíc a řešení závad či poruchových stavů zjištěných na základě dat z monitoringu či požadavků od pracovníků zákazníka. </w:t>
      </w:r>
      <w:r>
        <w:rPr>
          <w:b/>
          <w:i/>
          <w:sz w:val="24"/>
        </w:rPr>
        <w:t>Zákazník se zavazuje ze svých zdrojů nad rámec této smlouvy hradit licenci a</w:t>
      </w:r>
      <w:r>
        <w:rPr>
          <w:b/>
          <w:i/>
          <w:sz w:val="24"/>
        </w:rPr>
        <w:t xml:space="preserve"> provoz adekvátního MDM řešení jako např. systém</w:t>
      </w:r>
      <w:r>
        <w:rPr>
          <w:b/>
          <w:i/>
          <w:spacing w:val="-2"/>
          <w:sz w:val="24"/>
        </w:rPr>
        <w:t xml:space="preserve"> </w:t>
      </w:r>
      <w:r>
        <w:rPr>
          <w:b/>
          <w:i/>
          <w:sz w:val="24"/>
        </w:rPr>
        <w:t>Mosyle.</w:t>
      </w:r>
    </w:p>
    <w:p w:rsidR="00957FF9" w:rsidRDefault="00957FF9">
      <w:pPr>
        <w:pStyle w:val="Zkladntext"/>
        <w:rPr>
          <w:b/>
          <w:i/>
        </w:rPr>
      </w:pPr>
    </w:p>
    <w:p w:rsidR="00957FF9" w:rsidRDefault="00671278">
      <w:pPr>
        <w:pStyle w:val="Odstavecseseznamem"/>
        <w:numPr>
          <w:ilvl w:val="0"/>
          <w:numId w:val="3"/>
        </w:numPr>
        <w:tabs>
          <w:tab w:val="left" w:pos="876"/>
        </w:tabs>
        <w:ind w:right="141"/>
        <w:jc w:val="both"/>
        <w:rPr>
          <w:i/>
          <w:sz w:val="24"/>
        </w:rPr>
      </w:pPr>
      <w:r>
        <w:rPr>
          <w:i/>
          <w:sz w:val="24"/>
        </w:rPr>
        <w:t>24 hodin práce techniků dodavatele měsíčně (maximálně 6 hodin v kalendářním týdnu) primárně</w:t>
      </w:r>
      <w:r>
        <w:rPr>
          <w:i/>
          <w:spacing w:val="24"/>
          <w:sz w:val="24"/>
        </w:rPr>
        <w:t xml:space="preserve"> </w:t>
      </w:r>
      <w:r>
        <w:rPr>
          <w:i/>
          <w:sz w:val="24"/>
        </w:rPr>
        <w:t>určených</w:t>
      </w:r>
      <w:r>
        <w:rPr>
          <w:i/>
          <w:spacing w:val="26"/>
          <w:sz w:val="24"/>
        </w:rPr>
        <w:t xml:space="preserve"> </w:t>
      </w:r>
      <w:r>
        <w:rPr>
          <w:i/>
          <w:sz w:val="24"/>
        </w:rPr>
        <w:t>k</w:t>
      </w:r>
      <w:r>
        <w:rPr>
          <w:i/>
          <w:spacing w:val="23"/>
          <w:sz w:val="24"/>
        </w:rPr>
        <w:t xml:space="preserve"> </w:t>
      </w:r>
      <w:r>
        <w:rPr>
          <w:i/>
          <w:sz w:val="24"/>
        </w:rPr>
        <w:t>zajištění</w:t>
      </w:r>
      <w:r>
        <w:rPr>
          <w:i/>
          <w:spacing w:val="26"/>
          <w:sz w:val="24"/>
        </w:rPr>
        <w:t xml:space="preserve"> </w:t>
      </w:r>
      <w:r>
        <w:rPr>
          <w:i/>
          <w:sz w:val="24"/>
        </w:rPr>
        <w:t>správy</w:t>
      </w:r>
      <w:r>
        <w:rPr>
          <w:i/>
          <w:spacing w:val="25"/>
          <w:sz w:val="24"/>
        </w:rPr>
        <w:t xml:space="preserve"> </w:t>
      </w:r>
      <w:r>
        <w:rPr>
          <w:i/>
          <w:sz w:val="24"/>
        </w:rPr>
        <w:t>serverů,</w:t>
      </w:r>
      <w:r>
        <w:rPr>
          <w:i/>
          <w:spacing w:val="24"/>
          <w:sz w:val="24"/>
        </w:rPr>
        <w:t xml:space="preserve"> </w:t>
      </w:r>
      <w:r>
        <w:rPr>
          <w:i/>
          <w:sz w:val="24"/>
        </w:rPr>
        <w:t>odstraňování</w:t>
      </w:r>
      <w:r>
        <w:rPr>
          <w:i/>
          <w:spacing w:val="27"/>
          <w:sz w:val="24"/>
        </w:rPr>
        <w:t xml:space="preserve"> </w:t>
      </w:r>
      <w:r>
        <w:rPr>
          <w:i/>
          <w:sz w:val="24"/>
        </w:rPr>
        <w:t>závad</w:t>
      </w:r>
      <w:r>
        <w:rPr>
          <w:i/>
          <w:spacing w:val="24"/>
          <w:sz w:val="24"/>
        </w:rPr>
        <w:t xml:space="preserve"> </w:t>
      </w:r>
      <w:r>
        <w:rPr>
          <w:i/>
          <w:sz w:val="24"/>
        </w:rPr>
        <w:t>či</w:t>
      </w:r>
      <w:r>
        <w:rPr>
          <w:i/>
          <w:spacing w:val="25"/>
          <w:sz w:val="24"/>
        </w:rPr>
        <w:t xml:space="preserve"> </w:t>
      </w:r>
      <w:r>
        <w:rPr>
          <w:i/>
          <w:sz w:val="24"/>
        </w:rPr>
        <w:t>provádění</w:t>
      </w:r>
      <w:r>
        <w:rPr>
          <w:i/>
          <w:spacing w:val="27"/>
          <w:sz w:val="24"/>
        </w:rPr>
        <w:t xml:space="preserve"> </w:t>
      </w:r>
      <w:r>
        <w:rPr>
          <w:i/>
          <w:sz w:val="24"/>
        </w:rPr>
        <w:t>údržby</w:t>
      </w:r>
    </w:p>
    <w:p w:rsidR="00957FF9" w:rsidRDefault="00957FF9">
      <w:pPr>
        <w:jc w:val="both"/>
        <w:rPr>
          <w:sz w:val="24"/>
        </w:rPr>
        <w:sectPr w:rsidR="00957FF9">
          <w:pgSz w:w="11910" w:h="16840"/>
          <w:pgMar w:top="1340" w:right="1300" w:bottom="1280" w:left="980" w:header="0" w:footer="1098" w:gutter="0"/>
          <w:cols w:space="708"/>
        </w:sectPr>
      </w:pPr>
    </w:p>
    <w:p w:rsidR="00957FF9" w:rsidRDefault="00671278">
      <w:pPr>
        <w:spacing w:before="60"/>
        <w:ind w:left="876"/>
        <w:rPr>
          <w:i/>
          <w:sz w:val="24"/>
        </w:rPr>
      </w:pPr>
      <w:r>
        <w:rPr>
          <w:i/>
          <w:sz w:val="24"/>
        </w:rPr>
        <w:lastRenderedPageBreak/>
        <w:t>zařízení nebo cloudových služeb zjištěných na základě dat z monitoringu či požadavků od pracovníků zákazníka.</w:t>
      </w:r>
    </w:p>
    <w:p w:rsidR="00957FF9" w:rsidRDefault="00671278">
      <w:pPr>
        <w:pStyle w:val="Zkladntext"/>
        <w:ind w:left="155"/>
        <w:jc w:val="both"/>
      </w:pPr>
      <w:r>
        <w:t>Konkrétní cena správy počítačové sítě se bude měnit v souvislosti s počty spravovaných zařízení.</w:t>
      </w:r>
    </w:p>
    <w:p w:rsidR="00957FF9" w:rsidRDefault="00957FF9">
      <w:pPr>
        <w:pStyle w:val="Zkladntext"/>
        <w:spacing w:before="6"/>
        <w:rPr>
          <w:sz w:val="33"/>
        </w:rPr>
      </w:pPr>
    </w:p>
    <w:p w:rsidR="00957FF9" w:rsidRDefault="00671278">
      <w:pPr>
        <w:pStyle w:val="Zkladntext"/>
        <w:spacing w:line="288" w:lineRule="auto"/>
        <w:ind w:left="155" w:right="126"/>
        <w:jc w:val="both"/>
      </w:pPr>
      <w:r>
        <w:t>Ke dni sjednání této smlouvy má zákazník 140 pra</w:t>
      </w:r>
      <w:r>
        <w:t>covních stanic, 190 tabletů a AppleTV. Cena správy počítačové síťě v prvním měsíci tedy bude činit:</w:t>
      </w:r>
    </w:p>
    <w:p w:rsidR="00957FF9" w:rsidRDefault="00957FF9">
      <w:pPr>
        <w:pStyle w:val="Zkladntext"/>
      </w:pPr>
    </w:p>
    <w:p w:rsidR="00957FF9" w:rsidRDefault="00671278">
      <w:pPr>
        <w:pStyle w:val="Odstavecseseznamem"/>
        <w:numPr>
          <w:ilvl w:val="0"/>
          <w:numId w:val="2"/>
        </w:numPr>
        <w:tabs>
          <w:tab w:val="left" w:pos="875"/>
          <w:tab w:val="left" w:pos="876"/>
        </w:tabs>
        <w:spacing w:line="281" w:lineRule="exact"/>
        <w:ind w:right="0" w:hanging="361"/>
        <w:jc w:val="left"/>
        <w:rPr>
          <w:rFonts w:ascii="OpenSymbol" w:hAnsi="OpenSymbol"/>
          <w:b/>
          <w:i/>
          <w:sz w:val="20"/>
        </w:rPr>
      </w:pPr>
      <w:r>
        <w:rPr>
          <w:sz w:val="24"/>
        </w:rPr>
        <w:t xml:space="preserve">140 x 60 Kč bez DPH za </w:t>
      </w:r>
      <w:r>
        <w:rPr>
          <w:b/>
          <w:i/>
          <w:sz w:val="24"/>
        </w:rPr>
        <w:t>základní monitoring a aktualizace pracovních</w:t>
      </w:r>
      <w:r>
        <w:rPr>
          <w:b/>
          <w:i/>
          <w:spacing w:val="-7"/>
          <w:sz w:val="24"/>
        </w:rPr>
        <w:t xml:space="preserve"> </w:t>
      </w:r>
      <w:r>
        <w:rPr>
          <w:b/>
          <w:i/>
          <w:sz w:val="24"/>
        </w:rPr>
        <w:t>stanic</w:t>
      </w:r>
    </w:p>
    <w:p w:rsidR="00957FF9" w:rsidRDefault="00671278">
      <w:pPr>
        <w:pStyle w:val="Odstavecseseznamem"/>
        <w:numPr>
          <w:ilvl w:val="0"/>
          <w:numId w:val="2"/>
        </w:numPr>
        <w:tabs>
          <w:tab w:val="left" w:pos="875"/>
          <w:tab w:val="left" w:pos="876"/>
        </w:tabs>
        <w:spacing w:line="276" w:lineRule="exact"/>
        <w:ind w:right="0" w:hanging="361"/>
        <w:jc w:val="left"/>
        <w:rPr>
          <w:rFonts w:ascii="OpenSymbol" w:hAnsi="OpenSymbol"/>
          <w:b/>
          <w:i/>
          <w:sz w:val="20"/>
        </w:rPr>
      </w:pPr>
      <w:r>
        <w:rPr>
          <w:sz w:val="24"/>
        </w:rPr>
        <w:t xml:space="preserve">190 x 0 Kč bez DPH za </w:t>
      </w:r>
      <w:r>
        <w:rPr>
          <w:b/>
          <w:i/>
          <w:sz w:val="24"/>
        </w:rPr>
        <w:t>základní monitoring a aktualizace tabletů a</w:t>
      </w:r>
      <w:r>
        <w:rPr>
          <w:b/>
          <w:i/>
          <w:spacing w:val="-17"/>
          <w:sz w:val="24"/>
        </w:rPr>
        <w:t xml:space="preserve"> </w:t>
      </w:r>
      <w:r>
        <w:rPr>
          <w:b/>
          <w:i/>
          <w:sz w:val="24"/>
        </w:rPr>
        <w:t>AppleTV</w:t>
      </w:r>
    </w:p>
    <w:p w:rsidR="00957FF9" w:rsidRDefault="00671278">
      <w:pPr>
        <w:pStyle w:val="Odstavecseseznamem"/>
        <w:numPr>
          <w:ilvl w:val="0"/>
          <w:numId w:val="2"/>
        </w:numPr>
        <w:tabs>
          <w:tab w:val="left" w:pos="875"/>
          <w:tab w:val="left" w:pos="876"/>
        </w:tabs>
        <w:spacing w:line="463" w:lineRule="auto"/>
        <w:ind w:left="155" w:right="665" w:firstLine="360"/>
        <w:jc w:val="left"/>
        <w:rPr>
          <w:rFonts w:ascii="OpenSymbol" w:hAnsi="OpenSymbol"/>
          <w:sz w:val="20"/>
        </w:rPr>
      </w:pPr>
      <w:r>
        <w:rPr>
          <w:sz w:val="24"/>
        </w:rPr>
        <w:t xml:space="preserve">24 x 975 Kč bez DPH za práci techniků při pravidelné správě serverů a řešení závad Celkem tedy 31 800 Kč bez DPH tedy </w:t>
      </w:r>
      <w:r>
        <w:rPr>
          <w:b/>
          <w:sz w:val="24"/>
        </w:rPr>
        <w:t>38 478 Kč s DPH</w:t>
      </w:r>
      <w:r>
        <w:rPr>
          <w:b/>
          <w:spacing w:val="-5"/>
          <w:sz w:val="24"/>
        </w:rPr>
        <w:t xml:space="preserve"> </w:t>
      </w:r>
      <w:r>
        <w:rPr>
          <w:sz w:val="24"/>
        </w:rPr>
        <w:t>měsíčně.</w:t>
      </w:r>
    </w:p>
    <w:p w:rsidR="00957FF9" w:rsidRDefault="00957FF9">
      <w:pPr>
        <w:pStyle w:val="Zkladntext"/>
        <w:rPr>
          <w:sz w:val="26"/>
        </w:rPr>
      </w:pPr>
    </w:p>
    <w:p w:rsidR="00957FF9" w:rsidRDefault="00957FF9">
      <w:pPr>
        <w:pStyle w:val="Zkladntext"/>
        <w:rPr>
          <w:sz w:val="26"/>
        </w:rPr>
      </w:pPr>
    </w:p>
    <w:p w:rsidR="00957FF9" w:rsidRDefault="00957FF9">
      <w:pPr>
        <w:pStyle w:val="Zkladntext"/>
        <w:rPr>
          <w:sz w:val="22"/>
        </w:rPr>
      </w:pPr>
    </w:p>
    <w:p w:rsidR="00957FF9" w:rsidRDefault="00671278">
      <w:pPr>
        <w:pStyle w:val="Nadpis2"/>
        <w:ind w:right="589"/>
      </w:pPr>
      <w:r>
        <w:t>Článek IV. (rozsah služeb poskytovaných nad rámec sjednané dodávky IT služeb)</w:t>
      </w:r>
    </w:p>
    <w:p w:rsidR="00957FF9" w:rsidRDefault="00957FF9">
      <w:pPr>
        <w:pStyle w:val="Zkladntext"/>
        <w:rPr>
          <w:b/>
        </w:rPr>
      </w:pPr>
    </w:p>
    <w:p w:rsidR="00957FF9" w:rsidRDefault="00671278">
      <w:pPr>
        <w:pStyle w:val="Zkladntext"/>
        <w:spacing w:line="288" w:lineRule="auto"/>
        <w:ind w:left="155" w:right="113"/>
        <w:jc w:val="both"/>
      </w:pPr>
      <w:r>
        <w:t>Poskytnutí práce nad rámec sjed</w:t>
      </w:r>
      <w:r>
        <w:t>nané správy počítačové sítě nelze na základě této smlouvy nárokovat. V případě nutnosti se však dodavatel zavazuje vyhovět zákazníkovi k maximální spokojenosti dle svých možností v rámci své pracovní doby.</w:t>
      </w:r>
    </w:p>
    <w:p w:rsidR="00957FF9" w:rsidRDefault="00957FF9">
      <w:pPr>
        <w:pStyle w:val="Zkladntext"/>
        <w:spacing w:before="8"/>
        <w:rPr>
          <w:sz w:val="28"/>
        </w:rPr>
      </w:pPr>
    </w:p>
    <w:p w:rsidR="00957FF9" w:rsidRDefault="00671278">
      <w:pPr>
        <w:pStyle w:val="Zkladntext"/>
        <w:spacing w:line="288" w:lineRule="auto"/>
        <w:ind w:left="155" w:right="116"/>
        <w:jc w:val="both"/>
      </w:pPr>
      <w:r>
        <w:t>V případě, že si požadavky zákazníka vyžádají pře</w:t>
      </w:r>
      <w:r>
        <w:t>kročení rozsahu práce nad rámec sjednané správy počítačové sítě o víc než 10 hodin práce v daném měsící, bude dodavatelem informován ředitel organizace zákazníka či ICT koordinátor / ICT metodik zákazníka, který je pro účel dodávky IT služeb vnímán jako zá</w:t>
      </w:r>
      <w:r>
        <w:t>stupce ředitle pro oblast informačních technologií a bude domluven další postup či odklad realizace požadavků.</w:t>
      </w:r>
    </w:p>
    <w:p w:rsidR="00957FF9" w:rsidRDefault="00957FF9">
      <w:pPr>
        <w:pStyle w:val="Zkladntext"/>
        <w:rPr>
          <w:sz w:val="26"/>
        </w:rPr>
      </w:pPr>
    </w:p>
    <w:p w:rsidR="00957FF9" w:rsidRDefault="00957FF9">
      <w:pPr>
        <w:pStyle w:val="Zkladntext"/>
        <w:rPr>
          <w:sz w:val="26"/>
        </w:rPr>
      </w:pPr>
    </w:p>
    <w:p w:rsidR="00957FF9" w:rsidRDefault="00957FF9">
      <w:pPr>
        <w:pStyle w:val="Zkladntext"/>
        <w:rPr>
          <w:sz w:val="26"/>
        </w:rPr>
      </w:pPr>
    </w:p>
    <w:p w:rsidR="00957FF9" w:rsidRDefault="00671278">
      <w:pPr>
        <w:pStyle w:val="Nadpis2"/>
        <w:spacing w:before="206"/>
        <w:ind w:right="583"/>
      </w:pPr>
      <w:r>
        <w:t>Článek VI. (způsob zadávání požadavků a zpracování požadavků)</w:t>
      </w:r>
    </w:p>
    <w:p w:rsidR="00957FF9" w:rsidRDefault="00957FF9">
      <w:pPr>
        <w:pStyle w:val="Zkladntext"/>
        <w:rPr>
          <w:b/>
        </w:rPr>
      </w:pPr>
    </w:p>
    <w:p w:rsidR="00957FF9" w:rsidRDefault="00671278">
      <w:pPr>
        <w:pStyle w:val="Zkladntext"/>
        <w:spacing w:line="288" w:lineRule="auto"/>
        <w:ind w:left="155" w:right="113"/>
        <w:jc w:val="both"/>
      </w:pPr>
      <w:r>
        <w:rPr>
          <w:b/>
        </w:rPr>
        <w:t xml:space="preserve">Provozní požadavky </w:t>
      </w:r>
      <w:r>
        <w:t xml:space="preserve">(plánovaná údržba či řešení neurgentních poruchových stavů) </w:t>
      </w:r>
      <w:r>
        <w:t>pracovníci zákazníka zadávají primárně prostřednictvím emailu nebo systému pro správu požadavků dle instrukcí na www stránkách dodavatele. Zahájení řešení provozních požadavků bude provedeno nejpozději šestý následující pracovní den od nahlášení avšak pouz</w:t>
      </w:r>
      <w:r>
        <w:t>e do vyčerpání rozsahu pravidelně hrazených hodin práce.</w:t>
      </w:r>
    </w:p>
    <w:p w:rsidR="00957FF9" w:rsidRDefault="00957FF9">
      <w:pPr>
        <w:pStyle w:val="Zkladntext"/>
        <w:spacing w:before="8"/>
        <w:rPr>
          <w:sz w:val="28"/>
        </w:rPr>
      </w:pPr>
    </w:p>
    <w:p w:rsidR="00957FF9" w:rsidRDefault="00671278">
      <w:pPr>
        <w:pStyle w:val="Zkladntext"/>
        <w:spacing w:line="288" w:lineRule="auto"/>
        <w:ind w:left="155" w:right="113"/>
        <w:jc w:val="both"/>
      </w:pPr>
      <w:r>
        <w:rPr>
          <w:b/>
        </w:rPr>
        <w:t xml:space="preserve">Urgentní požadavky </w:t>
      </w:r>
      <w:r>
        <w:t>(urgentní údržba či řešení závad ) pracovníci zákazníka zadávají telefonicky nebo po vzájemné dohodě osobně pracovníkovi dodavatele, který je na pracovišti zákazníka. Urgentní požadavky může zadávat pouze ředitel organizace zákazníka či k tomu určený ICT k</w:t>
      </w:r>
      <w:r>
        <w:t>oordinátor / ICT metodik zákazníka, který je pro účel dodávky IT služeb vnímán jako zástupce ředitle pro oblast informačních technologií. Od všech ostatních pracovníků</w:t>
      </w:r>
    </w:p>
    <w:p w:rsidR="00957FF9" w:rsidRDefault="00957FF9">
      <w:pPr>
        <w:spacing w:line="288" w:lineRule="auto"/>
        <w:jc w:val="both"/>
        <w:sectPr w:rsidR="00957FF9">
          <w:pgSz w:w="11910" w:h="16840"/>
          <w:pgMar w:top="1340" w:right="1300" w:bottom="1280" w:left="980" w:header="0" w:footer="1098" w:gutter="0"/>
          <w:cols w:space="708"/>
        </w:sectPr>
      </w:pPr>
    </w:p>
    <w:p w:rsidR="00957FF9" w:rsidRDefault="00671278">
      <w:pPr>
        <w:pStyle w:val="Zkladntext"/>
        <w:spacing w:before="60" w:line="288" w:lineRule="auto"/>
        <w:ind w:left="155" w:right="122"/>
        <w:jc w:val="both"/>
      </w:pPr>
      <w:r>
        <w:lastRenderedPageBreak/>
        <w:t>zákazníka budou požadavky přijímány jako provozní. Zahájení řešení urgentních požadavků bude provedeno nejpozději následující pracovní</w:t>
      </w:r>
      <w:r>
        <w:rPr>
          <w:spacing w:val="2"/>
        </w:rPr>
        <w:t xml:space="preserve"> </w:t>
      </w:r>
      <w:r>
        <w:t>den.</w:t>
      </w:r>
    </w:p>
    <w:p w:rsidR="00957FF9" w:rsidRDefault="00957FF9">
      <w:pPr>
        <w:pStyle w:val="Zkladntext"/>
        <w:spacing w:before="7"/>
        <w:rPr>
          <w:sz w:val="28"/>
        </w:rPr>
      </w:pPr>
    </w:p>
    <w:p w:rsidR="00957FF9" w:rsidRDefault="00671278">
      <w:pPr>
        <w:pStyle w:val="Zkladntext"/>
        <w:spacing w:before="1" w:line="288" w:lineRule="auto"/>
        <w:ind w:left="155" w:right="115"/>
        <w:jc w:val="both"/>
      </w:pPr>
      <w:r>
        <w:rPr>
          <w:b/>
        </w:rPr>
        <w:t xml:space="preserve">Požadavky na inovace či změny informačního systému </w:t>
      </w:r>
      <w:r>
        <w:t>(stěhování techniky, nasazení nových technologií, či rozsáhlejší</w:t>
      </w:r>
      <w:r>
        <w:t xml:space="preserve"> úpravy konfigurace či stávajícího nasazení technologií s dopadem na větší počet uživatelů) může zadávat pouze ředitel organizace zákazníka či k tomu určený ICT koordinátor / ICT metodik zákazníka, který je pro účel dodávky IT služeb vnímán jako zástupce ř</w:t>
      </w:r>
      <w:r>
        <w:t>editele pro oblast informačních technologií, nebude-li pro konkrétní projekt domluveno jinak (např. plánovaná inovace systému školní jídelny bude v rámci realizace řešena s primárně hospodářem školní jídelny atp.). Pracovník zákazníka (např. ICT koordináto</w:t>
      </w:r>
      <w:r>
        <w:t>r / ICT metodik), který změnu (např. stěhování techniky) za zákazníka zadá je primárně odpovědný za zajištění koordinace na straně zákazníka (např. předání informací dalším pracovníkům zákazníka pro zajištění odpovídajících změn v evidenci inventáře, zveře</w:t>
      </w:r>
      <w:r>
        <w:t>jnění informace o plánované odstávce na www stránkách atp.).</w:t>
      </w:r>
    </w:p>
    <w:p w:rsidR="00957FF9" w:rsidRDefault="00957FF9">
      <w:pPr>
        <w:pStyle w:val="Zkladntext"/>
        <w:rPr>
          <w:sz w:val="26"/>
        </w:rPr>
      </w:pPr>
    </w:p>
    <w:p w:rsidR="00957FF9" w:rsidRDefault="00957FF9">
      <w:pPr>
        <w:pStyle w:val="Zkladntext"/>
        <w:spacing w:before="7"/>
        <w:rPr>
          <w:sz w:val="26"/>
        </w:rPr>
      </w:pPr>
    </w:p>
    <w:p w:rsidR="00957FF9" w:rsidRDefault="00671278">
      <w:pPr>
        <w:pStyle w:val="Nadpis2"/>
      </w:pPr>
      <w:r>
        <w:t>Článek IV. (odpovědnost)</w:t>
      </w:r>
    </w:p>
    <w:p w:rsidR="00957FF9" w:rsidRDefault="00671278">
      <w:pPr>
        <w:pStyle w:val="Zkladntext"/>
        <w:spacing w:before="232" w:line="288" w:lineRule="auto"/>
        <w:ind w:left="155" w:right="113" w:firstLine="708"/>
        <w:jc w:val="both"/>
      </w:pPr>
      <w:r>
        <w:t>Dodavatel odpovídá za správnost prováděných prací. Zákazník je oprávněn provádění prací kontrolovat a zjistí-li, že dodavatel odvedl práci v rozporu se zájmy zákazníka,</w:t>
      </w:r>
      <w:r>
        <w:t xml:space="preserve"> je oprávněn požadovat na dodavateli bezplatnou nápravu provedených prací.</w:t>
      </w:r>
    </w:p>
    <w:p w:rsidR="00957FF9" w:rsidRDefault="00671278">
      <w:pPr>
        <w:pStyle w:val="Zkladntext"/>
        <w:spacing w:line="288" w:lineRule="auto"/>
        <w:ind w:left="155" w:right="115" w:firstLine="708"/>
        <w:jc w:val="both"/>
      </w:pPr>
      <w:r>
        <w:t>Zákazník je oprávněn vypovědět tuto smlouvu o správě počítačové sítě, a to i bez udání důvodu, k prvnímu dni 3. následujícího kalendářního měsíce od podání výpovědi (výpovědní lhůta</w:t>
      </w:r>
      <w:r>
        <w:t xml:space="preserve"> tedy činí nejméně dva celé kalendářní měsíce). Výpověď musí být podána písemnou formou.</w:t>
      </w:r>
    </w:p>
    <w:p w:rsidR="00957FF9" w:rsidRDefault="00671278">
      <w:pPr>
        <w:pStyle w:val="Zkladntext"/>
        <w:spacing w:line="288" w:lineRule="auto"/>
        <w:ind w:left="155" w:right="115" w:firstLine="708"/>
        <w:jc w:val="both"/>
      </w:pPr>
      <w:r>
        <w:t>Dodavatel je oprávněn vypovědět tuto smlouvu o správě počítačové sítě, a to i bez udání důvodu k prvnímu dni 3. následujícího kalendářního měsíce od podání výpovědi (v</w:t>
      </w:r>
      <w:r>
        <w:t>ýpovědní lhůta tedy činí nejméně dva celé kalendářní měsíce). Výpověď musí být podána písemnou formou.</w:t>
      </w:r>
    </w:p>
    <w:p w:rsidR="00957FF9" w:rsidRDefault="00671278">
      <w:pPr>
        <w:pStyle w:val="Zkladntext"/>
        <w:spacing w:line="288" w:lineRule="auto"/>
        <w:ind w:left="155" w:right="114" w:firstLine="708"/>
        <w:jc w:val="both"/>
      </w:pPr>
      <w:r>
        <w:t>Je-li tato smlouva vypovězena, je dodavatel povinen poskytnout v závěru platnosti této smlouvy veškerou potřebnou součinnost k předání správy sítě novému</w:t>
      </w:r>
      <w:r>
        <w:t xml:space="preserve"> správci. Zákazník bere na vědomí, že správa sítě je poskytována vzhledem k rozsahu školní ICT jako nízkonákladová služba, nasazení systémů proto nemusí být vždy dokumentováno a hladké předání správy může vyžadovat zodpovědnou součinnost nového správce po </w:t>
      </w:r>
      <w:r>
        <w:t>dobu několika pracovních dnů.</w:t>
      </w:r>
    </w:p>
    <w:p w:rsidR="00957FF9" w:rsidRDefault="00957FF9">
      <w:pPr>
        <w:pStyle w:val="Zkladntext"/>
        <w:rPr>
          <w:sz w:val="26"/>
        </w:rPr>
      </w:pPr>
    </w:p>
    <w:p w:rsidR="00957FF9" w:rsidRDefault="00957FF9">
      <w:pPr>
        <w:pStyle w:val="Zkladntext"/>
        <w:spacing w:before="3"/>
        <w:rPr>
          <w:sz w:val="31"/>
        </w:rPr>
      </w:pPr>
    </w:p>
    <w:p w:rsidR="00957FF9" w:rsidRDefault="00671278">
      <w:pPr>
        <w:pStyle w:val="Nadpis2"/>
        <w:spacing w:before="1"/>
        <w:ind w:right="581"/>
      </w:pPr>
      <w:r>
        <w:t>Článek V.  (provozní přístup)</w:t>
      </w:r>
    </w:p>
    <w:p w:rsidR="00957FF9" w:rsidRDefault="00957FF9">
      <w:pPr>
        <w:pStyle w:val="Zkladntext"/>
        <w:spacing w:before="6"/>
        <w:rPr>
          <w:b/>
          <w:sz w:val="33"/>
        </w:rPr>
      </w:pPr>
    </w:p>
    <w:p w:rsidR="00957FF9" w:rsidRDefault="00671278">
      <w:pPr>
        <w:pStyle w:val="Zkladntext"/>
        <w:spacing w:line="288" w:lineRule="auto"/>
        <w:ind w:left="155" w:right="115" w:firstLine="708"/>
        <w:jc w:val="both"/>
      </w:pPr>
      <w:r>
        <w:t>Zákazník se zavazuje umožnit pracovníkům dodavatele přístup na pracoviště zákazníka během provozní doby zákazníka bez omezení. V případě, že to vyžadují pracovní povinnosti zákazníka (neodkladn</w:t>
      </w:r>
      <w:r>
        <w:t>á práce, jednání s třetí stranou, probíhající výuka atd.) po vzájemné domluvě.</w:t>
      </w:r>
    </w:p>
    <w:p w:rsidR="00957FF9" w:rsidRDefault="00957FF9">
      <w:pPr>
        <w:spacing w:line="288" w:lineRule="auto"/>
        <w:jc w:val="both"/>
        <w:sectPr w:rsidR="00957FF9">
          <w:pgSz w:w="11910" w:h="16840"/>
          <w:pgMar w:top="1340" w:right="1300" w:bottom="1280" w:left="980" w:header="0" w:footer="1098" w:gutter="0"/>
          <w:cols w:space="708"/>
        </w:sectPr>
      </w:pPr>
    </w:p>
    <w:p w:rsidR="00957FF9" w:rsidRDefault="00671278">
      <w:pPr>
        <w:pStyle w:val="Nadpis2"/>
        <w:spacing w:before="60"/>
        <w:ind w:right="581"/>
      </w:pPr>
      <w:r>
        <w:lastRenderedPageBreak/>
        <w:t>Článek VI. (samostatný přístup)</w:t>
      </w:r>
    </w:p>
    <w:p w:rsidR="00957FF9" w:rsidRDefault="00957FF9">
      <w:pPr>
        <w:pStyle w:val="Zkladntext"/>
        <w:spacing w:before="6"/>
        <w:rPr>
          <w:b/>
          <w:sz w:val="33"/>
        </w:rPr>
      </w:pPr>
    </w:p>
    <w:p w:rsidR="00957FF9" w:rsidRDefault="00671278">
      <w:pPr>
        <w:pStyle w:val="Zkladntext"/>
        <w:spacing w:line="288" w:lineRule="auto"/>
        <w:ind w:left="155" w:right="115" w:firstLine="708"/>
        <w:jc w:val="both"/>
      </w:pPr>
      <w:r>
        <w:t>Pakliže zákazník umožní dodavateli samostatný přístup ať už v provozní době zákazníka či mimo ni (zapůjčení klíčů, předání kódů od alarmu objektu atp.), bude tento přístup udělen vždy konkrétnímu pracovníkovi dodavatele a nikoli dodavateli jako celku (podn</w:t>
      </w:r>
      <w:r>
        <w:t xml:space="preserve">ikající fyzické osobě Petr Kříž včetně všech jejích pracovníků). Samostatný přístup na pracoviště zákazníka tedy nezískávají automaticky všichni pracovníci dodavatele. Doba, rozsah a režim samostatného přístupu se vždy řídí dle vůle zákazníka, s výjimkou, </w:t>
      </w:r>
      <w:r>
        <w:t>že osoba s uděleným samostatným přístupem je oprávněna udělit přístup dalším pracovníkům, a to výhradně za své přítomnosti na pracovišti zákazníka a na dobu nezbytnou pro provedení</w:t>
      </w:r>
      <w:r>
        <w:rPr>
          <w:spacing w:val="-5"/>
        </w:rPr>
        <w:t xml:space="preserve"> </w:t>
      </w:r>
      <w:r>
        <w:t>práce.</w:t>
      </w:r>
    </w:p>
    <w:p w:rsidR="00957FF9" w:rsidRDefault="00957FF9">
      <w:pPr>
        <w:pStyle w:val="Zkladntext"/>
        <w:rPr>
          <w:sz w:val="26"/>
        </w:rPr>
      </w:pPr>
    </w:p>
    <w:p w:rsidR="00957FF9" w:rsidRDefault="00957FF9">
      <w:pPr>
        <w:pStyle w:val="Zkladntext"/>
        <w:spacing w:before="1"/>
        <w:rPr>
          <w:sz w:val="34"/>
        </w:rPr>
      </w:pPr>
    </w:p>
    <w:p w:rsidR="00957FF9" w:rsidRDefault="00671278">
      <w:pPr>
        <w:pStyle w:val="Nadpis2"/>
      </w:pPr>
      <w:r>
        <w:t>Článek VII. (softwarové licence)</w:t>
      </w:r>
    </w:p>
    <w:p w:rsidR="00957FF9" w:rsidRDefault="00671278">
      <w:pPr>
        <w:pStyle w:val="Zkladntext"/>
        <w:spacing w:before="232" w:line="288" w:lineRule="auto"/>
        <w:ind w:left="155" w:right="114" w:firstLine="708"/>
        <w:jc w:val="both"/>
      </w:pPr>
      <w:r>
        <w:t>Dodavatel plně odpovídá za dodržo</w:t>
      </w:r>
      <w:r>
        <w:t>vání licenčních podmínek při nakládání se software během jím prováděných prací. Zákazník je povinen dodavateli poskytnout přehled jím vlastněných licencí, v případě nutnosti i předložit k nahlédnutí příslušné nabývací doklady (faktury za nakoupené programy</w:t>
      </w:r>
      <w:r>
        <w:t>).</w:t>
      </w:r>
    </w:p>
    <w:p w:rsidR="00957FF9" w:rsidRDefault="00957FF9">
      <w:pPr>
        <w:pStyle w:val="Zkladntext"/>
        <w:spacing w:before="7"/>
        <w:rPr>
          <w:sz w:val="28"/>
        </w:rPr>
      </w:pPr>
    </w:p>
    <w:p w:rsidR="00957FF9" w:rsidRDefault="00671278">
      <w:pPr>
        <w:pStyle w:val="Zkladntext"/>
        <w:spacing w:line="288" w:lineRule="auto"/>
        <w:ind w:left="155" w:right="111" w:firstLine="708"/>
        <w:jc w:val="both"/>
      </w:pPr>
      <w:r>
        <w:t>Zákazník bere na vědomí, že je povinen nabývací doklady k licencím samostatně archivovat nejméně po celou dobu provozu zakoupeného software a zachovávat jejich párování na konkrétní prac. stanice či instalovaný software (minimálně - precizně vedená inv</w:t>
      </w:r>
      <w:r>
        <w:t xml:space="preserve">entarizace). Zákazník bere na vědomí, že vzhledem ke složitosti a rozsahu licenčních problematik je doporučeno nechat provádět v pravidelných intervalech softwarový audit specializovanou firmou disponující certifikacemi na licenční problematiku zákazníkem </w:t>
      </w:r>
      <w:r>
        <w:t>používaného software. Dodavatel na základě této smlouvy není zodpovědný za zpracování a udržování aktualizovaného přehledu inventáře a nabývacích dokladů k hardware a software, není správcem licenčních smluv zákazníka a nepřebírá zodpovědnost za licencován</w:t>
      </w:r>
      <w:r>
        <w:t>í software.</w:t>
      </w:r>
    </w:p>
    <w:p w:rsidR="00957FF9" w:rsidRDefault="00957FF9">
      <w:pPr>
        <w:pStyle w:val="Zkladntext"/>
        <w:rPr>
          <w:sz w:val="26"/>
        </w:rPr>
      </w:pPr>
    </w:p>
    <w:p w:rsidR="00957FF9" w:rsidRDefault="00957FF9">
      <w:pPr>
        <w:pStyle w:val="Zkladntext"/>
        <w:spacing w:before="6"/>
        <w:rPr>
          <w:sz w:val="31"/>
        </w:rPr>
      </w:pPr>
    </w:p>
    <w:p w:rsidR="00957FF9" w:rsidRDefault="00671278">
      <w:pPr>
        <w:pStyle w:val="Nadpis2"/>
        <w:ind w:right="583"/>
      </w:pPr>
      <w:r>
        <w:t>Článek VIII. (mlčenlivost a osobní údaje)</w:t>
      </w:r>
    </w:p>
    <w:p w:rsidR="00957FF9" w:rsidRDefault="00957FF9">
      <w:pPr>
        <w:pStyle w:val="Zkladntext"/>
        <w:spacing w:before="7"/>
        <w:rPr>
          <w:b/>
          <w:sz w:val="33"/>
        </w:rPr>
      </w:pPr>
    </w:p>
    <w:p w:rsidR="00957FF9" w:rsidRDefault="00671278">
      <w:pPr>
        <w:pStyle w:val="Zkladntext"/>
        <w:spacing w:line="288" w:lineRule="auto"/>
        <w:ind w:left="155" w:right="127" w:firstLine="708"/>
        <w:jc w:val="both"/>
      </w:pPr>
      <w:r>
        <w:t>Dodavatel se zavazuje zachovávat mlčenlivost a zavázat mlčenlivostí i svoje pracovníky či subdodavatele.</w:t>
      </w:r>
    </w:p>
    <w:p w:rsidR="00957FF9" w:rsidRDefault="00957FF9">
      <w:pPr>
        <w:pStyle w:val="Zkladntext"/>
        <w:spacing w:before="8"/>
        <w:rPr>
          <w:sz w:val="28"/>
        </w:rPr>
      </w:pPr>
    </w:p>
    <w:p w:rsidR="00957FF9" w:rsidRDefault="00671278">
      <w:pPr>
        <w:pStyle w:val="Zkladntext"/>
        <w:spacing w:line="288" w:lineRule="auto"/>
        <w:ind w:left="155" w:right="114" w:firstLine="708"/>
        <w:jc w:val="both"/>
      </w:pPr>
      <w:r>
        <w:t>Dodavatel může mít v některých případech přístup k osobním údajům, které zákazník jako správce zpracovává. Pro takový případ dodavatel nesmí do zpracování osobních údajů zapojit žádného dalšího zpracovatele bez předchozího konkrétního souhlasu zákazníka. P</w:t>
      </w:r>
      <w:r>
        <w:t>okud dodavatel zapojí dalšího zpracovatele, musí být mezi dodavatelem a tímto dalším zpracovatelem uzavřena písemná smlouva, ve které se tento další zpracovatel zaváže k dodržování povinností stanovených v tomto</w:t>
      </w:r>
      <w:r>
        <w:rPr>
          <w:spacing w:val="-1"/>
        </w:rPr>
        <w:t xml:space="preserve"> </w:t>
      </w:r>
      <w:r>
        <w:t>článku.</w:t>
      </w:r>
    </w:p>
    <w:p w:rsidR="00957FF9" w:rsidRDefault="00957FF9">
      <w:pPr>
        <w:spacing w:line="288" w:lineRule="auto"/>
        <w:jc w:val="both"/>
        <w:sectPr w:rsidR="00957FF9">
          <w:pgSz w:w="11910" w:h="16840"/>
          <w:pgMar w:top="1340" w:right="1300" w:bottom="1280" w:left="980" w:header="0" w:footer="1098" w:gutter="0"/>
          <w:cols w:space="708"/>
        </w:sectPr>
      </w:pPr>
    </w:p>
    <w:p w:rsidR="00957FF9" w:rsidRDefault="00671278">
      <w:pPr>
        <w:pStyle w:val="Zkladntext"/>
        <w:spacing w:before="60"/>
        <w:ind w:left="864"/>
      </w:pPr>
      <w:r>
        <w:lastRenderedPageBreak/>
        <w:t>Dodavatel se zavaz</w:t>
      </w:r>
      <w:r>
        <w:t>uje</w:t>
      </w:r>
    </w:p>
    <w:p w:rsidR="00957FF9" w:rsidRDefault="00957FF9">
      <w:pPr>
        <w:pStyle w:val="Zkladntext"/>
        <w:spacing w:before="6"/>
        <w:rPr>
          <w:sz w:val="33"/>
        </w:rPr>
      </w:pPr>
    </w:p>
    <w:p w:rsidR="00957FF9" w:rsidRDefault="00671278">
      <w:pPr>
        <w:pStyle w:val="Odstavecseseznamem"/>
        <w:numPr>
          <w:ilvl w:val="0"/>
          <w:numId w:val="1"/>
        </w:numPr>
        <w:tabs>
          <w:tab w:val="left" w:pos="894"/>
        </w:tabs>
        <w:spacing w:line="288" w:lineRule="auto"/>
        <w:ind w:right="121"/>
        <w:jc w:val="both"/>
        <w:rPr>
          <w:sz w:val="24"/>
        </w:rPr>
      </w:pPr>
      <w:r>
        <w:rPr>
          <w:sz w:val="24"/>
        </w:rPr>
        <w:t>zpracovávat osobní údaje pouze v rozsahu stanoveném touto smlouvou  mezi zákazníkem a dodavatelem, případně na základě doložených pokynů</w:t>
      </w:r>
      <w:r>
        <w:rPr>
          <w:spacing w:val="-8"/>
          <w:sz w:val="24"/>
        </w:rPr>
        <w:t xml:space="preserve"> </w:t>
      </w:r>
      <w:r>
        <w:rPr>
          <w:sz w:val="24"/>
        </w:rPr>
        <w:t>zákazníka;</w:t>
      </w:r>
    </w:p>
    <w:p w:rsidR="00957FF9" w:rsidRDefault="00957FF9">
      <w:pPr>
        <w:pStyle w:val="Zkladntext"/>
        <w:spacing w:before="8"/>
        <w:rPr>
          <w:sz w:val="28"/>
        </w:rPr>
      </w:pPr>
    </w:p>
    <w:p w:rsidR="00957FF9" w:rsidRDefault="00671278">
      <w:pPr>
        <w:pStyle w:val="Odstavecseseznamem"/>
        <w:numPr>
          <w:ilvl w:val="0"/>
          <w:numId w:val="1"/>
        </w:numPr>
        <w:tabs>
          <w:tab w:val="left" w:pos="894"/>
        </w:tabs>
        <w:spacing w:line="288" w:lineRule="auto"/>
        <w:ind w:right="125"/>
        <w:jc w:val="both"/>
        <w:rPr>
          <w:sz w:val="24"/>
        </w:rPr>
      </w:pPr>
      <w:r>
        <w:rPr>
          <w:sz w:val="24"/>
        </w:rPr>
        <w:t>zajistit, že všechny osoby oprávněné zpracovávat osobní údaje se zavázaly k povinnosti mlčenlivosti, p</w:t>
      </w:r>
      <w:r>
        <w:rPr>
          <w:sz w:val="24"/>
        </w:rPr>
        <w:t>říp. se na ně vztahuje zákonná povinnost</w:t>
      </w:r>
      <w:r>
        <w:rPr>
          <w:spacing w:val="-5"/>
          <w:sz w:val="24"/>
        </w:rPr>
        <w:t xml:space="preserve"> </w:t>
      </w:r>
      <w:r>
        <w:rPr>
          <w:sz w:val="24"/>
        </w:rPr>
        <w:t>mlčenlivosti;</w:t>
      </w:r>
    </w:p>
    <w:p w:rsidR="00957FF9" w:rsidRDefault="00957FF9">
      <w:pPr>
        <w:pStyle w:val="Zkladntext"/>
        <w:spacing w:before="10"/>
        <w:rPr>
          <w:sz w:val="28"/>
        </w:rPr>
      </w:pPr>
    </w:p>
    <w:p w:rsidR="00957FF9" w:rsidRDefault="00671278">
      <w:pPr>
        <w:pStyle w:val="Odstavecseseznamem"/>
        <w:numPr>
          <w:ilvl w:val="0"/>
          <w:numId w:val="1"/>
        </w:numPr>
        <w:tabs>
          <w:tab w:val="left" w:pos="894"/>
        </w:tabs>
        <w:spacing w:line="288" w:lineRule="auto"/>
        <w:ind w:right="116"/>
        <w:jc w:val="both"/>
        <w:rPr>
          <w:sz w:val="24"/>
        </w:rPr>
      </w:pPr>
      <w:r>
        <w:rPr>
          <w:sz w:val="24"/>
        </w:rPr>
        <w:t>přijmout taková technická, organizační a jiná potřebná opatření, spočívající např. v šifrování, aby nemohlo dojít k neoprávněnému nebo nahodilému přístupu k osobním údajům, jejich změně, zničení či zt</w:t>
      </w:r>
      <w:r>
        <w:rPr>
          <w:sz w:val="24"/>
        </w:rPr>
        <w:t>rátě, neoprávněným přenosům, k jejich neoprávněnému zpracování, jakož i k jinému</w:t>
      </w:r>
      <w:r>
        <w:rPr>
          <w:spacing w:val="-1"/>
          <w:sz w:val="24"/>
        </w:rPr>
        <w:t xml:space="preserve"> </w:t>
      </w:r>
      <w:r>
        <w:rPr>
          <w:sz w:val="24"/>
        </w:rPr>
        <w:t>zneužití.</w:t>
      </w:r>
    </w:p>
    <w:p w:rsidR="00957FF9" w:rsidRDefault="00957FF9">
      <w:pPr>
        <w:pStyle w:val="Zkladntext"/>
        <w:spacing w:before="7"/>
        <w:rPr>
          <w:sz w:val="28"/>
        </w:rPr>
      </w:pPr>
    </w:p>
    <w:p w:rsidR="00957FF9" w:rsidRDefault="00671278">
      <w:pPr>
        <w:pStyle w:val="Odstavecseseznamem"/>
        <w:numPr>
          <w:ilvl w:val="0"/>
          <w:numId w:val="1"/>
        </w:numPr>
        <w:tabs>
          <w:tab w:val="left" w:pos="894"/>
        </w:tabs>
        <w:spacing w:line="288" w:lineRule="auto"/>
        <w:ind w:right="116"/>
        <w:jc w:val="both"/>
        <w:rPr>
          <w:sz w:val="24"/>
        </w:rPr>
      </w:pPr>
      <w:r>
        <w:rPr>
          <w:sz w:val="24"/>
        </w:rPr>
        <w:t>poskytnout zákazníkovi součinnost při plnění správcových povinností, zejm. povinností správce reagovat na žádosti o výkon práv subjektů</w:t>
      </w:r>
      <w:r>
        <w:rPr>
          <w:spacing w:val="-3"/>
          <w:sz w:val="24"/>
        </w:rPr>
        <w:t xml:space="preserve"> </w:t>
      </w:r>
      <w:r>
        <w:rPr>
          <w:sz w:val="24"/>
        </w:rPr>
        <w:t>údajů;</w:t>
      </w:r>
    </w:p>
    <w:p w:rsidR="00957FF9" w:rsidRDefault="00957FF9">
      <w:pPr>
        <w:pStyle w:val="Zkladntext"/>
        <w:spacing w:before="10"/>
        <w:rPr>
          <w:sz w:val="28"/>
        </w:rPr>
      </w:pPr>
    </w:p>
    <w:p w:rsidR="00957FF9" w:rsidRDefault="00671278">
      <w:pPr>
        <w:pStyle w:val="Odstavecseseznamem"/>
        <w:numPr>
          <w:ilvl w:val="0"/>
          <w:numId w:val="1"/>
        </w:numPr>
        <w:tabs>
          <w:tab w:val="left" w:pos="894"/>
        </w:tabs>
        <w:spacing w:line="288" w:lineRule="auto"/>
        <w:jc w:val="both"/>
        <w:rPr>
          <w:sz w:val="24"/>
        </w:rPr>
      </w:pPr>
      <w:r>
        <w:rPr>
          <w:sz w:val="24"/>
        </w:rPr>
        <w:t>poskytnout zákazníkovi součinnost a být mu nápomocen při zajišťování povinností zabezpečit osobní údaje, ohlásit případy porušení zabezpečení osobních údajů Úřadu pro ochranu osobních údajů, oznámit případy porušení zabezpečení osobních údajů subjektům úda</w:t>
      </w:r>
      <w:r>
        <w:rPr>
          <w:sz w:val="24"/>
        </w:rPr>
        <w:t>jů, provést posouzení vlivu na ochranu osobních</w:t>
      </w:r>
      <w:r>
        <w:rPr>
          <w:spacing w:val="-2"/>
          <w:sz w:val="24"/>
        </w:rPr>
        <w:t xml:space="preserve"> </w:t>
      </w:r>
      <w:r>
        <w:rPr>
          <w:sz w:val="24"/>
        </w:rPr>
        <w:t>údajů;</w:t>
      </w:r>
    </w:p>
    <w:p w:rsidR="00957FF9" w:rsidRDefault="00957FF9">
      <w:pPr>
        <w:pStyle w:val="Zkladntext"/>
        <w:spacing w:before="7"/>
        <w:rPr>
          <w:sz w:val="28"/>
        </w:rPr>
      </w:pPr>
    </w:p>
    <w:p w:rsidR="00957FF9" w:rsidRDefault="00671278">
      <w:pPr>
        <w:pStyle w:val="Odstavecseseznamem"/>
        <w:numPr>
          <w:ilvl w:val="0"/>
          <w:numId w:val="1"/>
        </w:numPr>
        <w:tabs>
          <w:tab w:val="left" w:pos="894"/>
        </w:tabs>
        <w:spacing w:line="288" w:lineRule="auto"/>
        <w:jc w:val="both"/>
        <w:rPr>
          <w:sz w:val="24"/>
        </w:rPr>
      </w:pPr>
      <w:r>
        <w:rPr>
          <w:sz w:val="24"/>
        </w:rPr>
        <w:t>vrátit zákazníkovi po skončení zpracování osobních údajů všechny osobní údaje, pokud právní předpis nestanoví</w:t>
      </w:r>
      <w:r>
        <w:rPr>
          <w:spacing w:val="-1"/>
          <w:sz w:val="24"/>
        </w:rPr>
        <w:t xml:space="preserve"> </w:t>
      </w:r>
      <w:r>
        <w:rPr>
          <w:sz w:val="24"/>
        </w:rPr>
        <w:t>jinak;</w:t>
      </w:r>
    </w:p>
    <w:p w:rsidR="00957FF9" w:rsidRDefault="00957FF9">
      <w:pPr>
        <w:pStyle w:val="Zkladntext"/>
        <w:spacing w:before="10"/>
        <w:rPr>
          <w:sz w:val="28"/>
        </w:rPr>
      </w:pPr>
    </w:p>
    <w:p w:rsidR="00957FF9" w:rsidRDefault="00671278">
      <w:pPr>
        <w:pStyle w:val="Odstavecseseznamem"/>
        <w:numPr>
          <w:ilvl w:val="0"/>
          <w:numId w:val="1"/>
        </w:numPr>
        <w:tabs>
          <w:tab w:val="left" w:pos="894"/>
        </w:tabs>
        <w:spacing w:line="288" w:lineRule="auto"/>
        <w:ind w:right="117"/>
        <w:jc w:val="both"/>
        <w:rPr>
          <w:sz w:val="24"/>
        </w:rPr>
      </w:pPr>
      <w:r>
        <w:rPr>
          <w:sz w:val="24"/>
        </w:rPr>
        <w:t>poskytnout zákazníkovi veškeré informace potřebné k doložení splnění povinností uvedených v tomto článku a umožní správci kontrolu zákonnosti zpracování osobních údajů, pokud to neodporuje právnímu</w:t>
      </w:r>
      <w:r>
        <w:rPr>
          <w:spacing w:val="1"/>
          <w:sz w:val="24"/>
        </w:rPr>
        <w:t xml:space="preserve"> </w:t>
      </w:r>
      <w:r>
        <w:rPr>
          <w:sz w:val="24"/>
        </w:rPr>
        <w:t>předpisu.</w:t>
      </w:r>
    </w:p>
    <w:p w:rsidR="00957FF9" w:rsidRDefault="00957FF9">
      <w:pPr>
        <w:spacing w:line="288" w:lineRule="auto"/>
        <w:jc w:val="both"/>
        <w:rPr>
          <w:sz w:val="24"/>
        </w:rPr>
        <w:sectPr w:rsidR="00957FF9">
          <w:pgSz w:w="11910" w:h="16840"/>
          <w:pgMar w:top="1340" w:right="1300" w:bottom="1280" w:left="980" w:header="0" w:footer="1098" w:gutter="0"/>
          <w:cols w:space="708"/>
        </w:sectPr>
      </w:pPr>
    </w:p>
    <w:p w:rsidR="00957FF9" w:rsidRDefault="00671278">
      <w:pPr>
        <w:pStyle w:val="Nadpis2"/>
        <w:spacing w:before="60"/>
      </w:pPr>
      <w:r>
        <w:lastRenderedPageBreak/>
        <w:t>Článek IX.</w:t>
      </w:r>
      <w:r>
        <w:rPr>
          <w:spacing w:val="59"/>
        </w:rPr>
        <w:t xml:space="preserve"> </w:t>
      </w:r>
      <w:r>
        <w:t>(platnost)</w:t>
      </w:r>
    </w:p>
    <w:p w:rsidR="00957FF9" w:rsidRDefault="00957FF9">
      <w:pPr>
        <w:pStyle w:val="Zkladntext"/>
        <w:spacing w:before="6"/>
        <w:rPr>
          <w:b/>
          <w:sz w:val="33"/>
        </w:rPr>
      </w:pPr>
    </w:p>
    <w:p w:rsidR="00957FF9" w:rsidRDefault="00671278">
      <w:pPr>
        <w:pStyle w:val="Zkladntext"/>
        <w:ind w:left="864"/>
      </w:pPr>
      <w:r>
        <w:t>Tato sm</w:t>
      </w:r>
      <w:r>
        <w:t>louva se uzavírá na dobu neurčitou počínaje dnem 1. 4. 2024.</w:t>
      </w:r>
    </w:p>
    <w:p w:rsidR="00957FF9" w:rsidRDefault="00957FF9">
      <w:pPr>
        <w:pStyle w:val="Zkladntext"/>
        <w:rPr>
          <w:sz w:val="26"/>
        </w:rPr>
      </w:pPr>
    </w:p>
    <w:p w:rsidR="00957FF9" w:rsidRDefault="00957FF9">
      <w:pPr>
        <w:pStyle w:val="Zkladntext"/>
        <w:spacing w:before="7"/>
        <w:rPr>
          <w:sz w:val="31"/>
        </w:rPr>
      </w:pPr>
    </w:p>
    <w:p w:rsidR="00957FF9" w:rsidRDefault="00671278">
      <w:pPr>
        <w:pStyle w:val="Nadpis2"/>
      </w:pPr>
      <w:r>
        <w:t>Článek X. (ujednání)</w:t>
      </w:r>
    </w:p>
    <w:p w:rsidR="00957FF9" w:rsidRDefault="00671278">
      <w:pPr>
        <w:pStyle w:val="Zkladntext"/>
        <w:spacing w:before="232"/>
        <w:ind w:left="155" w:right="114" w:firstLine="708"/>
        <w:jc w:val="both"/>
      </w:pPr>
      <w:r>
        <w:t>Tato smlouva je vyhotovena ve dvou vyhotoveních, z nichž každá strana obdrží jedno vyhotovení a vstupuje v platnost dnem uvedeným v čl. IX. této smlouvy a po podpisu obou s</w:t>
      </w:r>
      <w:r>
        <w:t>tran. Tato smlouva je zároveň dohodou o ukončení předchozí smlouvy o správě počítačové sítě mezi zákazníkem a dodavatelem, která zaniká ke dni, kdy vstupuje v platnost tato smlouva. Obě strany po přečtení smlouvy výslovně prohlašují, že smlouva odpovídá je</w:t>
      </w:r>
      <w:r>
        <w:t>jich pravé a svobodné vůli a na důkaz toho ji stvrzují vlastnoručními podpisy.</w:t>
      </w:r>
    </w:p>
    <w:p w:rsidR="00957FF9" w:rsidRDefault="00671278">
      <w:pPr>
        <w:pStyle w:val="Zkladntext"/>
        <w:spacing w:before="230"/>
        <w:ind w:left="155"/>
      </w:pPr>
      <w:r>
        <w:t>V Praze dne 20.3. 2024</w:t>
      </w:r>
    </w:p>
    <w:p w:rsidR="00957FF9" w:rsidRDefault="00957FF9">
      <w:pPr>
        <w:pStyle w:val="Zkladntext"/>
        <w:rPr>
          <w:sz w:val="20"/>
        </w:rPr>
      </w:pPr>
    </w:p>
    <w:p w:rsidR="00957FF9" w:rsidRDefault="00957FF9">
      <w:pPr>
        <w:pStyle w:val="Zkladntext"/>
        <w:rPr>
          <w:sz w:val="20"/>
        </w:rPr>
      </w:pPr>
    </w:p>
    <w:p w:rsidR="00957FF9" w:rsidRDefault="00957FF9">
      <w:pPr>
        <w:pStyle w:val="Zkladntext"/>
        <w:rPr>
          <w:sz w:val="20"/>
        </w:rPr>
      </w:pPr>
    </w:p>
    <w:p w:rsidR="00957FF9" w:rsidRDefault="00957FF9">
      <w:pPr>
        <w:pStyle w:val="Zkladntext"/>
        <w:rPr>
          <w:sz w:val="20"/>
        </w:rPr>
      </w:pPr>
    </w:p>
    <w:p w:rsidR="00957FF9" w:rsidRDefault="00671278">
      <w:pPr>
        <w:pStyle w:val="Zkladntext"/>
        <w:spacing w:before="6"/>
        <w:rPr>
          <w:sz w:val="18"/>
        </w:rPr>
      </w:pPr>
      <w:r>
        <w:rPr>
          <w:noProof/>
        </w:rPr>
        <mc:AlternateContent>
          <mc:Choice Requires="wps">
            <w:drawing>
              <wp:anchor distT="0" distB="0" distL="0" distR="0" simplePos="0" relativeHeight="251659264" behindDoc="1" locked="0" layoutInCell="1" allowOverlap="1">
                <wp:simplePos x="0" y="0"/>
                <wp:positionH relativeFrom="page">
                  <wp:posOffset>720090</wp:posOffset>
                </wp:positionH>
                <wp:positionV relativeFrom="paragraph">
                  <wp:posOffset>163830</wp:posOffset>
                </wp:positionV>
                <wp:extent cx="268478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4780" cy="1270"/>
                        </a:xfrm>
                        <a:custGeom>
                          <a:avLst/>
                          <a:gdLst>
                            <a:gd name="T0" fmla="+- 0 1134 1134"/>
                            <a:gd name="T1" fmla="*/ T0 w 4228"/>
                            <a:gd name="T2" fmla="+- 0 5362 1134"/>
                            <a:gd name="T3" fmla="*/ T2 w 4228"/>
                          </a:gdLst>
                          <a:ahLst/>
                          <a:cxnLst>
                            <a:cxn ang="0">
                              <a:pos x="T1" y="0"/>
                            </a:cxn>
                            <a:cxn ang="0">
                              <a:pos x="T3" y="0"/>
                            </a:cxn>
                          </a:cxnLst>
                          <a:rect l="0" t="0" r="r" b="b"/>
                          <a:pathLst>
                            <a:path w="4228">
                              <a:moveTo>
                                <a:pt x="0" y="0"/>
                              </a:moveTo>
                              <a:lnTo>
                                <a:pt x="422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BD662" id="Freeform 3" o:spid="_x0000_s1026" style="position:absolute;margin-left:56.7pt;margin-top:12.9pt;width:211.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jYBAMAAKQGAAAOAAAAZHJzL2Uyb0RvYy54bWysVW1v2jAQ/j5p/8Hyx000L4SXooaqIjBN&#10;6rZKZT/AOA6JltiebQjttP++s51QoJs0TcuHYOfOzz33nO+4uT00NdozpSvBUxxdhRgxTkVe8W2K&#10;v65XgylG2hCek1pwluInpvHt/O2bm1bOWCxKUedMIQDhetbKFJfGyFkQaFqyhugrIRkHYyFUQwxs&#10;1TbIFWkBvamDOAzHQStULpWgTGv4mnkjnjv8omDUfCkKzQyqUwzcjHsr997YdzC/IbOtIrKsaEeD&#10;/AOLhlQcgh6hMmII2qnqFVRTUSW0KMwVFU0giqKizOUA2UThRTaPJZHM5QLiaHmUSf8/WPp5/6BQ&#10;lad4iBEnDZRopRizgqOhVaeVegZOj/JB2fy0vBf0mwZDcGaxGw0+aNN+EjmgkJ0RTpFDoRp7EnJF&#10;Byf801F4djCIwsd4PE0mU6gPBVsUT1xdAjLrz9KdNh+YcDhkf6+NL1sOKyd63lFfA0TR1FDB9wMU&#10;oigaJu7VlfnoFvVu7wK0DlGLkjieXjrFvZPDGg3H8W+xQDcf0mLFJ1jAf9szJGVPmh54xxpWiNg2&#10;CZ1OUmirzxq49QIBAjjZDP/gC7Evff2ZLoSC+3958xVGcPM3PltJjGVmQ9glalPspLAfGrFna+FM&#10;5qJyEOTFWvNTL3f8lJU3wwkbAK6NX7iglutJZblYVXXtSltzS2U8HHlttKir3BotG622m0Wt0J7Y&#10;nnaPTQbAztyk0iYjuvR+zuRzVmLHcxelZCRfdmtDqtqvAah2osPt7LSx99R184/r8Ho5XU6TQRKP&#10;l4MkzLLB3WqRDMaraDLKhtlikUU/bT2jZFZWec64pd1Plij5u87tZpyfCcfZcpbemQor97xWITin&#10;4USCXPpfX4S+dX2vb0T+BG2shB+VMNphUQr1jFELYzLF+vuOKIZR/ZHDHLqOksTOVbdJRpMYNurU&#10;sjm1EE4BKsUGw823y4Xxs3gnVbUtIVLkeoGLOxgfRWX73M0Zz6rbwCh0GXRj287a073zevlzmf8C&#10;AAD//wMAUEsDBBQABgAIAAAAIQCkLjfL3gAAAAkBAAAPAAAAZHJzL2Rvd25yZXYueG1sTI/BTsMw&#10;EETvSPyDtUjcqNOURhDiVChST4iKFlSpNzdekqjxOrKdNvw9y6kcZ/ZpdqZYTbYXZ/Shc6RgPktA&#10;INXOdNQo+PpcPzyBCFGT0b0jVPCDAVbl7U2hc+MutMXzLjaCQyjkWkEb45BLGeoWrQ4zNyDx7dt5&#10;qyNL30jj9YXDbS/TJMmk1R3xh1YPWLVYn3ajVUBvshoPJ7nZ7n2Nz9V72Hysg1L3d9PrC4iIU7zC&#10;8Fefq0PJnY5uJBNEz3q+eGRUQbrkCQwsF1kK4shGloAsC/l/QfkLAAD//wMAUEsBAi0AFAAGAAgA&#10;AAAhALaDOJL+AAAA4QEAABMAAAAAAAAAAAAAAAAAAAAAAFtDb250ZW50X1R5cGVzXS54bWxQSwEC&#10;LQAUAAYACAAAACEAOP0h/9YAAACUAQAACwAAAAAAAAAAAAAAAAAvAQAAX3JlbHMvLnJlbHNQSwEC&#10;LQAUAAYACAAAACEA7IhY2AQDAACkBgAADgAAAAAAAAAAAAAAAAAuAgAAZHJzL2Uyb0RvYy54bWxQ&#10;SwECLQAUAAYACAAAACEApC43y94AAAAJAQAADwAAAAAAAAAAAAAAAABeBQAAZHJzL2Rvd25yZXYu&#10;eG1sUEsFBgAAAAAEAAQA8wAAAGkGAAAAAA==&#10;" path="m,l4228,e" filled="f" strokeweight=".5pt">
                <v:path arrowok="t" o:connecttype="custom" o:connectlocs="0,0;268478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3923030</wp:posOffset>
                </wp:positionH>
                <wp:positionV relativeFrom="paragraph">
                  <wp:posOffset>163830</wp:posOffset>
                </wp:positionV>
                <wp:extent cx="273812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8120" cy="1270"/>
                        </a:xfrm>
                        <a:custGeom>
                          <a:avLst/>
                          <a:gdLst>
                            <a:gd name="T0" fmla="+- 0 6178 6178"/>
                            <a:gd name="T1" fmla="*/ T0 w 4312"/>
                            <a:gd name="T2" fmla="+- 0 10490 6178"/>
                            <a:gd name="T3" fmla="*/ T2 w 4312"/>
                          </a:gdLst>
                          <a:ahLst/>
                          <a:cxnLst>
                            <a:cxn ang="0">
                              <a:pos x="T1" y="0"/>
                            </a:cxn>
                            <a:cxn ang="0">
                              <a:pos x="T3" y="0"/>
                            </a:cxn>
                          </a:cxnLst>
                          <a:rect l="0" t="0" r="r" b="b"/>
                          <a:pathLst>
                            <a:path w="4312">
                              <a:moveTo>
                                <a:pt x="0" y="0"/>
                              </a:moveTo>
                              <a:lnTo>
                                <a:pt x="4312"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58D2E" id="Freeform 2" o:spid="_x0000_s1026" style="position:absolute;margin-left:308.9pt;margin-top:12.9pt;width:215.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rpBgMAAKUGAAAOAAAAZHJzL2Uyb0RvYy54bWysVW1v0zAQ/o7Ef7D8EdTlpVnftHSamhUh&#10;DZi08gNc22kiEjvYbtOB+O+c7aRLOyEhRD6kdu783HPP+a43t8e6QgeudClFiqOrECMuqGSl2KX4&#10;62Y9mmGkDRGMVFLwFD9zjW+Xb9/ctM2Cx7KQFeMKAYjQi7ZJcWFMswgCTQteE30lGy7AmEtVEwNb&#10;tQuYIi2g11UQh+EkaKVijZKUaw1fM2/ES4ef55yaL3muuUFVioGbcW/l3lv7DpY3ZLFTpClK2tEg&#10;/8CiJqWAoCeojBiC9qp8BVWXVEktc3NFZR3IPC8pdzlANlF4kc1TQRrucgFxdHOSSf8/WPr58KhQ&#10;yVIcYyRIDSVaK86t4Ci26rSNXoDTU/OobH66eZD0mwZDcGaxGw0+aNt+kgxQyN5Ip8gxV7U9Cbmi&#10;oxP++SQ8PxpE4WM8Hc+iGOpDwRbFU1eXgCz6s3SvzQcuHQ45PGjjy8Zg5URnHfUNQOR1BRV8P0Ih&#10;mkTTmXt1ZT65Rb3buwBtQtSiZBy5bKGAJycQZIAVhcncI16CjXs/CxYPwCCBXU+RFD1rehQdbVgh&#10;YvskdEI1UluBNkCuVwgQwMmm+AdfiH3p6890IRQ0wOXVVxjB1d/6NBpiLDMbwi5Rm2Knhf1QywPf&#10;SGcyF6WDIC/WSgy93PEhK2+GEzYA3Bu/cEEt10FphVyXVeVqWwlLZTK+9tpoWZXMGi0brXbbVaXQ&#10;gdimdo9NBsDO3BqlTUZ04f2cyees5F4wF6XghN13a0PKyq8BqHKiw/XstLEX1bXzz3k4v5/dz5JR&#10;Ek/uR0mYZaO79SoZTdbR9DobZ6tVFv2y9YySRVEyxoWl3Y+WKPm71u2GnB8Kp+Fylt6ZCmv3vFYh&#10;OKfhRIJc+l9fhL53fbNvJXuGPlbSz0qY7bAopPqBUQtzMsX6+54ojlH1UcAgmkdJYger2yTXU9vF&#10;amjZDi1EUIBKscFw8+1yZfww3jeq3BUQKXK9IOQdzI+8tI3uBo1n1W1gFroMurlth+1w77xe/l2W&#10;vwEAAP//AwBQSwMEFAAGAAgAAAAhAGs47q7eAAAACgEAAA8AAABkcnMvZG93bnJldi54bWxMj81O&#10;wzAQhO9IvIO1SNyonRYChDgVKuLCBbXkAbaxiQOxHWznh7dneyqn1e6MZr8pt4vt2aRD7LyTkK0E&#10;MO0arzrXSqg/Xm8egMWETmHvnZbwqyNsq8uLEgvlZ7fX0yG1jEJcLFCCSWkoOI+N0Rbjyg/akfbp&#10;g8VEa2i5CjhTuO35WoicW+wcfTA46J3RzfdhtBL2b3MtNlkTps2I77sf88Xb+kXK66vl+QlY0ks6&#10;m+GET+hQEdPRj05F1kvIs3tCTxLWdzRPBnH7SO2OdMkF8Krk/ytUfwAAAP//AwBQSwECLQAUAAYA&#10;CAAAACEAtoM4kv4AAADhAQAAEwAAAAAAAAAAAAAAAAAAAAAAW0NvbnRlbnRfVHlwZXNdLnhtbFBL&#10;AQItABQABgAIAAAAIQA4/SH/1gAAAJQBAAALAAAAAAAAAAAAAAAAAC8BAABfcmVscy8ucmVsc1BL&#10;AQItABQABgAIAAAAIQATmdrpBgMAAKUGAAAOAAAAAAAAAAAAAAAAAC4CAABkcnMvZTJvRG9jLnht&#10;bFBLAQItABQABgAIAAAAIQBrOO6u3gAAAAoBAAAPAAAAAAAAAAAAAAAAAGAFAABkcnMvZG93bnJl&#10;di54bWxQSwUGAAAAAAQABADzAAAAawYAAAAA&#10;" path="m,l4312,e" filled="f" strokeweight=".5pt">
                <v:path arrowok="t" o:connecttype="custom" o:connectlocs="0,0;2738120,0" o:connectangles="0,0"/>
                <w10:wrap type="topAndBottom" anchorx="page"/>
              </v:shape>
            </w:pict>
          </mc:Fallback>
        </mc:AlternateContent>
      </w:r>
    </w:p>
    <w:sectPr w:rsidR="00957FF9">
      <w:pgSz w:w="11910" w:h="16840"/>
      <w:pgMar w:top="1340" w:right="1300" w:bottom="1280" w:left="980" w:header="0" w:footer="10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71278">
      <w:r>
        <w:separator/>
      </w:r>
    </w:p>
  </w:endnote>
  <w:endnote w:type="continuationSeparator" w:id="0">
    <w:p w:rsidR="00000000" w:rsidRDefault="0067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erif">
    <w:altName w:val="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OpenSymbol">
    <w:altName w:val="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FF9" w:rsidRDefault="00671278">
    <w:pPr>
      <w:pStyle w:val="Zkladn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3474720</wp:posOffset>
              </wp:positionH>
              <wp:positionV relativeFrom="page">
                <wp:posOffset>9855200</wp:posOffset>
              </wp:positionV>
              <wp:extent cx="434340"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FF9" w:rsidRDefault="00671278">
                          <w:pPr>
                            <w:spacing w:before="11"/>
                            <w:ind w:left="20"/>
                            <w:rPr>
                              <w:sz w:val="20"/>
                            </w:rPr>
                          </w:pPr>
                          <w:r>
                            <w:rPr>
                              <w:sz w:val="20"/>
                            </w:rPr>
                            <w:t xml:space="preserve">str. </w:t>
                          </w:r>
                          <w:r>
                            <w:fldChar w:fldCharType="begin"/>
                          </w:r>
                          <w:r>
                            <w:rPr>
                              <w:sz w:val="20"/>
                            </w:rPr>
                            <w:instrText xml:space="preserve"> PAGE </w:instrText>
                          </w:r>
                          <w:r>
                            <w:fldChar w:fldCharType="separate"/>
                          </w:r>
                          <w:r>
                            <w:t>1</w:t>
                          </w:r>
                          <w:r>
                            <w:fldChar w:fldCharType="end"/>
                          </w:r>
                          <w:r>
                            <w:rPr>
                              <w:sz w:val="20"/>
                            </w:rPr>
                            <w:t xml:space="preserve"> /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3.6pt;margin-top:776pt;width:34.2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UoqwIAAKgFAAAOAAAAZHJzL2Uyb0RvYy54bWysVG1vmzAQ/j5p/8HydwqkhARUUrUhTJO6&#10;F6ndD3DABGvGZrYT6Kb9951NSZNWk6ZtIKGzfX7unruHu7oeWo4OVGkmRYbDiwAjKkpZMbHL8JeH&#10;wltipA0RFeFS0Aw/Uo2vV2/fXPVdSmeykbyiCgGI0GnfZbgxpkt9X5cNbYm+kB0VcFhL1RIDS7Xz&#10;K0V6QG+5PwuC2O+lqjolS6o17ObjIV45/LqmpflU15oaxDMMuRn3Ve67tV9/dUXSnSJdw8qnNMhf&#10;ZNESJiDoESonhqC9Yq+gWlYqqWVtLkrZ+rKuWUkdB2ATBi/Y3Deko44LFEd3xzLp/wdbfjx8VohV&#10;0DuMBGmhRQ90MOhWDii01ek7nYLTfQduZoBt62mZ6u5Oll81EnLdELGjN0rJvqGkguzcTf/k6oij&#10;Lci2/yArCEP2RjqgoVatBYRiIECHLj0eO2NTKWEzuoQXTko4CuP4cuE655N0utwpbd5R2SJrZFhB&#10;4x04OdxpAzTAdXKxsYQsGOeu+VycbYDjuAOh4ao9s0m4Xv5IgmSz3CwjL5rFGy8K8ty7KdaRFxfh&#10;Yp5f5ut1Hv60ccMobVhVUWHDTLoKoz/r25PCR0UclaUlZ5WFsylptduuuUIHArou3GObBcmfuPnn&#10;abhj4PKCUjiLgttZ4hXxcuFFRTT3kkWw9IIwuU3iIEqivDindMcE/XdKqM9wMp/NRy39llvgntfc&#10;SNoyA5ODszbDy6MTSa0CN6JyrTWE8dE+KYVN/7kUULGp0U6vVqKjWM2wHQDFingrq0dQrpKgLBAh&#10;jDswGqm+Y9TD6Miw/rYnimLE3wtQv50zk6EmYzsZRJRwNcMGo9Fcm3Ee7TvFdg0gj/+XkDfwh9TM&#10;qfc5C0jdLmAcOBJPo8vOm9O183oesKtfAAAA//8DAFBLAwQUAAYACAAAACEApuqcIuEAAAANAQAA&#10;DwAAAGRycy9kb3ducmV2LnhtbEyPQU+DQBCF7yb+h82YeLNLidCKLE1j9GRipHjwuMAUNmVnkd22&#10;+O+dnupx3vvy5r18M9tBnHDyxpGC5SICgdS41lCn4Kt6e1iD8EFTqwdHqOAXPWyK25tcZ607U4mn&#10;XegEh5DPtII+hDGT0jc9Wu0XbkRib+8mqwOfUyfbSZ853A4yjqJUWm2IP/R6xJcem8PuaBVsv6l8&#10;NT8f9We5L01VPUX0nh6Uur+bt88gAs7hCsOlPleHgjvV7kitF4OC5HEVM8pGksS8ipF0maQg6ou0&#10;Wscgi1z+X1H8AQAA//8DAFBLAQItABQABgAIAAAAIQC2gziS/gAAAOEBAAATAAAAAAAAAAAAAAAA&#10;AAAAAABbQ29udGVudF9UeXBlc10ueG1sUEsBAi0AFAAGAAgAAAAhADj9If/WAAAAlAEAAAsAAAAA&#10;AAAAAAAAAAAALwEAAF9yZWxzLy5yZWxzUEsBAi0AFAAGAAgAAAAhAPHmlSirAgAAqAUAAA4AAAAA&#10;AAAAAAAAAAAALgIAAGRycy9lMm9Eb2MueG1sUEsBAi0AFAAGAAgAAAAhAKbqnCLhAAAADQEAAA8A&#10;AAAAAAAAAAAAAAAABQUAAGRycy9kb3ducmV2LnhtbFBLBQYAAAAABAAEAPMAAAATBgAAAAA=&#10;" filled="f" stroked="f">
              <v:textbox inset="0,0,0,0">
                <w:txbxContent>
                  <w:p w:rsidR="00957FF9" w:rsidRDefault="00671278">
                    <w:pPr>
                      <w:spacing w:before="11"/>
                      <w:ind w:left="20"/>
                      <w:rPr>
                        <w:sz w:val="20"/>
                      </w:rPr>
                    </w:pPr>
                    <w:r>
                      <w:rPr>
                        <w:sz w:val="20"/>
                      </w:rPr>
                      <w:t xml:space="preserve">str. </w:t>
                    </w:r>
                    <w:r>
                      <w:fldChar w:fldCharType="begin"/>
                    </w:r>
                    <w:r>
                      <w:rPr>
                        <w:sz w:val="20"/>
                      </w:rPr>
                      <w:instrText xml:space="preserve"> PAGE </w:instrText>
                    </w:r>
                    <w:r>
                      <w:fldChar w:fldCharType="separate"/>
                    </w:r>
                    <w:r>
                      <w:t>1</w:t>
                    </w:r>
                    <w:r>
                      <w:fldChar w:fldCharType="end"/>
                    </w:r>
                    <w:r>
                      <w:rPr>
                        <w:sz w:val="20"/>
                      </w:rPr>
                      <w:t xml:space="preserve"> /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71278">
      <w:r>
        <w:separator/>
      </w:r>
    </w:p>
  </w:footnote>
  <w:footnote w:type="continuationSeparator" w:id="0">
    <w:p w:rsidR="00000000" w:rsidRDefault="00671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77767"/>
    <w:multiLevelType w:val="hybridMultilevel"/>
    <w:tmpl w:val="E1921AEE"/>
    <w:lvl w:ilvl="0" w:tplc="7F5A3E48">
      <w:numFmt w:val="bullet"/>
      <w:lvlText w:val="•"/>
      <w:lvlJc w:val="left"/>
      <w:pPr>
        <w:ind w:left="876" w:hanging="360"/>
      </w:pPr>
      <w:rPr>
        <w:rFonts w:hint="default"/>
        <w:spacing w:val="-30"/>
        <w:w w:val="100"/>
        <w:lang w:val="en-US" w:eastAsia="en-US" w:bidi="en-US"/>
      </w:rPr>
    </w:lvl>
    <w:lvl w:ilvl="1" w:tplc="B6AEC262">
      <w:numFmt w:val="bullet"/>
      <w:lvlText w:val="•"/>
      <w:lvlJc w:val="left"/>
      <w:pPr>
        <w:ind w:left="1754" w:hanging="360"/>
      </w:pPr>
      <w:rPr>
        <w:rFonts w:hint="default"/>
        <w:lang w:val="en-US" w:eastAsia="en-US" w:bidi="en-US"/>
      </w:rPr>
    </w:lvl>
    <w:lvl w:ilvl="2" w:tplc="B3B60362">
      <w:numFmt w:val="bullet"/>
      <w:lvlText w:val="•"/>
      <w:lvlJc w:val="left"/>
      <w:pPr>
        <w:ind w:left="2629" w:hanging="360"/>
      </w:pPr>
      <w:rPr>
        <w:rFonts w:hint="default"/>
        <w:lang w:val="en-US" w:eastAsia="en-US" w:bidi="en-US"/>
      </w:rPr>
    </w:lvl>
    <w:lvl w:ilvl="3" w:tplc="048A608C">
      <w:numFmt w:val="bullet"/>
      <w:lvlText w:val="•"/>
      <w:lvlJc w:val="left"/>
      <w:pPr>
        <w:ind w:left="3503" w:hanging="360"/>
      </w:pPr>
      <w:rPr>
        <w:rFonts w:hint="default"/>
        <w:lang w:val="en-US" w:eastAsia="en-US" w:bidi="en-US"/>
      </w:rPr>
    </w:lvl>
    <w:lvl w:ilvl="4" w:tplc="5DDE87EA">
      <w:numFmt w:val="bullet"/>
      <w:lvlText w:val="•"/>
      <w:lvlJc w:val="left"/>
      <w:pPr>
        <w:ind w:left="4378" w:hanging="360"/>
      </w:pPr>
      <w:rPr>
        <w:rFonts w:hint="default"/>
        <w:lang w:val="en-US" w:eastAsia="en-US" w:bidi="en-US"/>
      </w:rPr>
    </w:lvl>
    <w:lvl w:ilvl="5" w:tplc="B7E429BA">
      <w:numFmt w:val="bullet"/>
      <w:lvlText w:val="•"/>
      <w:lvlJc w:val="left"/>
      <w:pPr>
        <w:ind w:left="5253" w:hanging="360"/>
      </w:pPr>
      <w:rPr>
        <w:rFonts w:hint="default"/>
        <w:lang w:val="en-US" w:eastAsia="en-US" w:bidi="en-US"/>
      </w:rPr>
    </w:lvl>
    <w:lvl w:ilvl="6" w:tplc="0B9CBDB2">
      <w:numFmt w:val="bullet"/>
      <w:lvlText w:val="•"/>
      <w:lvlJc w:val="left"/>
      <w:pPr>
        <w:ind w:left="6127" w:hanging="360"/>
      </w:pPr>
      <w:rPr>
        <w:rFonts w:hint="default"/>
        <w:lang w:val="en-US" w:eastAsia="en-US" w:bidi="en-US"/>
      </w:rPr>
    </w:lvl>
    <w:lvl w:ilvl="7" w:tplc="E2987CDA">
      <w:numFmt w:val="bullet"/>
      <w:lvlText w:val="•"/>
      <w:lvlJc w:val="left"/>
      <w:pPr>
        <w:ind w:left="7002" w:hanging="360"/>
      </w:pPr>
      <w:rPr>
        <w:rFonts w:hint="default"/>
        <w:lang w:val="en-US" w:eastAsia="en-US" w:bidi="en-US"/>
      </w:rPr>
    </w:lvl>
    <w:lvl w:ilvl="8" w:tplc="263645BC">
      <w:numFmt w:val="bullet"/>
      <w:lvlText w:val="•"/>
      <w:lvlJc w:val="left"/>
      <w:pPr>
        <w:ind w:left="7876" w:hanging="360"/>
      </w:pPr>
      <w:rPr>
        <w:rFonts w:hint="default"/>
        <w:lang w:val="en-US" w:eastAsia="en-US" w:bidi="en-US"/>
      </w:rPr>
    </w:lvl>
  </w:abstractNum>
  <w:abstractNum w:abstractNumId="1" w15:restartNumberingAfterBreak="0">
    <w:nsid w:val="4E7B78AA"/>
    <w:multiLevelType w:val="hybridMultilevel"/>
    <w:tmpl w:val="DBBA186C"/>
    <w:lvl w:ilvl="0" w:tplc="463E42BA">
      <w:start w:val="1"/>
      <w:numFmt w:val="decimal"/>
      <w:lvlText w:val="%1."/>
      <w:lvlJc w:val="left"/>
      <w:pPr>
        <w:ind w:left="876" w:hanging="360"/>
        <w:jc w:val="left"/>
      </w:pPr>
      <w:rPr>
        <w:rFonts w:ascii="Liberation Serif" w:eastAsia="Liberation Serif" w:hAnsi="Liberation Serif" w:cs="Liberation Serif" w:hint="default"/>
        <w:spacing w:val="-27"/>
        <w:w w:val="100"/>
        <w:sz w:val="20"/>
        <w:szCs w:val="20"/>
        <w:lang w:val="en-US" w:eastAsia="en-US" w:bidi="en-US"/>
      </w:rPr>
    </w:lvl>
    <w:lvl w:ilvl="1" w:tplc="42426194">
      <w:numFmt w:val="bullet"/>
      <w:lvlText w:val="•"/>
      <w:lvlJc w:val="left"/>
      <w:pPr>
        <w:ind w:left="1754" w:hanging="360"/>
      </w:pPr>
      <w:rPr>
        <w:rFonts w:hint="default"/>
        <w:lang w:val="en-US" w:eastAsia="en-US" w:bidi="en-US"/>
      </w:rPr>
    </w:lvl>
    <w:lvl w:ilvl="2" w:tplc="F164368E">
      <w:numFmt w:val="bullet"/>
      <w:lvlText w:val="•"/>
      <w:lvlJc w:val="left"/>
      <w:pPr>
        <w:ind w:left="2629" w:hanging="360"/>
      </w:pPr>
      <w:rPr>
        <w:rFonts w:hint="default"/>
        <w:lang w:val="en-US" w:eastAsia="en-US" w:bidi="en-US"/>
      </w:rPr>
    </w:lvl>
    <w:lvl w:ilvl="3" w:tplc="5CD82A6C">
      <w:numFmt w:val="bullet"/>
      <w:lvlText w:val="•"/>
      <w:lvlJc w:val="left"/>
      <w:pPr>
        <w:ind w:left="3503" w:hanging="360"/>
      </w:pPr>
      <w:rPr>
        <w:rFonts w:hint="default"/>
        <w:lang w:val="en-US" w:eastAsia="en-US" w:bidi="en-US"/>
      </w:rPr>
    </w:lvl>
    <w:lvl w:ilvl="4" w:tplc="C3C01B18">
      <w:numFmt w:val="bullet"/>
      <w:lvlText w:val="•"/>
      <w:lvlJc w:val="left"/>
      <w:pPr>
        <w:ind w:left="4378" w:hanging="360"/>
      </w:pPr>
      <w:rPr>
        <w:rFonts w:hint="default"/>
        <w:lang w:val="en-US" w:eastAsia="en-US" w:bidi="en-US"/>
      </w:rPr>
    </w:lvl>
    <w:lvl w:ilvl="5" w:tplc="DAA0EF7A">
      <w:numFmt w:val="bullet"/>
      <w:lvlText w:val="•"/>
      <w:lvlJc w:val="left"/>
      <w:pPr>
        <w:ind w:left="5253" w:hanging="360"/>
      </w:pPr>
      <w:rPr>
        <w:rFonts w:hint="default"/>
        <w:lang w:val="en-US" w:eastAsia="en-US" w:bidi="en-US"/>
      </w:rPr>
    </w:lvl>
    <w:lvl w:ilvl="6" w:tplc="9F309D20">
      <w:numFmt w:val="bullet"/>
      <w:lvlText w:val="•"/>
      <w:lvlJc w:val="left"/>
      <w:pPr>
        <w:ind w:left="6127" w:hanging="360"/>
      </w:pPr>
      <w:rPr>
        <w:rFonts w:hint="default"/>
        <w:lang w:val="en-US" w:eastAsia="en-US" w:bidi="en-US"/>
      </w:rPr>
    </w:lvl>
    <w:lvl w:ilvl="7" w:tplc="55C2633E">
      <w:numFmt w:val="bullet"/>
      <w:lvlText w:val="•"/>
      <w:lvlJc w:val="left"/>
      <w:pPr>
        <w:ind w:left="7002" w:hanging="360"/>
      </w:pPr>
      <w:rPr>
        <w:rFonts w:hint="default"/>
        <w:lang w:val="en-US" w:eastAsia="en-US" w:bidi="en-US"/>
      </w:rPr>
    </w:lvl>
    <w:lvl w:ilvl="8" w:tplc="9C920CD0">
      <w:numFmt w:val="bullet"/>
      <w:lvlText w:val="•"/>
      <w:lvlJc w:val="left"/>
      <w:pPr>
        <w:ind w:left="7876" w:hanging="360"/>
      </w:pPr>
      <w:rPr>
        <w:rFonts w:hint="default"/>
        <w:lang w:val="en-US" w:eastAsia="en-US" w:bidi="en-US"/>
      </w:rPr>
    </w:lvl>
  </w:abstractNum>
  <w:abstractNum w:abstractNumId="2" w15:restartNumberingAfterBreak="0">
    <w:nsid w:val="629E0164"/>
    <w:multiLevelType w:val="hybridMultilevel"/>
    <w:tmpl w:val="2A72C910"/>
    <w:lvl w:ilvl="0" w:tplc="EC10C5AE">
      <w:start w:val="1"/>
      <w:numFmt w:val="decimal"/>
      <w:lvlText w:val="%1."/>
      <w:lvlJc w:val="left"/>
      <w:pPr>
        <w:ind w:left="876" w:hanging="360"/>
        <w:jc w:val="left"/>
      </w:pPr>
      <w:rPr>
        <w:rFonts w:ascii="Liberation Serif" w:eastAsia="Liberation Serif" w:hAnsi="Liberation Serif" w:cs="Liberation Serif" w:hint="default"/>
        <w:spacing w:val="-28"/>
        <w:w w:val="100"/>
        <w:sz w:val="20"/>
        <w:szCs w:val="20"/>
        <w:lang w:val="en-US" w:eastAsia="en-US" w:bidi="en-US"/>
      </w:rPr>
    </w:lvl>
    <w:lvl w:ilvl="1" w:tplc="5F2ED878">
      <w:numFmt w:val="bullet"/>
      <w:lvlText w:val="•"/>
      <w:lvlJc w:val="left"/>
      <w:pPr>
        <w:ind w:left="1754" w:hanging="360"/>
      </w:pPr>
      <w:rPr>
        <w:rFonts w:hint="default"/>
        <w:lang w:val="en-US" w:eastAsia="en-US" w:bidi="en-US"/>
      </w:rPr>
    </w:lvl>
    <w:lvl w:ilvl="2" w:tplc="33164C2A">
      <w:numFmt w:val="bullet"/>
      <w:lvlText w:val="•"/>
      <w:lvlJc w:val="left"/>
      <w:pPr>
        <w:ind w:left="2629" w:hanging="360"/>
      </w:pPr>
      <w:rPr>
        <w:rFonts w:hint="default"/>
        <w:lang w:val="en-US" w:eastAsia="en-US" w:bidi="en-US"/>
      </w:rPr>
    </w:lvl>
    <w:lvl w:ilvl="3" w:tplc="6A20CDD6">
      <w:numFmt w:val="bullet"/>
      <w:lvlText w:val="•"/>
      <w:lvlJc w:val="left"/>
      <w:pPr>
        <w:ind w:left="3503" w:hanging="360"/>
      </w:pPr>
      <w:rPr>
        <w:rFonts w:hint="default"/>
        <w:lang w:val="en-US" w:eastAsia="en-US" w:bidi="en-US"/>
      </w:rPr>
    </w:lvl>
    <w:lvl w:ilvl="4" w:tplc="428C49EA">
      <w:numFmt w:val="bullet"/>
      <w:lvlText w:val="•"/>
      <w:lvlJc w:val="left"/>
      <w:pPr>
        <w:ind w:left="4378" w:hanging="360"/>
      </w:pPr>
      <w:rPr>
        <w:rFonts w:hint="default"/>
        <w:lang w:val="en-US" w:eastAsia="en-US" w:bidi="en-US"/>
      </w:rPr>
    </w:lvl>
    <w:lvl w:ilvl="5" w:tplc="1DFCB2CA">
      <w:numFmt w:val="bullet"/>
      <w:lvlText w:val="•"/>
      <w:lvlJc w:val="left"/>
      <w:pPr>
        <w:ind w:left="5253" w:hanging="360"/>
      </w:pPr>
      <w:rPr>
        <w:rFonts w:hint="default"/>
        <w:lang w:val="en-US" w:eastAsia="en-US" w:bidi="en-US"/>
      </w:rPr>
    </w:lvl>
    <w:lvl w:ilvl="6" w:tplc="7032CBC0">
      <w:numFmt w:val="bullet"/>
      <w:lvlText w:val="•"/>
      <w:lvlJc w:val="left"/>
      <w:pPr>
        <w:ind w:left="6127" w:hanging="360"/>
      </w:pPr>
      <w:rPr>
        <w:rFonts w:hint="default"/>
        <w:lang w:val="en-US" w:eastAsia="en-US" w:bidi="en-US"/>
      </w:rPr>
    </w:lvl>
    <w:lvl w:ilvl="7" w:tplc="1830577A">
      <w:numFmt w:val="bullet"/>
      <w:lvlText w:val="•"/>
      <w:lvlJc w:val="left"/>
      <w:pPr>
        <w:ind w:left="7002" w:hanging="360"/>
      </w:pPr>
      <w:rPr>
        <w:rFonts w:hint="default"/>
        <w:lang w:val="en-US" w:eastAsia="en-US" w:bidi="en-US"/>
      </w:rPr>
    </w:lvl>
    <w:lvl w:ilvl="8" w:tplc="7A58F5E6">
      <w:numFmt w:val="bullet"/>
      <w:lvlText w:val="•"/>
      <w:lvlJc w:val="left"/>
      <w:pPr>
        <w:ind w:left="7876" w:hanging="360"/>
      </w:pPr>
      <w:rPr>
        <w:rFonts w:hint="default"/>
        <w:lang w:val="en-US" w:eastAsia="en-US" w:bidi="en-US"/>
      </w:rPr>
    </w:lvl>
  </w:abstractNum>
  <w:abstractNum w:abstractNumId="3" w15:restartNumberingAfterBreak="0">
    <w:nsid w:val="6A132F0B"/>
    <w:multiLevelType w:val="hybridMultilevel"/>
    <w:tmpl w:val="E220860A"/>
    <w:lvl w:ilvl="0" w:tplc="95D486E6">
      <w:start w:val="1"/>
      <w:numFmt w:val="lowerLetter"/>
      <w:lvlText w:val="%1)"/>
      <w:lvlJc w:val="left"/>
      <w:pPr>
        <w:ind w:left="894" w:hanging="340"/>
        <w:jc w:val="left"/>
      </w:pPr>
      <w:rPr>
        <w:rFonts w:ascii="Liberation Serif" w:eastAsia="Liberation Serif" w:hAnsi="Liberation Serif" w:cs="Liberation Serif" w:hint="default"/>
        <w:spacing w:val="-26"/>
        <w:w w:val="100"/>
        <w:sz w:val="24"/>
        <w:szCs w:val="24"/>
        <w:lang w:val="en-US" w:eastAsia="en-US" w:bidi="en-US"/>
      </w:rPr>
    </w:lvl>
    <w:lvl w:ilvl="1" w:tplc="9F10D728">
      <w:numFmt w:val="bullet"/>
      <w:lvlText w:val="•"/>
      <w:lvlJc w:val="left"/>
      <w:pPr>
        <w:ind w:left="1772" w:hanging="340"/>
      </w:pPr>
      <w:rPr>
        <w:rFonts w:hint="default"/>
        <w:lang w:val="en-US" w:eastAsia="en-US" w:bidi="en-US"/>
      </w:rPr>
    </w:lvl>
    <w:lvl w:ilvl="2" w:tplc="C442B35E">
      <w:numFmt w:val="bullet"/>
      <w:lvlText w:val="•"/>
      <w:lvlJc w:val="left"/>
      <w:pPr>
        <w:ind w:left="2645" w:hanging="340"/>
      </w:pPr>
      <w:rPr>
        <w:rFonts w:hint="default"/>
        <w:lang w:val="en-US" w:eastAsia="en-US" w:bidi="en-US"/>
      </w:rPr>
    </w:lvl>
    <w:lvl w:ilvl="3" w:tplc="9A52D09C">
      <w:numFmt w:val="bullet"/>
      <w:lvlText w:val="•"/>
      <w:lvlJc w:val="left"/>
      <w:pPr>
        <w:ind w:left="3517" w:hanging="340"/>
      </w:pPr>
      <w:rPr>
        <w:rFonts w:hint="default"/>
        <w:lang w:val="en-US" w:eastAsia="en-US" w:bidi="en-US"/>
      </w:rPr>
    </w:lvl>
    <w:lvl w:ilvl="4" w:tplc="9822B422">
      <w:numFmt w:val="bullet"/>
      <w:lvlText w:val="•"/>
      <w:lvlJc w:val="left"/>
      <w:pPr>
        <w:ind w:left="4390" w:hanging="340"/>
      </w:pPr>
      <w:rPr>
        <w:rFonts w:hint="default"/>
        <w:lang w:val="en-US" w:eastAsia="en-US" w:bidi="en-US"/>
      </w:rPr>
    </w:lvl>
    <w:lvl w:ilvl="5" w:tplc="26EC7C8C">
      <w:numFmt w:val="bullet"/>
      <w:lvlText w:val="•"/>
      <w:lvlJc w:val="left"/>
      <w:pPr>
        <w:ind w:left="5263" w:hanging="340"/>
      </w:pPr>
      <w:rPr>
        <w:rFonts w:hint="default"/>
        <w:lang w:val="en-US" w:eastAsia="en-US" w:bidi="en-US"/>
      </w:rPr>
    </w:lvl>
    <w:lvl w:ilvl="6" w:tplc="7666B4D2">
      <w:numFmt w:val="bullet"/>
      <w:lvlText w:val="•"/>
      <w:lvlJc w:val="left"/>
      <w:pPr>
        <w:ind w:left="6135" w:hanging="340"/>
      </w:pPr>
      <w:rPr>
        <w:rFonts w:hint="default"/>
        <w:lang w:val="en-US" w:eastAsia="en-US" w:bidi="en-US"/>
      </w:rPr>
    </w:lvl>
    <w:lvl w:ilvl="7" w:tplc="4BCAEE80">
      <w:numFmt w:val="bullet"/>
      <w:lvlText w:val="•"/>
      <w:lvlJc w:val="left"/>
      <w:pPr>
        <w:ind w:left="7008" w:hanging="340"/>
      </w:pPr>
      <w:rPr>
        <w:rFonts w:hint="default"/>
        <w:lang w:val="en-US" w:eastAsia="en-US" w:bidi="en-US"/>
      </w:rPr>
    </w:lvl>
    <w:lvl w:ilvl="8" w:tplc="6EAAFAA4">
      <w:numFmt w:val="bullet"/>
      <w:lvlText w:val="•"/>
      <w:lvlJc w:val="left"/>
      <w:pPr>
        <w:ind w:left="7880" w:hanging="340"/>
      </w:pPr>
      <w:rPr>
        <w:rFonts w:hint="default"/>
        <w:lang w:val="en-US" w:eastAsia="en-US" w:bidi="en-U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F9"/>
    <w:rsid w:val="00671278"/>
    <w:rsid w:val="00957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B615BA8-4892-4EA4-834D-CC43DEFD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Liberation Serif" w:eastAsia="Liberation Serif" w:hAnsi="Liberation Serif" w:cs="Liberation Serif"/>
      <w:lang w:bidi="en-US"/>
    </w:rPr>
  </w:style>
  <w:style w:type="paragraph" w:styleId="Nadpis1">
    <w:name w:val="heading 1"/>
    <w:basedOn w:val="Normln"/>
    <w:uiPriority w:val="9"/>
    <w:qFormat/>
    <w:pPr>
      <w:ind w:left="155"/>
      <w:outlineLvl w:val="0"/>
    </w:pPr>
    <w:rPr>
      <w:i/>
      <w:sz w:val="28"/>
      <w:szCs w:val="28"/>
    </w:rPr>
  </w:style>
  <w:style w:type="paragraph" w:styleId="Nadpis2">
    <w:name w:val="heading 2"/>
    <w:basedOn w:val="Normln"/>
    <w:uiPriority w:val="9"/>
    <w:unhideWhenUsed/>
    <w:qFormat/>
    <w:pPr>
      <w:ind w:left="620" w:right="580"/>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876" w:right="115" w:hanging="360"/>
      <w:jc w:val="both"/>
    </w:pPr>
  </w:style>
  <w:style w:type="paragraph" w:customStyle="1" w:styleId="TableParagraph">
    <w:name w:val="Table Paragraph"/>
    <w:basedOn w:val="Normln"/>
    <w:uiPriority w:val="1"/>
    <w:qFormat/>
    <w:pPr>
      <w:spacing w:before="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2371</Words>
  <Characters>13995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ZS a MS Gen. Fr. Fajtla</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dc:creator>
  <cp:lastModifiedBy>Michaela Demartini</cp:lastModifiedBy>
  <cp:revision>2</cp:revision>
  <dcterms:created xsi:type="dcterms:W3CDTF">2024-04-19T12:13:00Z</dcterms:created>
  <dcterms:modified xsi:type="dcterms:W3CDTF">2024-04-19T12:13:00Z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2024-03-22T00:00:00Z</vt:filetime>
  </property>
  <property fmtid="{D5CDD505-2E9C-101B-9397-08002B2CF9AE}" pid="3" name="Creator">
    <vt:lpwstr>Writer</vt:lpwstr>
  </property>
  <property fmtid="{D5CDD505-2E9C-101B-9397-08002B2CF9AE}" pid="4" name="LastSaved">
    <vt:filetime>2024-03-22T00:00:00Z</vt:filetime>
  </property>
</Properties>
</file>