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FCC0" w14:textId="77777777" w:rsidR="00110FD0" w:rsidRPr="00ED5505" w:rsidRDefault="006C3C56">
      <w:pPr>
        <w:spacing w:before="72"/>
        <w:ind w:left="3123" w:right="2951"/>
        <w:jc w:val="center"/>
        <w:rPr>
          <w:b/>
          <w:sz w:val="19"/>
          <w:lang w:val="cs-CZ"/>
        </w:rPr>
      </w:pPr>
      <w:proofErr w:type="gramStart"/>
      <w:r w:rsidRPr="00ED5505">
        <w:rPr>
          <w:b/>
          <w:color w:val="0F0F0F"/>
          <w:sz w:val="19"/>
          <w:lang w:val="cs-CZ"/>
        </w:rPr>
        <w:t xml:space="preserve">DODATEK  </w:t>
      </w:r>
      <w:r w:rsidRPr="00ED5505">
        <w:rPr>
          <w:b/>
          <w:color w:val="0F0F0F"/>
          <w:sz w:val="20"/>
          <w:lang w:val="cs-CZ"/>
        </w:rPr>
        <w:t>č.</w:t>
      </w:r>
      <w:proofErr w:type="gramEnd"/>
      <w:r w:rsidRPr="00ED5505">
        <w:rPr>
          <w:b/>
          <w:color w:val="0F0F0F"/>
          <w:sz w:val="20"/>
          <w:lang w:val="cs-CZ"/>
        </w:rPr>
        <w:t xml:space="preserve"> </w:t>
      </w:r>
      <w:r w:rsidR="00E76690">
        <w:rPr>
          <w:b/>
          <w:color w:val="0F0F0F"/>
          <w:sz w:val="19"/>
          <w:lang w:val="cs-CZ"/>
        </w:rPr>
        <w:t>1</w:t>
      </w:r>
    </w:p>
    <w:p w14:paraId="7B6C1243" w14:textId="16994B2F" w:rsidR="00110FD0" w:rsidRPr="00ED5505" w:rsidRDefault="00E76690">
      <w:pPr>
        <w:spacing w:before="53"/>
        <w:ind w:left="3123" w:right="2952"/>
        <w:jc w:val="center"/>
        <w:rPr>
          <w:b/>
          <w:sz w:val="19"/>
          <w:lang w:val="cs-CZ"/>
        </w:rPr>
      </w:pPr>
      <w:r>
        <w:rPr>
          <w:b/>
          <w:color w:val="0F0F0F"/>
          <w:sz w:val="19"/>
          <w:lang w:val="cs-CZ"/>
        </w:rPr>
        <w:t xml:space="preserve">k příkazní smlouvě ze dne </w:t>
      </w:r>
      <w:r w:rsidR="00C629C6">
        <w:rPr>
          <w:b/>
          <w:color w:val="0F0F0F"/>
          <w:sz w:val="19"/>
          <w:lang w:val="cs-CZ"/>
        </w:rPr>
        <w:t>5</w:t>
      </w:r>
      <w:r w:rsidR="005449E0">
        <w:rPr>
          <w:b/>
          <w:color w:val="0F0F0F"/>
          <w:sz w:val="19"/>
          <w:lang w:val="cs-CZ"/>
        </w:rPr>
        <w:t>.</w:t>
      </w:r>
      <w:r w:rsidR="00C629C6">
        <w:rPr>
          <w:b/>
          <w:color w:val="0F0F0F"/>
          <w:sz w:val="19"/>
          <w:lang w:val="cs-CZ"/>
        </w:rPr>
        <w:t>5</w:t>
      </w:r>
      <w:r w:rsidR="005449E0">
        <w:rPr>
          <w:b/>
          <w:color w:val="0F0F0F"/>
          <w:sz w:val="19"/>
          <w:lang w:val="cs-CZ"/>
        </w:rPr>
        <w:t>.20</w:t>
      </w:r>
      <w:r w:rsidR="00C629C6">
        <w:rPr>
          <w:b/>
          <w:color w:val="0F0F0F"/>
          <w:sz w:val="19"/>
          <w:lang w:val="cs-CZ"/>
        </w:rPr>
        <w:t>22</w:t>
      </w:r>
    </w:p>
    <w:p w14:paraId="7C057D3C" w14:textId="77777777" w:rsidR="00110FD0" w:rsidRPr="00ED5505" w:rsidRDefault="00110FD0">
      <w:pPr>
        <w:pStyle w:val="BodyText"/>
        <w:spacing w:before="5"/>
        <w:rPr>
          <w:b/>
          <w:sz w:val="18"/>
          <w:lang w:val="cs-CZ"/>
        </w:rPr>
      </w:pPr>
    </w:p>
    <w:p w14:paraId="79A27263" w14:textId="77777777" w:rsidR="00110FD0" w:rsidRPr="00ED5505" w:rsidRDefault="006C3C56">
      <w:pPr>
        <w:pStyle w:val="BodyText"/>
        <w:spacing w:before="93"/>
        <w:ind w:left="315"/>
        <w:rPr>
          <w:lang w:val="cs-CZ"/>
        </w:rPr>
      </w:pPr>
      <w:r w:rsidRPr="00ED5505">
        <w:rPr>
          <w:color w:val="0F0F0F"/>
          <w:lang w:val="cs-CZ"/>
        </w:rPr>
        <w:t>Smluvní strany:</w:t>
      </w:r>
    </w:p>
    <w:p w14:paraId="680B2916" w14:textId="77777777" w:rsidR="00110FD0" w:rsidRPr="00ED5505" w:rsidRDefault="00110FD0">
      <w:pPr>
        <w:pStyle w:val="BodyText"/>
        <w:spacing w:before="6"/>
        <w:rPr>
          <w:sz w:val="28"/>
          <w:lang w:val="cs-CZ"/>
        </w:rPr>
      </w:pPr>
    </w:p>
    <w:p w14:paraId="0F342B34" w14:textId="77777777" w:rsidR="00110FD0" w:rsidRPr="00ED5505" w:rsidRDefault="006C3C56">
      <w:pPr>
        <w:ind w:left="315"/>
        <w:rPr>
          <w:b/>
          <w:sz w:val="19"/>
          <w:lang w:val="cs-CZ"/>
        </w:rPr>
      </w:pPr>
      <w:r w:rsidRPr="00ED5505">
        <w:rPr>
          <w:b/>
          <w:color w:val="0F0F0F"/>
          <w:sz w:val="19"/>
          <w:lang w:val="cs-CZ"/>
        </w:rPr>
        <w:t>Univerzita Karlova, 3. lékařská fakulta,</w:t>
      </w:r>
    </w:p>
    <w:p w14:paraId="5F6A272E" w14:textId="77777777" w:rsidR="00110FD0" w:rsidRPr="00ED5505" w:rsidRDefault="006C3C56">
      <w:pPr>
        <w:pStyle w:val="BodyText"/>
        <w:spacing w:before="41"/>
        <w:ind w:left="323"/>
        <w:rPr>
          <w:lang w:val="cs-CZ"/>
        </w:rPr>
      </w:pPr>
      <w:r w:rsidRPr="00ED5505">
        <w:rPr>
          <w:color w:val="0F0F0F"/>
          <w:lang w:val="cs-CZ"/>
        </w:rPr>
        <w:t>se sídlem Ruská 87, 100 00 Praha 10,</w:t>
      </w:r>
    </w:p>
    <w:p w14:paraId="066DFFE2" w14:textId="77777777" w:rsidR="00110FD0" w:rsidRPr="00ED5505" w:rsidRDefault="006C3C56">
      <w:pPr>
        <w:pStyle w:val="BodyText"/>
        <w:spacing w:before="39"/>
        <w:ind w:left="320"/>
        <w:rPr>
          <w:lang w:val="cs-CZ"/>
        </w:rPr>
      </w:pPr>
      <w:r w:rsidRPr="00ED5505">
        <w:rPr>
          <w:color w:val="0F0F0F"/>
          <w:lang w:val="cs-CZ"/>
        </w:rPr>
        <w:t>IČ</w:t>
      </w:r>
      <w:r w:rsidRPr="00ED5505">
        <w:rPr>
          <w:color w:val="4F4F4F"/>
          <w:lang w:val="cs-CZ"/>
        </w:rPr>
        <w:t xml:space="preserve">: </w:t>
      </w:r>
      <w:r w:rsidRPr="00ED5505">
        <w:rPr>
          <w:color w:val="0F0F0F"/>
          <w:lang w:val="cs-CZ"/>
        </w:rPr>
        <w:t>00216208,</w:t>
      </w:r>
    </w:p>
    <w:p w14:paraId="44FE315B" w14:textId="50D60C6E" w:rsidR="00110FD0" w:rsidRPr="00556F39" w:rsidRDefault="006C3C56">
      <w:pPr>
        <w:pStyle w:val="BodyText"/>
        <w:spacing w:before="44" w:line="561" w:lineRule="auto"/>
        <w:ind w:left="375" w:right="3369" w:hanging="45"/>
        <w:rPr>
          <w:b/>
          <w:sz w:val="19"/>
          <w:lang w:val="cs-CZ"/>
        </w:rPr>
      </w:pPr>
      <w:r w:rsidRPr="00ED5505">
        <w:rPr>
          <w:color w:val="0F0F0F"/>
          <w:lang w:val="cs-CZ"/>
        </w:rPr>
        <w:t xml:space="preserve">zastoupena prof. MUDr. Petrem </w:t>
      </w:r>
      <w:proofErr w:type="spellStart"/>
      <w:r w:rsidRPr="00ED5505">
        <w:rPr>
          <w:color w:val="0F0F0F"/>
          <w:lang w:val="cs-CZ"/>
        </w:rPr>
        <w:t>Widimským</w:t>
      </w:r>
      <w:proofErr w:type="spellEnd"/>
      <w:r w:rsidRPr="00ED5505">
        <w:rPr>
          <w:color w:val="0F0F0F"/>
          <w:lang w:val="cs-CZ"/>
        </w:rPr>
        <w:t xml:space="preserve"> DrSc., děkanem, </w:t>
      </w:r>
      <w:r w:rsidRPr="00556F39">
        <w:rPr>
          <w:color w:val="0F0F0F"/>
          <w:lang w:val="cs-CZ"/>
        </w:rPr>
        <w:t xml:space="preserve">(dále jen </w:t>
      </w:r>
      <w:r w:rsidRPr="00556F39">
        <w:rPr>
          <w:b/>
          <w:color w:val="0F0F0F"/>
          <w:sz w:val="19"/>
          <w:lang w:val="cs-CZ"/>
        </w:rPr>
        <w:t>„</w:t>
      </w:r>
      <w:r w:rsidR="005449E0">
        <w:rPr>
          <w:b/>
          <w:color w:val="0F0F0F"/>
          <w:sz w:val="19"/>
          <w:lang w:val="cs-CZ"/>
        </w:rPr>
        <w:t>příkazce</w:t>
      </w:r>
      <w:r w:rsidRPr="00556F39">
        <w:rPr>
          <w:b/>
          <w:color w:val="0F0F0F"/>
          <w:sz w:val="19"/>
          <w:lang w:val="cs-CZ"/>
        </w:rPr>
        <w:t>")</w:t>
      </w:r>
    </w:p>
    <w:p w14:paraId="66B848FF" w14:textId="77777777" w:rsidR="00110FD0" w:rsidRPr="00556F39" w:rsidRDefault="006C3C56">
      <w:pPr>
        <w:spacing w:line="242" w:lineRule="exact"/>
        <w:ind w:left="326"/>
        <w:rPr>
          <w:sz w:val="23"/>
          <w:lang w:val="cs-CZ"/>
        </w:rPr>
      </w:pPr>
      <w:r w:rsidRPr="00556F39">
        <w:rPr>
          <w:color w:val="0F0F0F"/>
          <w:w w:val="90"/>
          <w:sz w:val="23"/>
          <w:lang w:val="cs-CZ"/>
        </w:rPr>
        <w:t>a</w:t>
      </w:r>
    </w:p>
    <w:p w14:paraId="46D54FC7" w14:textId="77777777" w:rsidR="00110FD0" w:rsidRPr="00556F39" w:rsidRDefault="00110FD0">
      <w:pPr>
        <w:pStyle w:val="BodyText"/>
        <w:spacing w:before="6"/>
        <w:rPr>
          <w:sz w:val="26"/>
          <w:lang w:val="cs-CZ"/>
        </w:rPr>
      </w:pPr>
    </w:p>
    <w:p w14:paraId="006269C7" w14:textId="6ECFD743" w:rsidR="00110FD0" w:rsidRPr="00556F39" w:rsidRDefault="005449E0">
      <w:pPr>
        <w:ind w:left="326"/>
        <w:rPr>
          <w:b/>
          <w:sz w:val="19"/>
          <w:lang w:val="cs-CZ"/>
        </w:rPr>
      </w:pPr>
      <w:r>
        <w:rPr>
          <w:b/>
          <w:color w:val="0F0F0F"/>
          <w:sz w:val="19"/>
          <w:lang w:val="cs-CZ"/>
        </w:rPr>
        <w:t>JUDr. Oto Ryneš, Jr., advokát</w:t>
      </w:r>
    </w:p>
    <w:p w14:paraId="5A809AA8" w14:textId="10B5858C" w:rsidR="00110FD0" w:rsidRDefault="006C3C56">
      <w:pPr>
        <w:pStyle w:val="BodyText"/>
        <w:spacing w:before="42"/>
        <w:ind w:left="333"/>
        <w:rPr>
          <w:color w:val="0F0F0F"/>
          <w:lang w:val="cs-CZ"/>
        </w:rPr>
      </w:pPr>
      <w:r w:rsidRPr="00556F39">
        <w:rPr>
          <w:color w:val="0F0F0F"/>
          <w:lang w:val="cs-CZ"/>
        </w:rPr>
        <w:t xml:space="preserve">se sídlem </w:t>
      </w:r>
      <w:r w:rsidR="005449E0">
        <w:rPr>
          <w:color w:val="0F0F0F"/>
          <w:lang w:val="cs-CZ"/>
        </w:rPr>
        <w:t xml:space="preserve">Charlese de </w:t>
      </w:r>
      <w:proofErr w:type="spellStart"/>
      <w:r w:rsidR="005449E0">
        <w:rPr>
          <w:color w:val="0F0F0F"/>
          <w:lang w:val="cs-CZ"/>
        </w:rPr>
        <w:t>Gaulla</w:t>
      </w:r>
      <w:proofErr w:type="spellEnd"/>
      <w:r w:rsidR="005449E0">
        <w:rPr>
          <w:color w:val="0F0F0F"/>
          <w:lang w:val="cs-CZ"/>
        </w:rPr>
        <w:t xml:space="preserve"> 8, Praha 6</w:t>
      </w:r>
    </w:p>
    <w:p w14:paraId="1ED10D80" w14:textId="0E9DCB0F" w:rsidR="005449E0" w:rsidRPr="00556F39" w:rsidRDefault="005449E0">
      <w:pPr>
        <w:pStyle w:val="BodyText"/>
        <w:spacing w:before="42"/>
        <w:ind w:left="333"/>
        <w:rPr>
          <w:lang w:val="cs-CZ"/>
        </w:rPr>
      </w:pPr>
      <w:r>
        <w:rPr>
          <w:color w:val="0F0F0F"/>
          <w:lang w:val="cs-CZ"/>
        </w:rPr>
        <w:t>ČAK: 17012</w:t>
      </w:r>
    </w:p>
    <w:p w14:paraId="25FA8D87" w14:textId="3E3DD950" w:rsidR="005449E0" w:rsidRPr="005449E0" w:rsidRDefault="006C3C56" w:rsidP="005449E0">
      <w:pPr>
        <w:pStyle w:val="BodyText"/>
        <w:spacing w:before="39"/>
        <w:ind w:left="330"/>
        <w:rPr>
          <w:color w:val="0F0F0F"/>
          <w:lang w:val="cs-CZ"/>
        </w:rPr>
      </w:pPr>
      <w:r w:rsidRPr="00556F39">
        <w:rPr>
          <w:color w:val="0F0F0F"/>
          <w:lang w:val="cs-CZ"/>
        </w:rPr>
        <w:t xml:space="preserve">IČ: </w:t>
      </w:r>
      <w:r w:rsidR="005449E0">
        <w:rPr>
          <w:color w:val="0F0F0F"/>
          <w:lang w:val="cs-CZ"/>
        </w:rPr>
        <w:t>029 558 06</w:t>
      </w:r>
    </w:p>
    <w:p w14:paraId="07C63272" w14:textId="77777777" w:rsidR="00110FD0" w:rsidRPr="00556F39" w:rsidRDefault="00110FD0">
      <w:pPr>
        <w:pStyle w:val="BodyText"/>
        <w:spacing w:before="9"/>
        <w:rPr>
          <w:sz w:val="26"/>
          <w:lang w:val="cs-CZ"/>
        </w:rPr>
      </w:pPr>
    </w:p>
    <w:p w14:paraId="598A0505" w14:textId="77777777" w:rsidR="00110FD0" w:rsidRPr="00556F39" w:rsidRDefault="006C3C56">
      <w:pPr>
        <w:ind w:left="384"/>
        <w:rPr>
          <w:b/>
          <w:sz w:val="19"/>
          <w:lang w:val="cs-CZ"/>
        </w:rPr>
      </w:pPr>
      <w:r w:rsidRPr="00556F39">
        <w:rPr>
          <w:color w:val="0F0F0F"/>
          <w:sz w:val="20"/>
          <w:lang w:val="cs-CZ"/>
        </w:rPr>
        <w:t xml:space="preserve">(dále jen </w:t>
      </w:r>
      <w:r w:rsidRPr="00556F39">
        <w:rPr>
          <w:b/>
          <w:color w:val="0F0F0F"/>
          <w:sz w:val="19"/>
          <w:lang w:val="cs-CZ"/>
        </w:rPr>
        <w:t>„příkazník")</w:t>
      </w:r>
    </w:p>
    <w:p w14:paraId="1EEF8735" w14:textId="77777777" w:rsidR="00110FD0" w:rsidRPr="00556F39" w:rsidRDefault="00110FD0">
      <w:pPr>
        <w:pStyle w:val="BodyText"/>
        <w:spacing w:before="4"/>
        <w:rPr>
          <w:b/>
          <w:sz w:val="26"/>
          <w:lang w:val="cs-CZ"/>
        </w:rPr>
      </w:pPr>
    </w:p>
    <w:p w14:paraId="6622AF6E" w14:textId="77777777" w:rsidR="00110FD0" w:rsidRPr="00556F39" w:rsidRDefault="006C3C56">
      <w:pPr>
        <w:spacing w:before="1"/>
        <w:ind w:left="332"/>
        <w:rPr>
          <w:b/>
          <w:sz w:val="19"/>
          <w:lang w:val="cs-CZ"/>
        </w:rPr>
      </w:pPr>
      <w:r w:rsidRPr="00556F39">
        <w:rPr>
          <w:color w:val="0F0F0F"/>
          <w:sz w:val="20"/>
          <w:lang w:val="cs-CZ"/>
        </w:rPr>
        <w:t xml:space="preserve">(fakulta a příkazník dále společně též </w:t>
      </w:r>
      <w:r w:rsidRPr="00556F39">
        <w:rPr>
          <w:b/>
          <w:color w:val="232323"/>
          <w:sz w:val="19"/>
          <w:lang w:val="cs-CZ"/>
        </w:rPr>
        <w:t xml:space="preserve">„smluvní </w:t>
      </w:r>
      <w:r w:rsidRPr="00556F39">
        <w:rPr>
          <w:b/>
          <w:color w:val="0F0F0F"/>
          <w:sz w:val="19"/>
          <w:lang w:val="cs-CZ"/>
        </w:rPr>
        <w:t>strany")</w:t>
      </w:r>
    </w:p>
    <w:p w14:paraId="5BB0EB1F" w14:textId="77777777" w:rsidR="00110FD0" w:rsidRPr="00556F39" w:rsidRDefault="00110FD0">
      <w:pPr>
        <w:pStyle w:val="BodyText"/>
        <w:rPr>
          <w:b/>
          <w:sz w:val="22"/>
          <w:lang w:val="cs-CZ"/>
        </w:rPr>
      </w:pPr>
    </w:p>
    <w:p w14:paraId="2D38EE23" w14:textId="77777777" w:rsidR="00110FD0" w:rsidRPr="00556F39" w:rsidRDefault="00110FD0">
      <w:pPr>
        <w:pStyle w:val="BodyText"/>
        <w:spacing w:before="10"/>
        <w:rPr>
          <w:b/>
          <w:sz w:val="27"/>
          <w:lang w:val="cs-CZ"/>
        </w:rPr>
      </w:pPr>
    </w:p>
    <w:p w14:paraId="7C148170" w14:textId="65AEBFEF" w:rsidR="00110FD0" w:rsidRPr="00556F39" w:rsidRDefault="006C3C56">
      <w:pPr>
        <w:pStyle w:val="BodyText"/>
        <w:spacing w:line="241" w:lineRule="exact"/>
        <w:ind w:left="336"/>
        <w:rPr>
          <w:lang w:val="cs-CZ"/>
        </w:rPr>
      </w:pPr>
      <w:r w:rsidRPr="00556F39">
        <w:rPr>
          <w:color w:val="0F0F0F"/>
          <w:lang w:val="cs-CZ"/>
        </w:rPr>
        <w:t xml:space="preserve">uzavírají níže uvedeného dne, </w:t>
      </w:r>
      <w:r w:rsidR="00E76690">
        <w:rPr>
          <w:color w:val="0F0F0F"/>
          <w:lang w:val="cs-CZ"/>
        </w:rPr>
        <w:t>měsíce a roku tento dodatek č. 1</w:t>
      </w:r>
      <w:r w:rsidRPr="00556F39">
        <w:rPr>
          <w:color w:val="0F0F0F"/>
          <w:lang w:val="cs-CZ"/>
        </w:rPr>
        <w:t xml:space="preserve"> příkazní smlou</w:t>
      </w:r>
      <w:r w:rsidR="00556F39" w:rsidRPr="00556F39">
        <w:rPr>
          <w:color w:val="0F0F0F"/>
          <w:lang w:val="cs-CZ"/>
        </w:rPr>
        <w:t>v</w:t>
      </w:r>
      <w:r w:rsidR="00E76690">
        <w:rPr>
          <w:color w:val="0F0F0F"/>
          <w:lang w:val="cs-CZ"/>
        </w:rPr>
        <w:t xml:space="preserve">ě ze dne </w:t>
      </w:r>
      <w:r w:rsidR="00C629C6">
        <w:rPr>
          <w:color w:val="0F0F0F"/>
          <w:lang w:val="cs-CZ"/>
        </w:rPr>
        <w:t>5</w:t>
      </w:r>
      <w:r w:rsidR="005449E0">
        <w:rPr>
          <w:color w:val="0F0F0F"/>
          <w:lang w:val="cs-CZ"/>
        </w:rPr>
        <w:t>.</w:t>
      </w:r>
      <w:r w:rsidR="00C629C6">
        <w:rPr>
          <w:color w:val="0F0F0F"/>
          <w:lang w:val="cs-CZ"/>
        </w:rPr>
        <w:t>5</w:t>
      </w:r>
      <w:r w:rsidR="005449E0">
        <w:rPr>
          <w:color w:val="0F0F0F"/>
          <w:lang w:val="cs-CZ"/>
        </w:rPr>
        <w:t>.20</w:t>
      </w:r>
      <w:r w:rsidR="00C629C6">
        <w:rPr>
          <w:color w:val="0F0F0F"/>
          <w:lang w:val="cs-CZ"/>
        </w:rPr>
        <w:t>22</w:t>
      </w:r>
    </w:p>
    <w:p w14:paraId="39B6A5E4" w14:textId="77777777" w:rsidR="00110FD0" w:rsidRPr="00556F39" w:rsidRDefault="006C3C56">
      <w:pPr>
        <w:spacing w:line="43" w:lineRule="exact"/>
        <w:ind w:right="2135"/>
        <w:jc w:val="right"/>
        <w:rPr>
          <w:sz w:val="6"/>
          <w:lang w:val="cs-CZ"/>
        </w:rPr>
      </w:pPr>
      <w:r w:rsidRPr="00556F39">
        <w:rPr>
          <w:color w:val="7E7E7E"/>
          <w:w w:val="83"/>
          <w:sz w:val="6"/>
          <w:lang w:val="cs-CZ"/>
        </w:rPr>
        <w:t>I</w:t>
      </w:r>
    </w:p>
    <w:p w14:paraId="2F06ED94" w14:textId="77777777" w:rsidR="00110FD0" w:rsidRPr="00556F39" w:rsidRDefault="006C3C56">
      <w:pPr>
        <w:tabs>
          <w:tab w:val="right" w:pos="7400"/>
        </w:tabs>
        <w:spacing w:line="224" w:lineRule="exact"/>
        <w:ind w:left="341"/>
        <w:rPr>
          <w:sz w:val="7"/>
          <w:lang w:val="cs-CZ"/>
        </w:rPr>
      </w:pPr>
      <w:r w:rsidRPr="00556F39">
        <w:rPr>
          <w:color w:val="0F0F0F"/>
          <w:sz w:val="20"/>
          <w:lang w:val="cs-CZ"/>
        </w:rPr>
        <w:t>(dále</w:t>
      </w:r>
      <w:r w:rsidRPr="00556F39">
        <w:rPr>
          <w:color w:val="0F0F0F"/>
          <w:spacing w:val="10"/>
          <w:sz w:val="20"/>
          <w:lang w:val="cs-CZ"/>
        </w:rPr>
        <w:t xml:space="preserve"> </w:t>
      </w:r>
      <w:r w:rsidRPr="00556F39">
        <w:rPr>
          <w:color w:val="0F0F0F"/>
          <w:sz w:val="20"/>
          <w:lang w:val="cs-CZ"/>
        </w:rPr>
        <w:t>jen</w:t>
      </w:r>
      <w:r w:rsidRPr="00556F39">
        <w:rPr>
          <w:color w:val="0F0F0F"/>
          <w:spacing w:val="-7"/>
          <w:sz w:val="20"/>
          <w:lang w:val="cs-CZ"/>
        </w:rPr>
        <w:t xml:space="preserve"> </w:t>
      </w:r>
      <w:r w:rsidRPr="00556F39">
        <w:rPr>
          <w:b/>
          <w:color w:val="0F0F0F"/>
          <w:sz w:val="19"/>
          <w:lang w:val="cs-CZ"/>
        </w:rPr>
        <w:t>„dodatek"):</w:t>
      </w:r>
      <w:r w:rsidRPr="00556F39">
        <w:rPr>
          <w:b/>
          <w:color w:val="0F0F0F"/>
          <w:sz w:val="19"/>
          <w:lang w:val="cs-CZ"/>
        </w:rPr>
        <w:tab/>
      </w:r>
      <w:r w:rsidRPr="00556F39">
        <w:rPr>
          <w:color w:val="7E7E7E"/>
          <w:w w:val="70"/>
          <w:sz w:val="7"/>
          <w:lang w:val="cs-CZ"/>
        </w:rPr>
        <w:t>1</w:t>
      </w:r>
    </w:p>
    <w:p w14:paraId="37D500C3" w14:textId="727190A4" w:rsidR="00110FD0" w:rsidRDefault="00110FD0">
      <w:pPr>
        <w:pStyle w:val="BodyText"/>
        <w:rPr>
          <w:sz w:val="22"/>
          <w:lang w:val="cs-CZ"/>
        </w:rPr>
      </w:pPr>
    </w:p>
    <w:p w14:paraId="09C6C5E3" w14:textId="29A254EE" w:rsidR="00807A46" w:rsidRDefault="00807A46">
      <w:pPr>
        <w:pStyle w:val="BodyText"/>
        <w:rPr>
          <w:sz w:val="22"/>
          <w:lang w:val="cs-CZ"/>
        </w:rPr>
      </w:pPr>
    </w:p>
    <w:p w14:paraId="53A10288" w14:textId="77777777" w:rsidR="00807A46" w:rsidRPr="00556F39" w:rsidRDefault="00807A46">
      <w:pPr>
        <w:pStyle w:val="BodyText"/>
        <w:rPr>
          <w:sz w:val="22"/>
          <w:lang w:val="cs-CZ"/>
        </w:rPr>
      </w:pPr>
    </w:p>
    <w:p w14:paraId="018B02F3" w14:textId="77777777" w:rsidR="00110FD0" w:rsidRPr="00556F39" w:rsidRDefault="00110FD0">
      <w:pPr>
        <w:pStyle w:val="BodyText"/>
        <w:spacing w:before="7"/>
        <w:rPr>
          <w:sz w:val="28"/>
          <w:lang w:val="cs-CZ"/>
        </w:rPr>
      </w:pPr>
    </w:p>
    <w:p w14:paraId="4CFCCA0A" w14:textId="77777777" w:rsidR="00110FD0" w:rsidRPr="00556F39" w:rsidRDefault="006C3C56">
      <w:pPr>
        <w:pStyle w:val="BodyText"/>
        <w:ind w:left="3071" w:right="2952"/>
        <w:jc w:val="center"/>
        <w:rPr>
          <w:lang w:val="cs-CZ"/>
        </w:rPr>
      </w:pPr>
      <w:r w:rsidRPr="00556F39">
        <w:rPr>
          <w:color w:val="0F0F0F"/>
          <w:w w:val="40"/>
          <w:lang w:val="cs-CZ"/>
        </w:rPr>
        <w:t>I.</w:t>
      </w:r>
    </w:p>
    <w:p w14:paraId="18DFD075" w14:textId="77777777" w:rsidR="00110FD0" w:rsidRPr="00556F39" w:rsidRDefault="006C3C56">
      <w:pPr>
        <w:spacing w:before="48"/>
        <w:ind w:left="3123" w:right="2914"/>
        <w:jc w:val="center"/>
        <w:rPr>
          <w:b/>
          <w:sz w:val="19"/>
          <w:lang w:val="cs-CZ"/>
        </w:rPr>
      </w:pPr>
      <w:r w:rsidRPr="00556F39">
        <w:rPr>
          <w:b/>
          <w:color w:val="0F0F0F"/>
          <w:sz w:val="19"/>
          <w:lang w:val="cs-CZ"/>
        </w:rPr>
        <w:t>Předmět dodatku</w:t>
      </w:r>
    </w:p>
    <w:p w14:paraId="5D4CC9E1" w14:textId="77777777" w:rsidR="00110FD0" w:rsidRPr="00556F39" w:rsidRDefault="00110FD0">
      <w:pPr>
        <w:pStyle w:val="BodyText"/>
        <w:rPr>
          <w:b/>
          <w:lang w:val="cs-CZ"/>
        </w:rPr>
      </w:pPr>
    </w:p>
    <w:p w14:paraId="65E9B179" w14:textId="000181E2" w:rsidR="00110FD0" w:rsidRPr="00556F39" w:rsidRDefault="006C3C56">
      <w:pPr>
        <w:pStyle w:val="ListParagraph"/>
        <w:numPr>
          <w:ilvl w:val="0"/>
          <w:numId w:val="2"/>
        </w:numPr>
        <w:tabs>
          <w:tab w:val="left" w:pos="773"/>
        </w:tabs>
        <w:spacing w:before="158" w:line="283" w:lineRule="auto"/>
        <w:ind w:right="123" w:hanging="437"/>
        <w:jc w:val="both"/>
        <w:rPr>
          <w:b/>
          <w:color w:val="0F0F0F"/>
          <w:sz w:val="20"/>
          <w:lang w:val="cs-CZ"/>
        </w:rPr>
      </w:pPr>
      <w:r w:rsidRPr="00556F39">
        <w:rPr>
          <w:color w:val="0F0F0F"/>
          <w:sz w:val="20"/>
          <w:lang w:val="cs-CZ"/>
        </w:rPr>
        <w:t xml:space="preserve">Smluvní strany shodně prohlašují, že dne </w:t>
      </w:r>
      <w:r w:rsidR="00C629C6">
        <w:rPr>
          <w:color w:val="0F0F0F"/>
          <w:sz w:val="20"/>
          <w:lang w:val="cs-CZ"/>
        </w:rPr>
        <w:t xml:space="preserve">5.5.2022 </w:t>
      </w:r>
      <w:r w:rsidRPr="00556F39">
        <w:rPr>
          <w:color w:val="0F0F0F"/>
          <w:sz w:val="20"/>
          <w:lang w:val="cs-CZ"/>
        </w:rPr>
        <w:t>uzavřely příkazní smlouvu, jejímž předmětem byl</w:t>
      </w:r>
      <w:r w:rsidR="005449E0">
        <w:rPr>
          <w:color w:val="0F0F0F"/>
          <w:sz w:val="20"/>
          <w:lang w:val="cs-CZ"/>
        </w:rPr>
        <w:t>o poskytování právního poradenství a dalších právních služeb v souvislosti s připravovanými a realizovanými investičními a rozvojovými projekty</w:t>
      </w:r>
      <w:r w:rsidRPr="00556F39">
        <w:rPr>
          <w:color w:val="0F0F0F"/>
          <w:sz w:val="20"/>
          <w:lang w:val="cs-CZ"/>
        </w:rPr>
        <w:t xml:space="preserve"> (dále jen </w:t>
      </w:r>
      <w:r w:rsidRPr="00556F39">
        <w:rPr>
          <w:b/>
          <w:color w:val="0F0F0F"/>
          <w:sz w:val="19"/>
          <w:lang w:val="cs-CZ"/>
        </w:rPr>
        <w:t>„příkazní</w:t>
      </w:r>
      <w:r w:rsidRPr="00556F39">
        <w:rPr>
          <w:b/>
          <w:color w:val="0F0F0F"/>
          <w:spacing w:val="-2"/>
          <w:sz w:val="19"/>
          <w:lang w:val="cs-CZ"/>
        </w:rPr>
        <w:t xml:space="preserve"> </w:t>
      </w:r>
      <w:r w:rsidRPr="00556F39">
        <w:rPr>
          <w:b/>
          <w:color w:val="0F0F0F"/>
          <w:sz w:val="19"/>
          <w:lang w:val="cs-CZ"/>
        </w:rPr>
        <w:t>smlouva").</w:t>
      </w:r>
    </w:p>
    <w:p w14:paraId="514A6F02" w14:textId="1F8D6CB0" w:rsidR="00556F39" w:rsidRPr="00556F39" w:rsidRDefault="006C3C56" w:rsidP="00556F39">
      <w:pPr>
        <w:pStyle w:val="ListParagraph"/>
        <w:numPr>
          <w:ilvl w:val="0"/>
          <w:numId w:val="2"/>
        </w:numPr>
        <w:tabs>
          <w:tab w:val="right" w:pos="7419"/>
        </w:tabs>
        <w:spacing w:before="227" w:line="270" w:lineRule="atLeast"/>
        <w:ind w:left="782" w:right="112" w:hanging="429"/>
        <w:jc w:val="both"/>
        <w:rPr>
          <w:color w:val="0F0F0F"/>
          <w:sz w:val="20"/>
          <w:lang w:val="cs-CZ"/>
        </w:rPr>
      </w:pPr>
      <w:r w:rsidRPr="00556F39">
        <w:rPr>
          <w:color w:val="0F0F0F"/>
          <w:sz w:val="20"/>
          <w:lang w:val="cs-CZ"/>
        </w:rPr>
        <w:t xml:space="preserve">Příkazní smlouva byla dle svého čl. </w:t>
      </w:r>
      <w:r w:rsidR="005449E0">
        <w:rPr>
          <w:color w:val="0F0F0F"/>
          <w:sz w:val="20"/>
          <w:lang w:val="cs-CZ"/>
        </w:rPr>
        <w:t>7.1</w:t>
      </w:r>
      <w:r w:rsidRPr="00556F39">
        <w:rPr>
          <w:color w:val="0F0F0F"/>
          <w:sz w:val="20"/>
          <w:lang w:val="cs-CZ"/>
        </w:rPr>
        <w:t xml:space="preserve"> uzavřena na dobu určitou,</w:t>
      </w:r>
      <w:r w:rsidR="00556F39" w:rsidRPr="00556F39">
        <w:rPr>
          <w:color w:val="6B6B6B"/>
          <w:sz w:val="20"/>
          <w:lang w:val="cs-CZ"/>
        </w:rPr>
        <w:t xml:space="preserve"> a</w:t>
      </w:r>
      <w:r w:rsidRPr="00556F39">
        <w:rPr>
          <w:color w:val="0F0F0F"/>
          <w:sz w:val="20"/>
          <w:lang w:val="cs-CZ"/>
        </w:rPr>
        <w:t xml:space="preserve"> to </w:t>
      </w:r>
      <w:r w:rsidR="00E76690">
        <w:rPr>
          <w:color w:val="0F0F0F"/>
          <w:sz w:val="20"/>
          <w:lang w:val="cs-CZ"/>
        </w:rPr>
        <w:t xml:space="preserve">v délce trvání </w:t>
      </w:r>
      <w:r w:rsidR="005449E0">
        <w:rPr>
          <w:color w:val="0F0F0F"/>
          <w:sz w:val="20"/>
          <w:lang w:val="cs-CZ"/>
        </w:rPr>
        <w:t xml:space="preserve">24 </w:t>
      </w:r>
      <w:r w:rsidR="00E76690">
        <w:rPr>
          <w:color w:val="0F0F0F"/>
          <w:sz w:val="20"/>
          <w:lang w:val="cs-CZ"/>
        </w:rPr>
        <w:t>měsíců od podpisu smlouvy</w:t>
      </w:r>
      <w:r w:rsidRPr="00556F39">
        <w:rPr>
          <w:color w:val="0F0F0F"/>
          <w:sz w:val="20"/>
          <w:lang w:val="cs-CZ"/>
        </w:rPr>
        <w:t xml:space="preserve">. </w:t>
      </w:r>
    </w:p>
    <w:p w14:paraId="2F9189D4" w14:textId="648AFF02" w:rsidR="00556F39" w:rsidRPr="00E76690" w:rsidRDefault="00556F39" w:rsidP="00E76690">
      <w:pPr>
        <w:pStyle w:val="ListParagraph"/>
        <w:numPr>
          <w:ilvl w:val="0"/>
          <w:numId w:val="2"/>
        </w:numPr>
        <w:tabs>
          <w:tab w:val="right" w:pos="7419"/>
        </w:tabs>
        <w:spacing w:before="227" w:line="270" w:lineRule="atLeast"/>
        <w:ind w:left="782" w:right="112" w:hanging="429"/>
        <w:rPr>
          <w:color w:val="0F0F0F"/>
          <w:sz w:val="20"/>
          <w:lang w:val="cs-CZ"/>
        </w:rPr>
        <w:sectPr w:rsidR="00556F39" w:rsidRPr="00E76690">
          <w:footerReference w:type="default" r:id="rId7"/>
          <w:type w:val="continuous"/>
          <w:pgSz w:w="11910" w:h="16840"/>
          <w:pgMar w:top="1380" w:right="1040" w:bottom="1120" w:left="1300" w:header="708" w:footer="935" w:gutter="0"/>
          <w:pgNumType w:start="1"/>
          <w:cols w:space="708"/>
        </w:sectPr>
      </w:pPr>
      <w:r w:rsidRPr="00556F39">
        <w:rPr>
          <w:color w:val="0F0F0F"/>
          <w:sz w:val="20"/>
          <w:lang w:val="cs-CZ"/>
        </w:rPr>
        <w:t xml:space="preserve">Smluvní strany se tímto dohodly, že prodlouží dobu </w:t>
      </w:r>
      <w:r w:rsidR="00C629C6">
        <w:rPr>
          <w:color w:val="0F0F0F"/>
          <w:sz w:val="20"/>
          <w:lang w:val="cs-CZ"/>
        </w:rPr>
        <w:t xml:space="preserve">trvání </w:t>
      </w:r>
      <w:r w:rsidRPr="00556F39">
        <w:rPr>
          <w:color w:val="0F0F0F"/>
          <w:sz w:val="20"/>
          <w:lang w:val="cs-CZ"/>
        </w:rPr>
        <w:t xml:space="preserve">příkazní </w:t>
      </w:r>
      <w:r w:rsidRPr="00556F39">
        <w:rPr>
          <w:color w:val="0F0F0F"/>
          <w:spacing w:val="-11"/>
          <w:sz w:val="20"/>
          <w:lang w:val="cs-CZ"/>
        </w:rPr>
        <w:t>sm</w:t>
      </w:r>
      <w:r w:rsidRPr="00556F39">
        <w:rPr>
          <w:color w:val="383838"/>
          <w:spacing w:val="-11"/>
          <w:sz w:val="20"/>
          <w:lang w:val="cs-CZ"/>
        </w:rPr>
        <w:t xml:space="preserve">louvy </w:t>
      </w:r>
      <w:r w:rsidR="005449E0">
        <w:rPr>
          <w:color w:val="383838"/>
          <w:spacing w:val="-11"/>
          <w:sz w:val="20"/>
          <w:lang w:val="cs-CZ"/>
        </w:rPr>
        <w:t xml:space="preserve">o dalších </w:t>
      </w:r>
      <w:r w:rsidR="00B90DCF">
        <w:rPr>
          <w:color w:val="383838"/>
          <w:spacing w:val="-11"/>
          <w:sz w:val="20"/>
          <w:lang w:val="cs-CZ"/>
        </w:rPr>
        <w:t xml:space="preserve">6 </w:t>
      </w:r>
      <w:r w:rsidR="005449E0">
        <w:rPr>
          <w:color w:val="383838"/>
          <w:spacing w:val="-11"/>
          <w:sz w:val="20"/>
          <w:lang w:val="cs-CZ"/>
        </w:rPr>
        <w:t xml:space="preserve">měsíců, a to s ohledem na </w:t>
      </w:r>
      <w:r w:rsidR="00807A46">
        <w:rPr>
          <w:color w:val="383838"/>
          <w:spacing w:val="-11"/>
          <w:sz w:val="20"/>
          <w:lang w:val="cs-CZ"/>
        </w:rPr>
        <w:t xml:space="preserve">zajištění kontinuity u probíhajících projektů, a to zejména s ohledem </w:t>
      </w:r>
      <w:r w:rsidR="00C629C6">
        <w:rPr>
          <w:color w:val="383838"/>
          <w:spacing w:val="-11"/>
          <w:sz w:val="20"/>
          <w:lang w:val="cs-CZ"/>
        </w:rPr>
        <w:t>na výstavbu Nového výukového centra 3. LF UK a zajištění veškerých souvisejících právních záležitostí</w:t>
      </w:r>
      <w:r w:rsidR="005449E0">
        <w:rPr>
          <w:color w:val="383838"/>
          <w:spacing w:val="-11"/>
          <w:sz w:val="20"/>
          <w:lang w:val="cs-CZ"/>
        </w:rPr>
        <w:t xml:space="preserve">. Uvedené je v souladu s interními předpisy příkazce v oblasti zadávání veřejných zakázek, </w:t>
      </w:r>
      <w:r w:rsidR="00807A46">
        <w:rPr>
          <w:color w:val="383838"/>
          <w:spacing w:val="-11"/>
          <w:sz w:val="20"/>
          <w:lang w:val="cs-CZ"/>
        </w:rPr>
        <w:t>a to včetně případného odkazu na</w:t>
      </w:r>
      <w:r w:rsidR="005449E0">
        <w:rPr>
          <w:color w:val="383838"/>
          <w:spacing w:val="-11"/>
          <w:sz w:val="20"/>
          <w:lang w:val="cs-CZ"/>
        </w:rPr>
        <w:t xml:space="preserve"> </w:t>
      </w:r>
      <w:r w:rsidR="00066196">
        <w:rPr>
          <w:color w:val="383838"/>
          <w:spacing w:val="-11"/>
          <w:sz w:val="20"/>
          <w:lang w:val="cs-CZ"/>
        </w:rPr>
        <w:t xml:space="preserve">ustanovení </w:t>
      </w:r>
      <w:r w:rsidR="005449E0">
        <w:rPr>
          <w:color w:val="383838"/>
          <w:spacing w:val="-11"/>
          <w:sz w:val="20"/>
          <w:lang w:val="cs-CZ"/>
        </w:rPr>
        <w:t>§222</w:t>
      </w:r>
      <w:r w:rsidR="00807A46">
        <w:rPr>
          <w:color w:val="383838"/>
          <w:spacing w:val="-11"/>
          <w:sz w:val="20"/>
          <w:lang w:val="cs-CZ"/>
        </w:rPr>
        <w:t xml:space="preserve"> </w:t>
      </w:r>
      <w:r w:rsidR="005449E0">
        <w:rPr>
          <w:color w:val="383838"/>
          <w:spacing w:val="-11"/>
          <w:sz w:val="20"/>
          <w:lang w:val="cs-CZ"/>
        </w:rPr>
        <w:t>zákona o zadávání veřejných zakázek.</w:t>
      </w:r>
    </w:p>
    <w:p w14:paraId="7D614548" w14:textId="77777777" w:rsidR="00110FD0" w:rsidRPr="00556F39" w:rsidRDefault="00110FD0">
      <w:pPr>
        <w:rPr>
          <w:lang w:val="cs-CZ"/>
        </w:rPr>
        <w:sectPr w:rsidR="00110FD0" w:rsidRPr="00556F39">
          <w:type w:val="continuous"/>
          <w:pgSz w:w="11910" w:h="16840"/>
          <w:pgMar w:top="1380" w:right="1040" w:bottom="1120" w:left="1300" w:header="708" w:footer="708" w:gutter="0"/>
          <w:cols w:num="2" w:space="708" w:equalWidth="0">
            <w:col w:w="7460" w:space="40"/>
            <w:col w:w="2070"/>
          </w:cols>
        </w:sectPr>
      </w:pPr>
    </w:p>
    <w:p w14:paraId="17ABCF00" w14:textId="77777777" w:rsidR="00110FD0" w:rsidRPr="00556F39" w:rsidRDefault="006C3C56" w:rsidP="00556F39">
      <w:pPr>
        <w:pStyle w:val="ListParagraph"/>
        <w:numPr>
          <w:ilvl w:val="0"/>
          <w:numId w:val="2"/>
        </w:numPr>
        <w:tabs>
          <w:tab w:val="left" w:pos="787"/>
          <w:tab w:val="left" w:pos="788"/>
        </w:tabs>
        <w:spacing w:before="94"/>
        <w:rPr>
          <w:color w:val="0F0F0F"/>
          <w:sz w:val="20"/>
          <w:lang w:val="cs-CZ"/>
        </w:rPr>
      </w:pPr>
      <w:r w:rsidRPr="00556F39">
        <w:rPr>
          <w:color w:val="0F0F0F"/>
          <w:sz w:val="20"/>
          <w:lang w:val="cs-CZ"/>
        </w:rPr>
        <w:lastRenderedPageBreak/>
        <w:t>Zbylá ustanovení příkazní smlouvy nejsou tímto dodatkem dotčena a zůstávají beze</w:t>
      </w:r>
      <w:r w:rsidRPr="00556F39">
        <w:rPr>
          <w:color w:val="0F0F0F"/>
          <w:spacing w:val="-15"/>
          <w:sz w:val="20"/>
          <w:lang w:val="cs-CZ"/>
        </w:rPr>
        <w:t xml:space="preserve"> </w:t>
      </w:r>
      <w:r w:rsidRPr="00556F39">
        <w:rPr>
          <w:color w:val="0F0F0F"/>
          <w:sz w:val="20"/>
          <w:lang w:val="cs-CZ"/>
        </w:rPr>
        <w:t>změny.</w:t>
      </w:r>
    </w:p>
    <w:p w14:paraId="3530DF95" w14:textId="77777777" w:rsidR="00110FD0" w:rsidRPr="00556F39" w:rsidRDefault="00110FD0">
      <w:pPr>
        <w:pStyle w:val="BodyText"/>
        <w:spacing w:before="1"/>
        <w:rPr>
          <w:sz w:val="30"/>
          <w:lang w:val="cs-CZ"/>
        </w:rPr>
      </w:pPr>
    </w:p>
    <w:p w14:paraId="2EFE33E4" w14:textId="71655D83" w:rsidR="00110FD0" w:rsidRPr="00556F39" w:rsidRDefault="00556F39">
      <w:pPr>
        <w:pStyle w:val="BodyText"/>
        <w:ind w:left="3123" w:right="2860"/>
        <w:jc w:val="center"/>
        <w:rPr>
          <w:lang w:val="cs-CZ"/>
        </w:rPr>
      </w:pPr>
      <w:r w:rsidRPr="00556F39">
        <w:rPr>
          <w:color w:val="0F0F0F"/>
          <w:w w:val="125"/>
          <w:lang w:val="cs-CZ"/>
        </w:rPr>
        <w:t>I</w:t>
      </w:r>
      <w:r w:rsidR="00807A46">
        <w:rPr>
          <w:color w:val="0F0F0F"/>
          <w:w w:val="125"/>
          <w:lang w:val="cs-CZ"/>
        </w:rPr>
        <w:t>I</w:t>
      </w:r>
      <w:r w:rsidRPr="00556F39">
        <w:rPr>
          <w:color w:val="0F0F0F"/>
          <w:w w:val="125"/>
          <w:lang w:val="cs-CZ"/>
        </w:rPr>
        <w:t>I</w:t>
      </w:r>
      <w:r w:rsidR="006C3C56" w:rsidRPr="00556F39">
        <w:rPr>
          <w:color w:val="0F0F0F"/>
          <w:w w:val="125"/>
          <w:lang w:val="cs-CZ"/>
        </w:rPr>
        <w:t>.</w:t>
      </w:r>
    </w:p>
    <w:p w14:paraId="691986B8" w14:textId="77777777" w:rsidR="00110FD0" w:rsidRPr="00556F39" w:rsidRDefault="006C3C56">
      <w:pPr>
        <w:spacing w:before="49"/>
        <w:ind w:left="3123" w:right="2877"/>
        <w:jc w:val="center"/>
        <w:rPr>
          <w:b/>
          <w:sz w:val="19"/>
          <w:lang w:val="cs-CZ"/>
        </w:rPr>
      </w:pPr>
      <w:r w:rsidRPr="00556F39">
        <w:rPr>
          <w:b/>
          <w:color w:val="0F0F0F"/>
          <w:sz w:val="19"/>
          <w:lang w:val="cs-CZ"/>
        </w:rPr>
        <w:t>Závěrečná ustanovení</w:t>
      </w:r>
    </w:p>
    <w:p w14:paraId="13523955" w14:textId="77777777" w:rsidR="00110FD0" w:rsidRPr="00556F39" w:rsidRDefault="00110FD0">
      <w:pPr>
        <w:pStyle w:val="BodyText"/>
        <w:spacing w:before="11"/>
        <w:rPr>
          <w:b/>
          <w:sz w:val="26"/>
          <w:lang w:val="cs-CZ"/>
        </w:rPr>
      </w:pPr>
    </w:p>
    <w:p w14:paraId="546E285A" w14:textId="77777777" w:rsidR="00110FD0" w:rsidRPr="00556F39" w:rsidRDefault="006C3C56">
      <w:pPr>
        <w:pStyle w:val="ListParagraph"/>
        <w:numPr>
          <w:ilvl w:val="0"/>
          <w:numId w:val="1"/>
        </w:numPr>
        <w:tabs>
          <w:tab w:val="left" w:pos="786"/>
          <w:tab w:val="left" w:pos="787"/>
        </w:tabs>
        <w:spacing w:line="280" w:lineRule="auto"/>
        <w:ind w:right="101" w:hanging="436"/>
        <w:jc w:val="left"/>
        <w:rPr>
          <w:color w:val="0F0F0F"/>
          <w:sz w:val="20"/>
          <w:lang w:val="cs-CZ"/>
        </w:rPr>
      </w:pPr>
      <w:r w:rsidRPr="00556F39">
        <w:rPr>
          <w:color w:val="0F0F0F"/>
          <w:sz w:val="20"/>
          <w:lang w:val="cs-CZ"/>
        </w:rPr>
        <w:t>Tento dodatek nabývá platnosti dnem podpisu smluvními stranami a účinnosti dnem jeho uveřejnění v registru</w:t>
      </w:r>
      <w:r w:rsidRPr="00556F39">
        <w:rPr>
          <w:color w:val="0F0F0F"/>
          <w:spacing w:val="-2"/>
          <w:sz w:val="20"/>
          <w:lang w:val="cs-CZ"/>
        </w:rPr>
        <w:t xml:space="preserve"> </w:t>
      </w:r>
      <w:r w:rsidRPr="00556F39">
        <w:rPr>
          <w:color w:val="0F0F0F"/>
          <w:spacing w:val="-6"/>
          <w:sz w:val="20"/>
          <w:lang w:val="cs-CZ"/>
        </w:rPr>
        <w:t>smluv</w:t>
      </w:r>
      <w:r w:rsidRPr="00556F39">
        <w:rPr>
          <w:color w:val="383838"/>
          <w:spacing w:val="-6"/>
          <w:sz w:val="20"/>
          <w:lang w:val="cs-CZ"/>
        </w:rPr>
        <w:t>.</w:t>
      </w:r>
    </w:p>
    <w:p w14:paraId="210EE08F" w14:textId="77777777" w:rsidR="00110FD0" w:rsidRPr="00556F39" w:rsidRDefault="00110FD0">
      <w:pPr>
        <w:pStyle w:val="BodyText"/>
        <w:rPr>
          <w:sz w:val="23"/>
          <w:lang w:val="cs-CZ"/>
        </w:rPr>
      </w:pPr>
    </w:p>
    <w:p w14:paraId="28CE4E31" w14:textId="77777777" w:rsidR="00807A46" w:rsidRDefault="006C3C56" w:rsidP="00807A46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spacing w:line="276" w:lineRule="auto"/>
        <w:ind w:left="800" w:right="99" w:hanging="433"/>
        <w:jc w:val="left"/>
        <w:rPr>
          <w:color w:val="0F0F0F"/>
          <w:sz w:val="20"/>
          <w:lang w:val="cs-CZ"/>
        </w:rPr>
      </w:pPr>
      <w:r w:rsidRPr="00556F39">
        <w:rPr>
          <w:color w:val="0F0F0F"/>
          <w:sz w:val="20"/>
          <w:lang w:val="cs-CZ"/>
        </w:rPr>
        <w:t>Tento dodatek je vyhotoven ve dvou vyhotoveních, z nichž každá sml</w:t>
      </w:r>
      <w:r w:rsidR="00556F39" w:rsidRPr="00556F39">
        <w:rPr>
          <w:color w:val="0F0F0F"/>
          <w:sz w:val="20"/>
          <w:lang w:val="cs-CZ"/>
        </w:rPr>
        <w:t>uvní</w:t>
      </w:r>
      <w:r w:rsidRPr="00556F39">
        <w:rPr>
          <w:color w:val="0F0F0F"/>
          <w:sz w:val="20"/>
          <w:lang w:val="cs-CZ"/>
        </w:rPr>
        <w:t xml:space="preserve"> strana obdrží po jednom</w:t>
      </w:r>
      <w:r w:rsidRPr="00556F39">
        <w:rPr>
          <w:color w:val="0F0F0F"/>
          <w:spacing w:val="3"/>
          <w:sz w:val="20"/>
          <w:lang w:val="cs-CZ"/>
        </w:rPr>
        <w:t xml:space="preserve"> </w:t>
      </w:r>
      <w:r w:rsidRPr="00556F39">
        <w:rPr>
          <w:color w:val="0F0F0F"/>
          <w:sz w:val="20"/>
          <w:lang w:val="cs-CZ"/>
        </w:rPr>
        <w:t>vyhotovení.</w:t>
      </w:r>
    </w:p>
    <w:p w14:paraId="0D9A6EEB" w14:textId="77777777" w:rsidR="00807A46" w:rsidRPr="00807A46" w:rsidRDefault="00807A46" w:rsidP="00807A46">
      <w:pPr>
        <w:pStyle w:val="ListParagraph"/>
        <w:rPr>
          <w:color w:val="080808"/>
          <w:sz w:val="20"/>
          <w:lang w:val="cs-CZ"/>
        </w:rPr>
      </w:pPr>
    </w:p>
    <w:p w14:paraId="494A11C0" w14:textId="417B0DD4" w:rsidR="00556F39" w:rsidRPr="00807A46" w:rsidRDefault="007C2774" w:rsidP="00807A46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spacing w:line="276" w:lineRule="auto"/>
        <w:ind w:left="800" w:right="99" w:hanging="433"/>
        <w:jc w:val="left"/>
        <w:rPr>
          <w:color w:val="0F0F0F"/>
          <w:sz w:val="20"/>
          <w:lang w:val="cs-CZ"/>
        </w:rPr>
      </w:pPr>
      <w:r>
        <w:rPr>
          <w:lang w:val="cs-CZ"/>
        </w:rPr>
        <w:pict w14:anchorId="63543BD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alt="" style="position:absolute;left:0;text-align:left;margin-left:433.5pt;margin-top:31pt;width:.6pt;height:3.95pt;z-index:-25165875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37D0FE3" w14:textId="77777777" w:rsidR="00110FD0" w:rsidRDefault="006C3C56">
                  <w:pPr>
                    <w:spacing w:line="78" w:lineRule="exact"/>
                    <w:rPr>
                      <w:sz w:val="7"/>
                    </w:rPr>
                  </w:pPr>
                  <w:r>
                    <w:rPr>
                      <w:color w:val="797979"/>
                      <w:w w:val="29"/>
                      <w:sz w:val="7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6C3C56" w:rsidRPr="00807A46">
        <w:rPr>
          <w:color w:val="080808"/>
          <w:sz w:val="20"/>
          <w:lang w:val="cs-CZ"/>
        </w:rPr>
        <w:t xml:space="preserve">Smluvní strany souhlasně prohlašují, že v tomto dodatku ujednaly vše, co </w:t>
      </w:r>
      <w:r w:rsidR="006C3C56" w:rsidRPr="00807A46">
        <w:rPr>
          <w:color w:val="080808"/>
          <w:spacing w:val="-6"/>
          <w:sz w:val="20"/>
          <w:lang w:val="cs-CZ"/>
        </w:rPr>
        <w:t xml:space="preserve">bylo </w:t>
      </w:r>
      <w:r w:rsidR="006C3C56" w:rsidRPr="00807A46">
        <w:rPr>
          <w:color w:val="080808"/>
          <w:sz w:val="20"/>
          <w:lang w:val="cs-CZ"/>
        </w:rPr>
        <w:t xml:space="preserve">jejich úmyslem ujednat. Každá ze smluvních stran prohlašuje, že tento dodatek uzavírá svobodně a vážně, že považuje obsah tohoto dodatku za určitý a srozumitelný a </w:t>
      </w:r>
      <w:r w:rsidR="006C3C56" w:rsidRPr="00807A46">
        <w:rPr>
          <w:color w:val="1F1F1F"/>
          <w:sz w:val="20"/>
          <w:lang w:val="cs-CZ"/>
        </w:rPr>
        <w:t xml:space="preserve">že </w:t>
      </w:r>
      <w:r w:rsidR="006C3C56" w:rsidRPr="00807A46">
        <w:rPr>
          <w:color w:val="080808"/>
          <w:sz w:val="20"/>
          <w:lang w:val="cs-CZ"/>
        </w:rPr>
        <w:t xml:space="preserve">jsou jí známy </w:t>
      </w:r>
      <w:r w:rsidR="00556F39" w:rsidRPr="00807A46">
        <w:rPr>
          <w:color w:val="1F1F1F"/>
          <w:sz w:val="20"/>
          <w:lang w:val="cs-CZ"/>
        </w:rPr>
        <w:t>všechny</w:t>
      </w:r>
      <w:r w:rsidR="006C3C56" w:rsidRPr="00807A46">
        <w:rPr>
          <w:color w:val="1F1F1F"/>
          <w:sz w:val="20"/>
          <w:lang w:val="cs-CZ"/>
        </w:rPr>
        <w:t xml:space="preserve"> </w:t>
      </w:r>
      <w:r w:rsidR="006C3C56" w:rsidRPr="00807A46">
        <w:rPr>
          <w:color w:val="080808"/>
          <w:sz w:val="20"/>
          <w:lang w:val="cs-CZ"/>
        </w:rPr>
        <w:t>skutečnosti, jež jsou pro uzavření tohoto dodatku rozhodující, na důkaz čehož k</w:t>
      </w:r>
      <w:r w:rsidR="00556F39" w:rsidRPr="00807A46">
        <w:rPr>
          <w:color w:val="080808"/>
          <w:sz w:val="20"/>
          <w:lang w:val="cs-CZ"/>
        </w:rPr>
        <w:t> </w:t>
      </w:r>
      <w:r w:rsidR="006C3C56" w:rsidRPr="00807A46">
        <w:rPr>
          <w:color w:val="080808"/>
          <w:sz w:val="20"/>
          <w:lang w:val="cs-CZ"/>
        </w:rPr>
        <w:t>ní</w:t>
      </w:r>
      <w:r w:rsidR="00556F39" w:rsidRPr="00807A46">
        <w:rPr>
          <w:color w:val="080808"/>
          <w:sz w:val="20"/>
          <w:lang w:val="cs-CZ"/>
        </w:rPr>
        <w:t xml:space="preserve"> připojují</w:t>
      </w:r>
      <w:r w:rsidR="006C3C56" w:rsidRPr="00807A46">
        <w:rPr>
          <w:color w:val="080808"/>
          <w:sz w:val="20"/>
          <w:lang w:val="cs-CZ"/>
        </w:rPr>
        <w:t xml:space="preserve"> svůj vlastnoruční podpis.</w:t>
      </w:r>
    </w:p>
    <w:p w14:paraId="3997D282" w14:textId="77777777" w:rsidR="00556F39" w:rsidRPr="00556F39" w:rsidRDefault="00556F39" w:rsidP="00556F39">
      <w:pPr>
        <w:pStyle w:val="ListParagraph"/>
        <w:rPr>
          <w:color w:val="080808"/>
          <w:sz w:val="20"/>
          <w:lang w:val="cs-CZ"/>
        </w:rPr>
      </w:pPr>
    </w:p>
    <w:p w14:paraId="1073A450" w14:textId="77777777" w:rsidR="00556F39" w:rsidRPr="00556F39" w:rsidRDefault="00556F39" w:rsidP="00556F39">
      <w:pPr>
        <w:pStyle w:val="BodyTextIndent"/>
        <w:spacing w:before="60" w:after="60" w:line="276" w:lineRule="auto"/>
        <w:ind w:left="5083" w:hanging="4536"/>
        <w:rPr>
          <w:rFonts w:eastAsia="Calibri"/>
          <w:sz w:val="20"/>
          <w:lang w:val="cs-CZ"/>
        </w:rPr>
      </w:pPr>
      <w:r w:rsidRPr="00556F39">
        <w:rPr>
          <w:rFonts w:eastAsia="Calibri"/>
          <w:sz w:val="20"/>
          <w:lang w:val="cs-CZ"/>
        </w:rPr>
        <w:t>V Praze dne ……………………………………….</w:t>
      </w:r>
      <w:r w:rsidRPr="00556F39">
        <w:rPr>
          <w:rFonts w:eastAsia="Calibri"/>
          <w:sz w:val="20"/>
          <w:lang w:val="cs-CZ"/>
        </w:rPr>
        <w:tab/>
        <w:t>V Praze dne ……………………………………….</w:t>
      </w:r>
    </w:p>
    <w:p w14:paraId="3F7357CC" w14:textId="77777777" w:rsidR="00556F39" w:rsidRPr="00556F39" w:rsidRDefault="00556F39" w:rsidP="00556F39">
      <w:pPr>
        <w:pStyle w:val="BodyTextIndent"/>
        <w:spacing w:before="60" w:after="60" w:line="276" w:lineRule="auto"/>
        <w:ind w:left="547"/>
        <w:rPr>
          <w:rFonts w:eastAsia="Calibri"/>
          <w:sz w:val="20"/>
          <w:lang w:val="cs-CZ"/>
        </w:rPr>
      </w:pPr>
    </w:p>
    <w:p w14:paraId="46FBF291" w14:textId="77777777" w:rsidR="00556F39" w:rsidRPr="00556F39" w:rsidRDefault="00556F39" w:rsidP="00556F39">
      <w:pPr>
        <w:pStyle w:val="BodyTextIndent"/>
        <w:spacing w:before="60" w:after="60" w:line="276" w:lineRule="auto"/>
        <w:ind w:left="547"/>
        <w:rPr>
          <w:rFonts w:eastAsia="Calibri"/>
          <w:sz w:val="20"/>
          <w:lang w:val="cs-CZ"/>
        </w:rPr>
      </w:pPr>
    </w:p>
    <w:p w14:paraId="4A958D20" w14:textId="77777777" w:rsidR="00556F39" w:rsidRPr="00556F39" w:rsidRDefault="00556F39" w:rsidP="00556F39">
      <w:pPr>
        <w:pStyle w:val="BodyTextIndent"/>
        <w:spacing w:before="60" w:after="60" w:line="276" w:lineRule="auto"/>
        <w:ind w:left="5083" w:hanging="4536"/>
        <w:rPr>
          <w:rFonts w:eastAsia="Calibri"/>
          <w:sz w:val="20"/>
          <w:lang w:val="cs-CZ"/>
        </w:rPr>
      </w:pPr>
    </w:p>
    <w:p w14:paraId="6653E668" w14:textId="77777777" w:rsidR="00556F39" w:rsidRPr="00556F39" w:rsidRDefault="00556F39" w:rsidP="00556F39">
      <w:pPr>
        <w:pStyle w:val="BodyTextIndent"/>
        <w:spacing w:before="60" w:after="60" w:line="276" w:lineRule="auto"/>
        <w:ind w:left="5083" w:hanging="4536"/>
        <w:rPr>
          <w:rFonts w:eastAsia="Calibri"/>
          <w:sz w:val="20"/>
          <w:lang w:val="cs-CZ"/>
        </w:rPr>
      </w:pPr>
      <w:r w:rsidRPr="00556F39">
        <w:rPr>
          <w:rFonts w:eastAsia="Calibri"/>
          <w:sz w:val="20"/>
          <w:lang w:val="cs-CZ"/>
        </w:rPr>
        <w:t>…………………………………………………..…</w:t>
      </w:r>
      <w:r w:rsidRPr="00556F39">
        <w:rPr>
          <w:rFonts w:eastAsia="Calibri"/>
          <w:sz w:val="20"/>
          <w:lang w:val="cs-CZ"/>
        </w:rPr>
        <w:tab/>
        <w:t>…………………………………………………..…</w:t>
      </w:r>
    </w:p>
    <w:p w14:paraId="3BBAFF32" w14:textId="4033C7D5" w:rsidR="00556F39" w:rsidRPr="00556F39" w:rsidRDefault="00556F39" w:rsidP="00556F39">
      <w:pPr>
        <w:pStyle w:val="BodyTextIndent"/>
        <w:spacing w:before="60" w:after="60" w:line="276" w:lineRule="auto"/>
        <w:ind w:left="5083" w:hanging="4536"/>
        <w:rPr>
          <w:b/>
          <w:sz w:val="20"/>
          <w:lang w:val="cs-CZ"/>
        </w:rPr>
      </w:pPr>
      <w:r w:rsidRPr="00556F39">
        <w:rPr>
          <w:rFonts w:eastAsia="Calibri"/>
          <w:b/>
          <w:sz w:val="20"/>
          <w:lang w:val="cs-CZ"/>
        </w:rPr>
        <w:t xml:space="preserve">prof. MUDr. Petr </w:t>
      </w:r>
      <w:proofErr w:type="spellStart"/>
      <w:r w:rsidRPr="00556F39">
        <w:rPr>
          <w:rFonts w:eastAsia="Calibri"/>
          <w:b/>
          <w:sz w:val="20"/>
          <w:lang w:val="cs-CZ"/>
        </w:rPr>
        <w:t>Widimský</w:t>
      </w:r>
      <w:proofErr w:type="spellEnd"/>
      <w:r w:rsidRPr="00556F39">
        <w:rPr>
          <w:rFonts w:eastAsia="Calibri"/>
          <w:b/>
          <w:sz w:val="20"/>
          <w:lang w:val="cs-CZ"/>
        </w:rPr>
        <w:t>, DrSc.</w:t>
      </w:r>
      <w:r w:rsidRPr="00556F39">
        <w:rPr>
          <w:rFonts w:eastAsia="Calibri"/>
          <w:b/>
          <w:sz w:val="20"/>
          <w:lang w:val="cs-CZ"/>
        </w:rPr>
        <w:tab/>
      </w:r>
      <w:r w:rsidR="005449E0">
        <w:rPr>
          <w:b/>
          <w:bCs/>
          <w:sz w:val="20"/>
          <w:lang w:val="cs-CZ"/>
        </w:rPr>
        <w:t>JUDr. Oto Ryneš, Jr., advokát</w:t>
      </w:r>
    </w:p>
    <w:p w14:paraId="0FDCEBB9" w14:textId="77777777" w:rsidR="00556F39" w:rsidRPr="00556F39" w:rsidRDefault="00556F39" w:rsidP="00556F39">
      <w:pPr>
        <w:pStyle w:val="BodyTextIndent"/>
        <w:spacing w:before="60" w:after="60" w:line="276" w:lineRule="auto"/>
        <w:ind w:left="5083" w:hanging="4536"/>
        <w:rPr>
          <w:sz w:val="20"/>
          <w:lang w:val="cs-CZ"/>
        </w:rPr>
      </w:pPr>
      <w:r w:rsidRPr="00556F39">
        <w:rPr>
          <w:rFonts w:eastAsia="Calibri"/>
          <w:sz w:val="20"/>
          <w:lang w:val="cs-CZ"/>
        </w:rPr>
        <w:t>děkan 3. lékařské fakulty UK</w:t>
      </w:r>
      <w:r w:rsidRPr="00556F39">
        <w:rPr>
          <w:rFonts w:eastAsia="Calibri"/>
          <w:sz w:val="20"/>
          <w:lang w:val="cs-CZ"/>
        </w:rPr>
        <w:tab/>
      </w:r>
    </w:p>
    <w:p w14:paraId="294BC16B" w14:textId="77777777" w:rsidR="00110FD0" w:rsidRPr="00556F39" w:rsidRDefault="006C3C56" w:rsidP="00556F39">
      <w:pPr>
        <w:tabs>
          <w:tab w:val="left" w:pos="537"/>
          <w:tab w:val="left" w:pos="7332"/>
        </w:tabs>
        <w:spacing w:before="179" w:line="280" w:lineRule="auto"/>
        <w:ind w:left="547" w:right="370"/>
        <w:jc w:val="both"/>
        <w:rPr>
          <w:color w:val="1F1F1F"/>
          <w:sz w:val="20"/>
        </w:rPr>
      </w:pPr>
      <w:r w:rsidRPr="00556F39">
        <w:rPr>
          <w:color w:val="080808"/>
          <w:sz w:val="18"/>
        </w:rPr>
        <w:tab/>
      </w:r>
      <w:r w:rsidRPr="00556F39">
        <w:rPr>
          <w:color w:val="383838"/>
          <w:w w:val="70"/>
          <w:sz w:val="20"/>
        </w:rPr>
        <w:t>'</w:t>
      </w:r>
    </w:p>
    <w:p w14:paraId="5A47FBF6" w14:textId="77777777" w:rsidR="00110FD0" w:rsidRDefault="00110FD0">
      <w:pPr>
        <w:pStyle w:val="BodyText"/>
      </w:pPr>
    </w:p>
    <w:p w14:paraId="169A0142" w14:textId="77777777" w:rsidR="00110FD0" w:rsidRDefault="00110FD0">
      <w:pPr>
        <w:pStyle w:val="BodyText"/>
        <w:spacing w:before="10"/>
        <w:rPr>
          <w:sz w:val="19"/>
        </w:rPr>
      </w:pPr>
    </w:p>
    <w:p w14:paraId="2D2F023E" w14:textId="77777777" w:rsidR="00110FD0" w:rsidRDefault="00110FD0">
      <w:pPr>
        <w:rPr>
          <w:sz w:val="19"/>
        </w:rPr>
        <w:sectPr w:rsidR="00110FD0">
          <w:pgSz w:w="11910" w:h="16840"/>
          <w:pgMar w:top="1580" w:right="1040" w:bottom="1120" w:left="1300" w:header="0" w:footer="935" w:gutter="0"/>
          <w:cols w:space="708"/>
        </w:sectPr>
      </w:pPr>
    </w:p>
    <w:p w14:paraId="7F75C003" w14:textId="77777777" w:rsidR="00110FD0" w:rsidRDefault="006C3C56">
      <w:pPr>
        <w:pStyle w:val="BodyText"/>
        <w:tabs>
          <w:tab w:val="left" w:pos="5219"/>
        </w:tabs>
        <w:ind w:left="536"/>
      </w:pPr>
      <w:r>
        <w:tab/>
      </w:r>
    </w:p>
    <w:sectPr w:rsidR="00110FD0">
      <w:type w:val="continuous"/>
      <w:pgSz w:w="11910" w:h="16840"/>
      <w:pgMar w:top="1380" w:right="1040" w:bottom="112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5B4F" w14:textId="77777777" w:rsidR="007C2774" w:rsidRDefault="007C2774">
      <w:r>
        <w:separator/>
      </w:r>
    </w:p>
  </w:endnote>
  <w:endnote w:type="continuationSeparator" w:id="0">
    <w:p w14:paraId="7B0252A7" w14:textId="77777777" w:rsidR="007C2774" w:rsidRDefault="007C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F4DA" w14:textId="77777777" w:rsidR="00110FD0" w:rsidRDefault="007C2774">
    <w:pPr>
      <w:pStyle w:val="BodyText"/>
      <w:spacing w:line="14" w:lineRule="auto"/>
    </w:pPr>
    <w:r>
      <w:pict w14:anchorId="5EAAF48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306.25pt;margin-top:784.15pt;width:8.9pt;height:12.5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25" inset="0,0,0,0">
            <w:txbxContent>
              <w:p w14:paraId="597A6669" w14:textId="77777777" w:rsidR="00110FD0" w:rsidRDefault="006C3C56">
                <w:pPr>
                  <w:spacing w:before="12"/>
                  <w:ind w:left="40"/>
                  <w:rPr>
                    <w:rFonts w:ascii="Times New Roman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0F0F0F"/>
                    <w:w w:val="102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8A2734">
                  <w:rPr>
                    <w:rFonts w:ascii="Times New Roman"/>
                    <w:noProof/>
                    <w:color w:val="0F0F0F"/>
                    <w:w w:val="102"/>
                    <w:sz w:val="1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159D" w14:textId="77777777" w:rsidR="007C2774" w:rsidRDefault="007C2774">
      <w:r>
        <w:separator/>
      </w:r>
    </w:p>
  </w:footnote>
  <w:footnote w:type="continuationSeparator" w:id="0">
    <w:p w14:paraId="17A38AB4" w14:textId="77777777" w:rsidR="007C2774" w:rsidRDefault="007C2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79AC"/>
    <w:multiLevelType w:val="hybridMultilevel"/>
    <w:tmpl w:val="A0068408"/>
    <w:lvl w:ilvl="0" w:tplc="8722965C">
      <w:start w:val="1"/>
      <w:numFmt w:val="decimal"/>
      <w:lvlText w:val="%1."/>
      <w:lvlJc w:val="left"/>
      <w:pPr>
        <w:ind w:left="778" w:hanging="431"/>
      </w:pPr>
      <w:rPr>
        <w:rFonts w:hint="default"/>
        <w:b w:val="0"/>
        <w:bCs/>
        <w:spacing w:val="-1"/>
        <w:w w:val="107"/>
      </w:rPr>
    </w:lvl>
    <w:lvl w:ilvl="1" w:tplc="BD9241E6">
      <w:numFmt w:val="bullet"/>
      <w:lvlText w:val="•"/>
      <w:lvlJc w:val="left"/>
      <w:pPr>
        <w:ind w:left="1658" w:hanging="431"/>
      </w:pPr>
      <w:rPr>
        <w:rFonts w:hint="default"/>
      </w:rPr>
    </w:lvl>
    <w:lvl w:ilvl="2" w:tplc="826CDCDE">
      <w:numFmt w:val="bullet"/>
      <w:lvlText w:val="•"/>
      <w:lvlJc w:val="left"/>
      <w:pPr>
        <w:ind w:left="2536" w:hanging="431"/>
      </w:pPr>
      <w:rPr>
        <w:rFonts w:hint="default"/>
      </w:rPr>
    </w:lvl>
    <w:lvl w:ilvl="3" w:tplc="C2BC1DF4">
      <w:numFmt w:val="bullet"/>
      <w:lvlText w:val="•"/>
      <w:lvlJc w:val="left"/>
      <w:pPr>
        <w:ind w:left="3415" w:hanging="431"/>
      </w:pPr>
      <w:rPr>
        <w:rFonts w:hint="default"/>
      </w:rPr>
    </w:lvl>
    <w:lvl w:ilvl="4" w:tplc="5AD03CDE">
      <w:numFmt w:val="bullet"/>
      <w:lvlText w:val="•"/>
      <w:lvlJc w:val="left"/>
      <w:pPr>
        <w:ind w:left="4293" w:hanging="431"/>
      </w:pPr>
      <w:rPr>
        <w:rFonts w:hint="default"/>
      </w:rPr>
    </w:lvl>
    <w:lvl w:ilvl="5" w:tplc="72E88874">
      <w:numFmt w:val="bullet"/>
      <w:lvlText w:val="•"/>
      <w:lvlJc w:val="left"/>
      <w:pPr>
        <w:ind w:left="5172" w:hanging="431"/>
      </w:pPr>
      <w:rPr>
        <w:rFonts w:hint="default"/>
      </w:rPr>
    </w:lvl>
    <w:lvl w:ilvl="6" w:tplc="4184D298">
      <w:numFmt w:val="bullet"/>
      <w:lvlText w:val="•"/>
      <w:lvlJc w:val="left"/>
      <w:pPr>
        <w:ind w:left="6050" w:hanging="431"/>
      </w:pPr>
      <w:rPr>
        <w:rFonts w:hint="default"/>
      </w:rPr>
    </w:lvl>
    <w:lvl w:ilvl="7" w:tplc="D136BA14">
      <w:numFmt w:val="bullet"/>
      <w:lvlText w:val="•"/>
      <w:lvlJc w:val="left"/>
      <w:pPr>
        <w:ind w:left="6928" w:hanging="431"/>
      </w:pPr>
      <w:rPr>
        <w:rFonts w:hint="default"/>
      </w:rPr>
    </w:lvl>
    <w:lvl w:ilvl="8" w:tplc="052A55F8">
      <w:numFmt w:val="bullet"/>
      <w:lvlText w:val="•"/>
      <w:lvlJc w:val="left"/>
      <w:pPr>
        <w:ind w:left="7807" w:hanging="431"/>
      </w:pPr>
      <w:rPr>
        <w:rFonts w:hint="default"/>
      </w:rPr>
    </w:lvl>
  </w:abstractNum>
  <w:abstractNum w:abstractNumId="1" w15:restartNumberingAfterBreak="0">
    <w:nsid w:val="2BAF0465"/>
    <w:multiLevelType w:val="hybridMultilevel"/>
    <w:tmpl w:val="15CC832A"/>
    <w:lvl w:ilvl="0" w:tplc="6038D98E">
      <w:start w:val="1"/>
      <w:numFmt w:val="decimal"/>
      <w:lvlText w:val="%1."/>
      <w:lvlJc w:val="left"/>
      <w:pPr>
        <w:ind w:left="778" w:hanging="431"/>
      </w:pPr>
      <w:rPr>
        <w:rFonts w:hint="default"/>
        <w:spacing w:val="-1"/>
        <w:w w:val="107"/>
      </w:rPr>
    </w:lvl>
    <w:lvl w:ilvl="1" w:tplc="BD9241E6">
      <w:numFmt w:val="bullet"/>
      <w:lvlText w:val="•"/>
      <w:lvlJc w:val="left"/>
      <w:pPr>
        <w:ind w:left="1658" w:hanging="431"/>
      </w:pPr>
      <w:rPr>
        <w:rFonts w:hint="default"/>
      </w:rPr>
    </w:lvl>
    <w:lvl w:ilvl="2" w:tplc="826CDCDE">
      <w:numFmt w:val="bullet"/>
      <w:lvlText w:val="•"/>
      <w:lvlJc w:val="left"/>
      <w:pPr>
        <w:ind w:left="2536" w:hanging="431"/>
      </w:pPr>
      <w:rPr>
        <w:rFonts w:hint="default"/>
      </w:rPr>
    </w:lvl>
    <w:lvl w:ilvl="3" w:tplc="C2BC1DF4">
      <w:numFmt w:val="bullet"/>
      <w:lvlText w:val="•"/>
      <w:lvlJc w:val="left"/>
      <w:pPr>
        <w:ind w:left="3415" w:hanging="431"/>
      </w:pPr>
      <w:rPr>
        <w:rFonts w:hint="default"/>
      </w:rPr>
    </w:lvl>
    <w:lvl w:ilvl="4" w:tplc="5AD03CDE">
      <w:numFmt w:val="bullet"/>
      <w:lvlText w:val="•"/>
      <w:lvlJc w:val="left"/>
      <w:pPr>
        <w:ind w:left="4293" w:hanging="431"/>
      </w:pPr>
      <w:rPr>
        <w:rFonts w:hint="default"/>
      </w:rPr>
    </w:lvl>
    <w:lvl w:ilvl="5" w:tplc="72E88874">
      <w:numFmt w:val="bullet"/>
      <w:lvlText w:val="•"/>
      <w:lvlJc w:val="left"/>
      <w:pPr>
        <w:ind w:left="5172" w:hanging="431"/>
      </w:pPr>
      <w:rPr>
        <w:rFonts w:hint="default"/>
      </w:rPr>
    </w:lvl>
    <w:lvl w:ilvl="6" w:tplc="4184D298">
      <w:numFmt w:val="bullet"/>
      <w:lvlText w:val="•"/>
      <w:lvlJc w:val="left"/>
      <w:pPr>
        <w:ind w:left="6050" w:hanging="431"/>
      </w:pPr>
      <w:rPr>
        <w:rFonts w:hint="default"/>
      </w:rPr>
    </w:lvl>
    <w:lvl w:ilvl="7" w:tplc="D136BA14">
      <w:numFmt w:val="bullet"/>
      <w:lvlText w:val="•"/>
      <w:lvlJc w:val="left"/>
      <w:pPr>
        <w:ind w:left="6928" w:hanging="431"/>
      </w:pPr>
      <w:rPr>
        <w:rFonts w:hint="default"/>
      </w:rPr>
    </w:lvl>
    <w:lvl w:ilvl="8" w:tplc="052A55F8">
      <w:numFmt w:val="bullet"/>
      <w:lvlText w:val="•"/>
      <w:lvlJc w:val="left"/>
      <w:pPr>
        <w:ind w:left="7807" w:hanging="431"/>
      </w:pPr>
      <w:rPr>
        <w:rFonts w:hint="default"/>
      </w:rPr>
    </w:lvl>
  </w:abstractNum>
  <w:abstractNum w:abstractNumId="2" w15:restartNumberingAfterBreak="0">
    <w:nsid w:val="40DD2C2D"/>
    <w:multiLevelType w:val="hybridMultilevel"/>
    <w:tmpl w:val="D7CC27FC"/>
    <w:lvl w:ilvl="0" w:tplc="515A49A4">
      <w:start w:val="1"/>
      <w:numFmt w:val="decimal"/>
      <w:lvlText w:val="%1."/>
      <w:lvlJc w:val="left"/>
      <w:pPr>
        <w:ind w:left="792" w:hanging="431"/>
        <w:jc w:val="right"/>
      </w:pPr>
      <w:rPr>
        <w:rFonts w:hint="default"/>
        <w:spacing w:val="-1"/>
        <w:w w:val="107"/>
      </w:rPr>
    </w:lvl>
    <w:lvl w:ilvl="1" w:tplc="770ECF20">
      <w:numFmt w:val="bullet"/>
      <w:lvlText w:val="•"/>
      <w:lvlJc w:val="left"/>
      <w:pPr>
        <w:ind w:left="800" w:hanging="431"/>
      </w:pPr>
      <w:rPr>
        <w:rFonts w:hint="default"/>
      </w:rPr>
    </w:lvl>
    <w:lvl w:ilvl="2" w:tplc="77546BE0">
      <w:numFmt w:val="bullet"/>
      <w:lvlText w:val="•"/>
      <w:lvlJc w:val="left"/>
      <w:pPr>
        <w:ind w:left="1044" w:hanging="431"/>
      </w:pPr>
      <w:rPr>
        <w:rFonts w:hint="default"/>
      </w:rPr>
    </w:lvl>
    <w:lvl w:ilvl="3" w:tplc="DFCE9E34">
      <w:numFmt w:val="bullet"/>
      <w:lvlText w:val="•"/>
      <w:lvlJc w:val="left"/>
      <w:pPr>
        <w:ind w:left="1288" w:hanging="431"/>
      </w:pPr>
      <w:rPr>
        <w:rFonts w:hint="default"/>
      </w:rPr>
    </w:lvl>
    <w:lvl w:ilvl="4" w:tplc="D9341FE0">
      <w:numFmt w:val="bullet"/>
      <w:lvlText w:val="•"/>
      <w:lvlJc w:val="left"/>
      <w:pPr>
        <w:ind w:left="1532" w:hanging="431"/>
      </w:pPr>
      <w:rPr>
        <w:rFonts w:hint="default"/>
      </w:rPr>
    </w:lvl>
    <w:lvl w:ilvl="5" w:tplc="3A727DDC">
      <w:numFmt w:val="bullet"/>
      <w:lvlText w:val="•"/>
      <w:lvlJc w:val="left"/>
      <w:pPr>
        <w:ind w:left="1776" w:hanging="431"/>
      </w:pPr>
      <w:rPr>
        <w:rFonts w:hint="default"/>
      </w:rPr>
    </w:lvl>
    <w:lvl w:ilvl="6" w:tplc="D264051C">
      <w:numFmt w:val="bullet"/>
      <w:lvlText w:val="•"/>
      <w:lvlJc w:val="left"/>
      <w:pPr>
        <w:ind w:left="2021" w:hanging="431"/>
      </w:pPr>
      <w:rPr>
        <w:rFonts w:hint="default"/>
      </w:rPr>
    </w:lvl>
    <w:lvl w:ilvl="7" w:tplc="8222B378">
      <w:numFmt w:val="bullet"/>
      <w:lvlText w:val="•"/>
      <w:lvlJc w:val="left"/>
      <w:pPr>
        <w:ind w:left="2265" w:hanging="431"/>
      </w:pPr>
      <w:rPr>
        <w:rFonts w:hint="default"/>
      </w:rPr>
    </w:lvl>
    <w:lvl w:ilvl="8" w:tplc="8664404C">
      <w:numFmt w:val="bullet"/>
      <w:lvlText w:val="•"/>
      <w:lvlJc w:val="left"/>
      <w:pPr>
        <w:ind w:left="2509" w:hanging="431"/>
      </w:pPr>
      <w:rPr>
        <w:rFonts w:hint="default"/>
      </w:rPr>
    </w:lvl>
  </w:abstractNum>
  <w:num w:numId="1" w16cid:durableId="1255161877">
    <w:abstractNumId w:val="2"/>
  </w:num>
  <w:num w:numId="2" w16cid:durableId="1849782842">
    <w:abstractNumId w:val="0"/>
  </w:num>
  <w:num w:numId="3" w16cid:durableId="687870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FD0"/>
    <w:rsid w:val="000121C8"/>
    <w:rsid w:val="00066196"/>
    <w:rsid w:val="00110FD0"/>
    <w:rsid w:val="00196797"/>
    <w:rsid w:val="002D4C84"/>
    <w:rsid w:val="005374E4"/>
    <w:rsid w:val="005449E0"/>
    <w:rsid w:val="00556F39"/>
    <w:rsid w:val="00645A6A"/>
    <w:rsid w:val="006C3C56"/>
    <w:rsid w:val="006E0116"/>
    <w:rsid w:val="007C2774"/>
    <w:rsid w:val="00807A46"/>
    <w:rsid w:val="00866230"/>
    <w:rsid w:val="008A2734"/>
    <w:rsid w:val="00B90DCF"/>
    <w:rsid w:val="00C629C6"/>
    <w:rsid w:val="00C76FE8"/>
    <w:rsid w:val="00E76690"/>
    <w:rsid w:val="00E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,"/>
  <w14:docId w14:val="32210F8B"/>
  <w15:docId w15:val="{EDA3B51F-C1D2-460E-93A5-646D25C3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47" w:hanging="429"/>
    </w:pPr>
  </w:style>
  <w:style w:type="paragraph" w:customStyle="1" w:styleId="TableParagraph">
    <w:name w:val="Table Paragraph"/>
    <w:basedOn w:val="Normal"/>
    <w:uiPriority w:val="1"/>
    <w:qFormat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6F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6F3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Oto Rynes</cp:lastModifiedBy>
  <cp:revision>10</cp:revision>
  <dcterms:created xsi:type="dcterms:W3CDTF">2020-01-06T13:26:00Z</dcterms:created>
  <dcterms:modified xsi:type="dcterms:W3CDTF">2024-04-03T07:50:00Z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Canon </vt:lpwstr>
  </property>
  <property fmtid="{D5CDD505-2E9C-101B-9397-08002B2CF9AE}" pid="4" name="LastSaved">
    <vt:filetime>2019-02-06T00:00:00Z</vt:filetime>
  </property>
</Properties>
</file>