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29" w:rsidRDefault="002D5510">
      <w:pPr>
        <w:spacing w:after="0" w:line="259" w:lineRule="auto"/>
        <w:ind w:left="48" w:firstLine="0"/>
        <w:jc w:val="center"/>
      </w:pPr>
      <w:r>
        <w:rPr>
          <w:sz w:val="36"/>
        </w:rPr>
        <w:t xml:space="preserve">Dodatek č. </w:t>
      </w:r>
      <w:r w:rsidR="00F81BE5">
        <w:rPr>
          <w:sz w:val="36"/>
        </w:rPr>
        <w:t>2</w:t>
      </w:r>
      <w:r>
        <w:rPr>
          <w:sz w:val="36"/>
        </w:rPr>
        <w:t xml:space="preserve"> ke Kupní smlouvě</w:t>
      </w:r>
    </w:p>
    <w:p w:rsidR="009E7529" w:rsidRDefault="002D5510">
      <w:pPr>
        <w:spacing w:after="267" w:line="259" w:lineRule="auto"/>
        <w:ind w:left="101" w:right="43"/>
        <w:jc w:val="center"/>
      </w:pPr>
      <w:r>
        <w:t xml:space="preserve">č. smlouvy </w:t>
      </w:r>
      <w:r w:rsidR="00F81BE5">
        <w:rPr>
          <w:rStyle w:val="hgkelc"/>
        </w:rPr>
        <w:t>S</w:t>
      </w:r>
      <w:r w:rsidR="00F81BE5">
        <w:t xml:space="preserve"> 1</w:t>
      </w:r>
      <w:r>
        <w:t>98/ 2022</w:t>
      </w:r>
    </w:p>
    <w:p w:rsidR="009E7529" w:rsidRDefault="002D5510">
      <w:pPr>
        <w:spacing w:after="267" w:line="259" w:lineRule="auto"/>
        <w:ind w:left="101" w:right="38"/>
        <w:jc w:val="center"/>
      </w:pPr>
      <w:r>
        <w:t xml:space="preserve">uzavřený dle </w:t>
      </w:r>
      <w:r w:rsidR="00F81BE5">
        <w:rPr>
          <w:rStyle w:val="hgkelc"/>
        </w:rPr>
        <w:t>§</w:t>
      </w:r>
      <w:r>
        <w:t xml:space="preserve"> 2079 a násl. zákona č. 89/2012 Sb., občanského zákoníku, ve znění pozdějších předpisů (dále jen „občanský zákoník”), mezi těmito smluvními stranami:</w:t>
      </w:r>
    </w:p>
    <w:tbl>
      <w:tblPr>
        <w:tblStyle w:val="TableGrid"/>
        <w:tblW w:w="6629" w:type="dxa"/>
        <w:tblInd w:w="53" w:type="dxa"/>
        <w:tblCellMar>
          <w:top w:w="2" w:type="dxa"/>
        </w:tblCellMar>
        <w:tblLook w:val="04A0"/>
      </w:tblPr>
      <w:tblGrid>
        <w:gridCol w:w="2559"/>
        <w:gridCol w:w="4070"/>
      </w:tblGrid>
      <w:tr w:rsidR="009E7529">
        <w:trPr>
          <w:trHeight w:val="22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Název: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Kulturní služby města Moravská Třebová</w:t>
            </w:r>
          </w:p>
        </w:tc>
      </w:tr>
      <w:tr w:rsidR="009E7529">
        <w:trPr>
          <w:trHeight w:val="24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0" w:firstLine="0"/>
              <w:jc w:val="left"/>
            </w:pPr>
            <w:r>
              <w:t>Sídlo: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0" w:firstLine="0"/>
              <w:jc w:val="left"/>
            </w:pPr>
            <w:r>
              <w:t>Svitavská 18, Moravská Třebová 571 Ol</w:t>
            </w:r>
          </w:p>
        </w:tc>
      </w:tr>
      <w:tr w:rsidR="009E7529">
        <w:trPr>
          <w:trHeight w:val="239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t>Telefon: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75054">
            <w:pPr>
              <w:spacing w:after="0" w:line="259" w:lineRule="auto"/>
              <w:ind w:left="0" w:firstLine="0"/>
              <w:jc w:val="left"/>
            </w:pPr>
            <w:r>
              <w:t>Xxx xxx xxx</w:t>
            </w:r>
          </w:p>
        </w:tc>
      </w:tr>
      <w:tr w:rsidR="009E7529">
        <w:trPr>
          <w:trHeight w:val="252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0" w:firstLine="0"/>
              <w:jc w:val="left"/>
            </w:pPr>
            <w:r>
              <w:t>IČO: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00371769</w:t>
            </w:r>
          </w:p>
        </w:tc>
      </w:tr>
      <w:tr w:rsidR="009E7529">
        <w:trPr>
          <w:trHeight w:val="252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Zastoupené: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MgA. Marií Blažkovou</w:t>
            </w:r>
          </w:p>
        </w:tc>
      </w:tr>
      <w:tr w:rsidR="009E7529">
        <w:trPr>
          <w:trHeight w:val="251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75054">
            <w:pPr>
              <w:spacing w:after="0" w:line="259" w:lineRule="auto"/>
              <w:ind w:left="0" w:firstLine="0"/>
              <w:jc w:val="left"/>
            </w:pPr>
            <w:r>
              <w:t>xxxxxxxxxxxxxxxxxxxxxxxxxxxxxxxxxxxxx</w:t>
            </w:r>
          </w:p>
        </w:tc>
      </w:tr>
      <w:tr w:rsidR="009E7529">
        <w:trPr>
          <w:trHeight w:val="110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253" w:line="238" w:lineRule="auto"/>
              <w:ind w:left="5" w:right="254" w:firstLine="0"/>
            </w:pPr>
            <w:r>
              <w:t>Osoby oprávněné jednat: (dále jen „zadavatel”)</w:t>
            </w:r>
          </w:p>
          <w:p w:rsidR="009E7529" w:rsidRDefault="002D5510">
            <w:pPr>
              <w:spacing w:after="0" w:line="259" w:lineRule="auto"/>
              <w:ind w:left="10" w:firstLine="0"/>
              <w:jc w:val="left"/>
            </w:pPr>
            <w:r>
              <w:t>a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MgA. Marie Blažková</w:t>
            </w:r>
          </w:p>
        </w:tc>
      </w:tr>
      <w:tr w:rsidR="009E7529">
        <w:trPr>
          <w:trHeight w:val="38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Název: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t>Expoline AT, s.r.o.</w:t>
            </w:r>
          </w:p>
        </w:tc>
      </w:tr>
      <w:tr w:rsidR="009E7529">
        <w:trPr>
          <w:trHeight w:val="282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4" w:firstLine="0"/>
              <w:jc w:val="left"/>
            </w:pPr>
            <w:r>
              <w:t>Sídlo (adresa):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t>U střelnice 733, Jevíčko 56943</w:t>
            </w:r>
          </w:p>
        </w:tc>
      </w:tr>
      <w:tr w:rsidR="009E7529">
        <w:trPr>
          <w:trHeight w:val="268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0" w:firstLine="0"/>
              <w:jc w:val="left"/>
            </w:pPr>
            <w:r>
              <w:t>Telefon: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75054">
            <w:pPr>
              <w:spacing w:after="0" w:line="259" w:lineRule="auto"/>
              <w:ind w:left="5" w:firstLine="0"/>
              <w:jc w:val="left"/>
            </w:pPr>
            <w:r>
              <w:t>Xxx xxx xxx</w:t>
            </w:r>
          </w:p>
        </w:tc>
      </w:tr>
      <w:tr w:rsidR="009E7529">
        <w:trPr>
          <w:trHeight w:val="298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4" w:firstLine="0"/>
              <w:jc w:val="left"/>
            </w:pPr>
            <w:r>
              <w:t>DIČ: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cz28802209</w:t>
            </w:r>
          </w:p>
        </w:tc>
      </w:tr>
      <w:tr w:rsidR="009E7529">
        <w:trPr>
          <w:trHeight w:val="266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10" w:firstLine="0"/>
              <w:jc w:val="left"/>
            </w:pPr>
            <w:r>
              <w:t>IČO: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t>28802209</w:t>
            </w:r>
          </w:p>
        </w:tc>
      </w:tr>
      <w:tr w:rsidR="009E7529">
        <w:trPr>
          <w:trHeight w:val="307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t>Mgr. Petrem Štindlem</w:t>
            </w:r>
          </w:p>
        </w:tc>
      </w:tr>
      <w:tr w:rsidR="009E7529">
        <w:trPr>
          <w:trHeight w:val="28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t>Bankovní spojení: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75054">
            <w:pPr>
              <w:spacing w:after="0" w:line="259" w:lineRule="auto"/>
              <w:ind w:left="0" w:firstLine="0"/>
              <w:jc w:val="left"/>
            </w:pPr>
            <w:r>
              <w:t>xxxxxxxxxxxxxxxxxxxxxxx</w:t>
            </w:r>
          </w:p>
        </w:tc>
      </w:tr>
      <w:tr w:rsidR="009E7529">
        <w:trPr>
          <w:trHeight w:val="552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13" w:line="259" w:lineRule="auto"/>
              <w:ind w:left="5" w:firstLine="0"/>
              <w:jc w:val="left"/>
            </w:pPr>
            <w:r>
              <w:t>Osoba oprávněná jednat:</w:t>
            </w:r>
          </w:p>
          <w:p w:rsidR="009E7529" w:rsidRDefault="002D5510">
            <w:pPr>
              <w:spacing w:after="0" w:line="259" w:lineRule="auto"/>
              <w:ind w:left="5" w:firstLine="0"/>
              <w:jc w:val="left"/>
            </w:pPr>
            <w:r>
              <w:t>(dále jen „prodávající”)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E7529" w:rsidRDefault="002D5510">
            <w:pPr>
              <w:spacing w:after="0" w:line="259" w:lineRule="auto"/>
              <w:ind w:left="0" w:firstLine="0"/>
              <w:jc w:val="left"/>
            </w:pPr>
            <w:r>
              <w:t>Mgr. Petr Stindl</w:t>
            </w:r>
          </w:p>
        </w:tc>
      </w:tr>
    </w:tbl>
    <w:p w:rsidR="009E7529" w:rsidRDefault="00505172">
      <w:pPr>
        <w:spacing w:after="0" w:line="259" w:lineRule="auto"/>
        <w:ind w:left="101" w:right="48"/>
        <w:jc w:val="center"/>
      </w:pPr>
      <w:r>
        <w:t>I</w:t>
      </w:r>
      <w:r w:rsidR="002D5510">
        <w:t>.</w:t>
      </w:r>
    </w:p>
    <w:p w:rsidR="009E7529" w:rsidRDefault="001C35CA">
      <w:pPr>
        <w:spacing w:after="267" w:line="259" w:lineRule="auto"/>
        <w:ind w:left="101" w:right="38"/>
        <w:jc w:val="center"/>
      </w:pPr>
      <w:r>
        <w:t>Ú</w:t>
      </w:r>
      <w:r w:rsidR="002D5510">
        <w:t>vodní ustanovení</w:t>
      </w:r>
    </w:p>
    <w:p w:rsidR="001C35CA" w:rsidRDefault="002D5510" w:rsidP="0049732F">
      <w:pPr>
        <w:ind w:left="142" w:hanging="60"/>
      </w:pPr>
      <w:r>
        <w:t>l</w:t>
      </w:r>
      <w:r w:rsidR="00F81BE5">
        <w:t>.</w:t>
      </w:r>
      <w:r>
        <w:t xml:space="preserve"> Mezi smluvními stranami byla dne </w:t>
      </w:r>
      <w:r w:rsidR="007A7A56">
        <w:t>11.10</w:t>
      </w:r>
      <w:r>
        <w:t>.2022 uzavřena Kupní smlouva č. S198/ 2022 (dále jen „smlouva”) na akci s názvem „Nové vybavení muzea v budově Latinské školy”</w:t>
      </w:r>
      <w:r>
        <w:rPr>
          <w:noProof/>
        </w:rPr>
        <w:drawing>
          <wp:inline distT="0" distB="0" distL="0" distR="0">
            <wp:extent cx="18289" cy="21337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29" w:rsidRDefault="001C35CA" w:rsidP="0049732F">
      <w:pPr>
        <w:ind w:left="142" w:hanging="142"/>
      </w:pPr>
      <w:r>
        <w:t xml:space="preserve">   Na základě oznámení zřizovatele a vlastníka budovy muzea</w:t>
      </w:r>
      <w:r w:rsidR="0049732F">
        <w:t xml:space="preserve">, o stavebních pracích a vlhkosti </w:t>
      </w:r>
      <w:r>
        <w:t>v</w:t>
      </w:r>
      <w:r w:rsidR="0049732F">
        <w:t> </w:t>
      </w:r>
      <w:r>
        <w:t>muzeu</w:t>
      </w:r>
      <w:r w:rsidR="0049732F">
        <w:t>,</w:t>
      </w:r>
      <w:r w:rsidR="00505172">
        <w:t xml:space="preserve"> byl uzavřen dne </w:t>
      </w:r>
      <w:r w:rsidR="0049732F">
        <w:t>17.10.2023 Dodatek č. 1 ke  smlouvě.</w:t>
      </w:r>
    </w:p>
    <w:p w:rsidR="00100994" w:rsidRDefault="00100994">
      <w:pPr>
        <w:ind w:left="413" w:hanging="331"/>
      </w:pPr>
    </w:p>
    <w:p w:rsidR="009E7529" w:rsidRDefault="002D5510" w:rsidP="0049732F">
      <w:pPr>
        <w:ind w:left="284" w:hanging="222"/>
        <w:rPr>
          <w:b/>
          <w:bCs/>
        </w:rPr>
      </w:pPr>
      <w:r>
        <w:t xml:space="preserve">2. Předmětem Dodatku č. </w:t>
      </w:r>
      <w:r w:rsidR="00F81BE5">
        <w:t>2</w:t>
      </w:r>
      <w:r>
        <w:t xml:space="preserve"> ke smlouvě je </w:t>
      </w:r>
      <w:r w:rsidRPr="00F81BE5">
        <w:t xml:space="preserve">změna </w:t>
      </w:r>
      <w:r w:rsidR="00F81BE5">
        <w:t xml:space="preserve">a upřesnění </w:t>
      </w:r>
      <w:r w:rsidR="002844DE">
        <w:t xml:space="preserve">specifikace </w:t>
      </w:r>
      <w:r w:rsidR="00F81BE5">
        <w:t xml:space="preserve">dodávky v položce </w:t>
      </w:r>
      <w:r w:rsidR="0066434F">
        <w:t>č.</w:t>
      </w:r>
      <w:r w:rsidR="00F81BE5">
        <w:t xml:space="preserve">13 a </w:t>
      </w:r>
      <w:r w:rsidR="0066434F">
        <w:t>č.</w:t>
      </w:r>
      <w:r w:rsidR="00F81BE5">
        <w:t>14</w:t>
      </w:r>
      <w:r>
        <w:t>, změna přílohy - Technická specifikace</w:t>
      </w:r>
      <w:r w:rsidR="00505172">
        <w:t>.</w:t>
      </w:r>
      <w:r>
        <w:t xml:space="preserve"> Důvodem pro změnu přílohy </w:t>
      </w:r>
      <w:r w:rsidR="002844DE">
        <w:t xml:space="preserve">uvedené v předchozím </w:t>
      </w:r>
      <w:r w:rsidR="00505172">
        <w:t>Dodatku č. 1 ke smlouvě</w:t>
      </w:r>
      <w:r w:rsidR="00F81BE5">
        <w:t xml:space="preserve"> je potřeba zajistit PC kompatibilní s</w:t>
      </w:r>
      <w:r w:rsidR="002844DE">
        <w:t> </w:t>
      </w:r>
      <w:r w:rsidR="00F81BE5">
        <w:t>expozicí</w:t>
      </w:r>
      <w:r w:rsidR="002844DE">
        <w:t xml:space="preserve"> muzea</w:t>
      </w:r>
      <w:r w:rsidR="00F81BE5">
        <w:t xml:space="preserve">. </w:t>
      </w:r>
      <w:r w:rsidR="001C35CA">
        <w:rPr>
          <w:b/>
          <w:bCs/>
        </w:rPr>
        <w:t xml:space="preserve">Celková cena zůstává v původní výši </w:t>
      </w:r>
      <w:r w:rsidR="0049732F">
        <w:rPr>
          <w:b/>
          <w:bCs/>
        </w:rPr>
        <w:t>dle Dodatku č. 1 ke smlouvě.</w:t>
      </w:r>
    </w:p>
    <w:p w:rsidR="00100994" w:rsidRPr="0066434F" w:rsidRDefault="00100994" w:rsidP="0049732F">
      <w:pPr>
        <w:ind w:left="284" w:hanging="222"/>
        <w:rPr>
          <w:b/>
          <w:bCs/>
        </w:rPr>
      </w:pPr>
    </w:p>
    <w:p w:rsidR="002844DE" w:rsidRPr="001C35CA" w:rsidRDefault="002844DE" w:rsidP="0049732F">
      <w:pPr>
        <w:ind w:left="284" w:hanging="222"/>
        <w:rPr>
          <w:b/>
        </w:rPr>
      </w:pPr>
      <w:r w:rsidRPr="001C35CA">
        <w:rPr>
          <w:b/>
        </w:rPr>
        <w:t>Odůvodnění změny dodávky PC:</w:t>
      </w:r>
    </w:p>
    <w:p w:rsidR="00883800" w:rsidRDefault="002844DE" w:rsidP="0049732F">
      <w:pPr>
        <w:ind w:left="284" w:hanging="222"/>
      </w:pPr>
      <w:r>
        <w:t xml:space="preserve">    Původně vysoutěžený počítač</w:t>
      </w:r>
      <w:r w:rsidR="00275054">
        <w:t xml:space="preserve"> </w:t>
      </w:r>
      <w:r>
        <w:t>již není na trhu k dispozici, z tohoto důvodu bude dodán</w:t>
      </w:r>
      <w:r w:rsidR="001C35CA">
        <w:t xml:space="preserve"> 1x</w:t>
      </w:r>
      <w:r>
        <w:t xml:space="preserve"> Acer Aspire C27-1751, který bude kompatibilní s</w:t>
      </w:r>
      <w:r w:rsidR="0066434F">
        <w:t>e systémem muzea, a dále bude dodán chytrý LED televizor LG 50UQ7500, místo druhého počítače, který již není k</w:t>
      </w:r>
      <w:r w:rsidR="001C35CA">
        <w:t> dostání na trhu. Televizor je pro</w:t>
      </w:r>
      <w:r w:rsidR="0066434F">
        <w:t xml:space="preserve"> expozici vhodnější než PC. Se změnou dodávky PC a chytré televize souvisí </w:t>
      </w:r>
    </w:p>
    <w:p w:rsidR="00883800" w:rsidRDefault="00883800" w:rsidP="0049732F">
      <w:pPr>
        <w:ind w:left="284" w:hanging="222"/>
      </w:pPr>
    </w:p>
    <w:p w:rsidR="00883800" w:rsidRDefault="00883800" w:rsidP="0049732F">
      <w:pPr>
        <w:ind w:left="284" w:hanging="222"/>
      </w:pPr>
    </w:p>
    <w:p w:rsidR="002844DE" w:rsidRDefault="0066434F" w:rsidP="00883800">
      <w:pPr>
        <w:ind w:left="0" w:firstLine="62"/>
      </w:pPr>
      <w:r>
        <w:lastRenderedPageBreak/>
        <w:t>i</w:t>
      </w:r>
      <w:r w:rsidR="00883800">
        <w:t> </w:t>
      </w:r>
      <w:r>
        <w:t>změna držáků v položce č. 14. Jedenkrát bude dodán nástěnný k</w:t>
      </w:r>
      <w:r w:rsidR="00883800">
        <w:t xml:space="preserve">ovový držák pro uchycení chytré </w:t>
      </w:r>
      <w:r>
        <w:t xml:space="preserve">televize a </w:t>
      </w:r>
      <w:r w:rsidR="0049732F">
        <w:t xml:space="preserve">  </w:t>
      </w:r>
      <w:r>
        <w:t>jedenkrát bude dodán dřevěný držák pro</w:t>
      </w:r>
      <w:r w:rsidR="001C35CA">
        <w:t xml:space="preserve"> pevné ukotvení PC v expozici.</w:t>
      </w:r>
    </w:p>
    <w:p w:rsidR="0066434F" w:rsidRDefault="0066434F">
      <w:pPr>
        <w:ind w:left="408" w:hanging="346"/>
      </w:pPr>
    </w:p>
    <w:p w:rsidR="005A030D" w:rsidRDefault="005A030D">
      <w:pPr>
        <w:ind w:left="408" w:hanging="346"/>
      </w:pPr>
    </w:p>
    <w:p w:rsidR="009E7529" w:rsidRDefault="00505172">
      <w:pPr>
        <w:spacing w:after="0" w:line="259" w:lineRule="auto"/>
        <w:ind w:left="48" w:firstLine="0"/>
        <w:jc w:val="center"/>
      </w:pPr>
      <w:r>
        <w:rPr>
          <w:sz w:val="20"/>
        </w:rPr>
        <w:t>II</w:t>
      </w:r>
      <w:r w:rsidR="002D5510">
        <w:rPr>
          <w:sz w:val="20"/>
        </w:rPr>
        <w:t>.</w:t>
      </w:r>
    </w:p>
    <w:p w:rsidR="009E7529" w:rsidRDefault="002D5510">
      <w:pPr>
        <w:spacing w:after="277" w:line="259" w:lineRule="auto"/>
        <w:ind w:left="43" w:firstLine="0"/>
        <w:jc w:val="center"/>
      </w:pPr>
      <w:r>
        <w:rPr>
          <w:sz w:val="24"/>
        </w:rPr>
        <w:t>Předmět dodatku</w:t>
      </w:r>
    </w:p>
    <w:p w:rsidR="009E7529" w:rsidRDefault="002D5510" w:rsidP="001C35CA">
      <w:pPr>
        <w:spacing w:after="179"/>
        <w:ind w:left="92"/>
      </w:pPr>
      <w:r>
        <w:t xml:space="preserve">l. Z důvodů shora uvedených zadavatel a prodávající </w:t>
      </w:r>
      <w:r w:rsidR="001C35CA">
        <w:t xml:space="preserve">tímto Dodatkem č. 2 ke Kupní smlouvě </w:t>
      </w:r>
      <w:r>
        <w:t xml:space="preserve">mění </w:t>
      </w:r>
      <w:r w:rsidR="001C35CA">
        <w:t>přílohu Dod</w:t>
      </w:r>
      <w:r w:rsidR="0066434F">
        <w:t>atku č.1</w:t>
      </w:r>
      <w:r w:rsidR="001C35CA">
        <w:t xml:space="preserve"> ke Kupní smlouvě, a to</w:t>
      </w:r>
      <w:r w:rsidR="0066434F">
        <w:t xml:space="preserve"> v položce č.13 a </w:t>
      </w:r>
      <w:r w:rsidR="0049732F">
        <w:t>v</w:t>
      </w:r>
      <w:r w:rsidR="001C35CA">
        <w:t xml:space="preserve"> položce </w:t>
      </w:r>
      <w:r w:rsidR="0066434F">
        <w:t>č.14</w:t>
      </w:r>
      <w:r w:rsidR="000E3AB4">
        <w:t xml:space="preserve">(nově položky 13 až 16) </w:t>
      </w:r>
      <w:bookmarkStart w:id="0" w:name="_GoBack"/>
      <w:bookmarkEnd w:id="0"/>
      <w:r>
        <w:t>takto:</w:t>
      </w:r>
    </w:p>
    <w:p w:rsidR="002844DE" w:rsidRDefault="002844DE" w:rsidP="0066434F">
      <w:pPr>
        <w:spacing w:after="179"/>
        <w:ind w:left="0" w:firstLine="0"/>
      </w:pPr>
    </w:p>
    <w:p w:rsidR="009E7529" w:rsidRDefault="007A7A56" w:rsidP="00CE0402">
      <w:pPr>
        <w:spacing w:after="135"/>
        <w:ind w:left="-142"/>
      </w:pPr>
      <w:r>
        <w:t>1</w:t>
      </w:r>
      <w:r w:rsidR="002D5510">
        <w:t>.3. Příloha — Technická specifikace nově zní:</w:t>
      </w:r>
    </w:p>
    <w:p w:rsidR="005A030D" w:rsidRDefault="005A030D" w:rsidP="00CE0402">
      <w:pPr>
        <w:spacing w:after="135"/>
        <w:ind w:left="-142"/>
      </w:pPr>
    </w:p>
    <w:tbl>
      <w:tblPr>
        <w:tblW w:w="10916" w:type="dxa"/>
        <w:tblInd w:w="-993" w:type="dxa"/>
        <w:tblCellMar>
          <w:left w:w="70" w:type="dxa"/>
          <w:right w:w="70" w:type="dxa"/>
        </w:tblCellMar>
        <w:tblLook w:val="04A0"/>
      </w:tblPr>
      <w:tblGrid>
        <w:gridCol w:w="851"/>
        <w:gridCol w:w="2977"/>
        <w:gridCol w:w="1276"/>
        <w:gridCol w:w="992"/>
        <w:gridCol w:w="1134"/>
        <w:gridCol w:w="1276"/>
        <w:gridCol w:w="1134"/>
        <w:gridCol w:w="1276"/>
      </w:tblGrid>
      <w:tr w:rsidR="00CE0402" w:rsidRPr="00CE0402" w:rsidTr="00CE0402">
        <w:trPr>
          <w:trHeight w:val="39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E0402">
              <w:rPr>
                <w:b/>
                <w:bCs/>
                <w:sz w:val="24"/>
                <w:szCs w:val="24"/>
              </w:rPr>
              <w:t>Nové vybavení muzea v budově Latinské školy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0402" w:rsidRPr="00CE0402" w:rsidTr="00CE0402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Číslo položky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Požadavek (název zboží)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Měrná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Cena za kus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Cena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DPH (21%)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Cena vč. DPH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stůl stohovatelný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48 400,00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židle stohovatelná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29 400,00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169 400,00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jednací stůl - kruhový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8 470,00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konferenční židle k jednacímu stolu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3 780,00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21 780,00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sedáky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2 520,00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14 520,00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knihovna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6 050,00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výstavní mobilní panel - štosovatelný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24 570,00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141 570,00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Acer Aspire C27-1751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27 000,00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54 000,00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11 340,00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65 340,00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LG 50UQ7500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27 000,00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nástěnný držák na LG 50UQ7500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847,00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dřevěný držák na Acer Aspire C27-1751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363,00</w:t>
            </w:r>
          </w:p>
        </w:tc>
      </w:tr>
      <w:tr w:rsidR="00CE0402" w:rsidRPr="00CE0402" w:rsidTr="00CE0402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pódiavčetně osvětlení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m</w:t>
            </w:r>
            <w:r w:rsidRPr="00CE040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25 200,00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145 200,00</w:t>
            </w:r>
          </w:p>
        </w:tc>
      </w:tr>
      <w:tr w:rsidR="00CE0402" w:rsidRPr="00CE0402" w:rsidTr="00CE0402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 xml:space="preserve">dřevěný obklad zadní stěny expozice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m</w:t>
            </w:r>
            <w:r w:rsidRPr="00CE040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96 800,00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výstavní skříně oboustranné vč. osvětlení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242 000,00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 xml:space="preserve">grafické práce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2 940,00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16 940,00</w:t>
            </w:r>
          </w:p>
        </w:tc>
      </w:tr>
      <w:tr w:rsidR="00CE0402" w:rsidRPr="00CE0402" w:rsidTr="00CE0402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řezaná grafika - tisk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m</w:t>
            </w:r>
            <w:r w:rsidRPr="00CE040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2 835,00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16 335,00</w:t>
            </w:r>
          </w:p>
        </w:tc>
      </w:tr>
      <w:tr w:rsidR="00CE0402" w:rsidRPr="00CE0402" w:rsidTr="00CE04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doprava a montáž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E0402">
              <w:rPr>
                <w:color w:val="auto"/>
                <w:sz w:val="18"/>
                <w:szCs w:val="18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CE0402">
              <w:rPr>
                <w:sz w:val="18"/>
                <w:szCs w:val="18"/>
              </w:rPr>
              <w:t>72 600,00</w:t>
            </w:r>
          </w:p>
        </w:tc>
      </w:tr>
      <w:tr w:rsidR="00CE0402" w:rsidRPr="00CE0402" w:rsidTr="00CE0402">
        <w:trPr>
          <w:trHeight w:val="31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CE0402">
              <w:rPr>
                <w:b/>
                <w:bCs/>
                <w:sz w:val="18"/>
                <w:szCs w:val="18"/>
              </w:rPr>
              <w:t xml:space="preserve">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E0402">
              <w:rPr>
                <w:b/>
                <w:bCs/>
                <w:sz w:val="18"/>
                <w:szCs w:val="18"/>
              </w:rPr>
              <w:t>881 500,00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E0402">
              <w:rPr>
                <w:b/>
                <w:bCs/>
                <w:sz w:val="18"/>
                <w:szCs w:val="18"/>
              </w:rPr>
              <w:t>185 115,00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0402" w:rsidRPr="00CE0402" w:rsidRDefault="00CE0402" w:rsidP="00CE0402">
            <w:pPr>
              <w:spacing w:after="0" w:line="240" w:lineRule="auto"/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E0402">
              <w:rPr>
                <w:b/>
                <w:bCs/>
                <w:sz w:val="18"/>
                <w:szCs w:val="18"/>
              </w:rPr>
              <w:t>1 066 615,00</w:t>
            </w:r>
          </w:p>
        </w:tc>
      </w:tr>
    </w:tbl>
    <w:p w:rsidR="00CE0402" w:rsidRDefault="00CE0402">
      <w:pPr>
        <w:spacing w:after="135"/>
        <w:ind w:left="427"/>
      </w:pPr>
    </w:p>
    <w:p w:rsidR="00CE0402" w:rsidRDefault="00CE0402">
      <w:pPr>
        <w:spacing w:after="135"/>
        <w:ind w:left="427"/>
      </w:pPr>
    </w:p>
    <w:p w:rsidR="0049732F" w:rsidRDefault="0049732F">
      <w:pPr>
        <w:spacing w:after="135"/>
        <w:ind w:left="427"/>
      </w:pPr>
    </w:p>
    <w:p w:rsidR="0049732F" w:rsidRDefault="0049732F">
      <w:pPr>
        <w:spacing w:after="180" w:line="259" w:lineRule="auto"/>
        <w:ind w:left="101" w:right="48"/>
        <w:jc w:val="center"/>
      </w:pPr>
    </w:p>
    <w:p w:rsidR="009E7529" w:rsidRDefault="002D5510">
      <w:pPr>
        <w:spacing w:after="180" w:line="259" w:lineRule="auto"/>
        <w:ind w:left="101" w:right="48"/>
        <w:jc w:val="center"/>
      </w:pPr>
      <w:r>
        <w:t>III. Závěrečná ustanovení</w:t>
      </w:r>
    </w:p>
    <w:p w:rsidR="009E7529" w:rsidRDefault="002D5510">
      <w:pPr>
        <w:numPr>
          <w:ilvl w:val="0"/>
          <w:numId w:val="1"/>
        </w:numPr>
        <w:ind w:hanging="355"/>
      </w:pPr>
      <w:r>
        <w:t>Ostatní ujednání smlouvy se nemění a zůstávají v platnosti beze změny.</w:t>
      </w:r>
    </w:p>
    <w:p w:rsidR="009E7529" w:rsidRDefault="002D5510">
      <w:pPr>
        <w:numPr>
          <w:ilvl w:val="0"/>
          <w:numId w:val="1"/>
        </w:numPr>
        <w:ind w:hanging="355"/>
      </w:pPr>
      <w:r>
        <w:t>Tento dodatek nabývá platnosti dnem podpisu oběma smluvními stranami a účinnosti dnem uveřejnění v registru smluv (</w:t>
      </w:r>
      <w:r w:rsidR="00D10F87">
        <w:rPr>
          <w:rStyle w:val="hgkelc"/>
        </w:rPr>
        <w:t>§</w:t>
      </w:r>
      <w:r>
        <w:t xml:space="preserve"> 6 zák. č. 340/2015 Sb.). Smluvní strany s přihlédnutím k uveřejnění prohlašují, že skutečnosti uvedené v tomto dodatku nepovažují za obchodní tajemství ve smyslu ustanovení </w:t>
      </w:r>
      <w:r w:rsidR="00D10F87">
        <w:rPr>
          <w:rStyle w:val="hgkelc"/>
        </w:rPr>
        <w:t xml:space="preserve">§ </w:t>
      </w:r>
      <w:r>
        <w:t>504 a násl. zák. č. 89/2012 Sb., občanský zákoník. Uveřejnění dodatku prostřednictvím registru smluv (</w:t>
      </w:r>
      <w:r w:rsidR="00D10F87">
        <w:rPr>
          <w:rStyle w:val="hgkelc"/>
        </w:rPr>
        <w:t>§</w:t>
      </w:r>
      <w:r>
        <w:t xml:space="preserve"> 5 zák. č. 340/2015 Sb.) zabezpečí zadavatel, a to nejpozději do 30 dnů od podpisu dodatku.</w:t>
      </w:r>
    </w:p>
    <w:p w:rsidR="009E7529" w:rsidRDefault="002D5510">
      <w:pPr>
        <w:numPr>
          <w:ilvl w:val="0"/>
          <w:numId w:val="1"/>
        </w:numPr>
        <w:ind w:hanging="355"/>
      </w:pPr>
      <w:r>
        <w:t>Smluvní strany konstatují, že dodatek byl vyhotoven ve dvou stejnopisech, z nichž každý obdrží po jednom vyhotovení.</w:t>
      </w:r>
    </w:p>
    <w:p w:rsidR="009E7529" w:rsidRDefault="002D5510">
      <w:pPr>
        <w:numPr>
          <w:ilvl w:val="0"/>
          <w:numId w:val="1"/>
        </w:numPr>
        <w:ind w:hanging="355"/>
      </w:pPr>
      <w:r>
        <w:t>Obě smluvní strany potvrzují autentičnost dodatku a prohlašují, že si dodatek přečetly, s jeho obsahem souhlasí, že dodatek byl sepsán na základě pravdivých údajů, z jejich pravé a svobodné</w:t>
      </w:r>
    </w:p>
    <w:p w:rsidR="009E7529" w:rsidRDefault="002D5510">
      <w:pPr>
        <w:ind w:left="351"/>
      </w:pPr>
      <w:r>
        <w:t>vůle a bez jednostranně nevýhodných podmínek, což stvrzují svým podpisem, resp. podpisem svého oprávněného zástupce.</w:t>
      </w:r>
    </w:p>
    <w:p w:rsidR="00CE0402" w:rsidRDefault="00CE0402" w:rsidP="00CE0402">
      <w:pPr>
        <w:spacing w:after="440"/>
        <w:ind w:left="413" w:firstLine="0"/>
      </w:pPr>
    </w:p>
    <w:p w:rsidR="00CE0402" w:rsidRDefault="002D5510" w:rsidP="00CE0402">
      <w:pPr>
        <w:spacing w:after="199" w:line="259" w:lineRule="auto"/>
        <w:ind w:left="0" w:right="77" w:firstLine="0"/>
      </w:pPr>
      <w:r>
        <w:t xml:space="preserve">V Moravské Třebové dne </w:t>
      </w:r>
      <w:r w:rsidR="00CE0402">
        <w:t>20</w:t>
      </w:r>
      <w:r>
        <w:t>. 1</w:t>
      </w:r>
      <w:r w:rsidR="00CE0402">
        <w:t>1</w:t>
      </w:r>
      <w:r>
        <w:t>. 2023</w:t>
      </w:r>
      <w:r w:rsidR="00CE0402">
        <w:tab/>
      </w:r>
      <w:r w:rsidR="00CE0402">
        <w:tab/>
        <w:t xml:space="preserve">           V Moravské Třebové dne 20. 11. 2023</w:t>
      </w:r>
    </w:p>
    <w:p w:rsidR="009E7529" w:rsidRDefault="00CE0402" w:rsidP="00CE0402">
      <w:pPr>
        <w:spacing w:after="47"/>
        <w:ind w:left="0" w:firstLine="0"/>
      </w:pPr>
      <w:r>
        <w:t xml:space="preserve">Za zadavatele                                                                      </w:t>
      </w:r>
      <w:r w:rsidR="002D5510">
        <w:t>Za prodávajícího</w:t>
      </w:r>
    </w:p>
    <w:p w:rsidR="00CE0402" w:rsidRDefault="00CE0402" w:rsidP="00CE0402">
      <w:pPr>
        <w:spacing w:after="47"/>
        <w:ind w:left="0" w:firstLine="0"/>
      </w:pPr>
    </w:p>
    <w:p w:rsidR="00CE0402" w:rsidRDefault="00CE0402" w:rsidP="00CE0402">
      <w:pPr>
        <w:spacing w:after="47"/>
        <w:ind w:left="0" w:firstLine="0"/>
      </w:pPr>
    </w:p>
    <w:p w:rsidR="0049732F" w:rsidRDefault="0049732F" w:rsidP="00CE0402">
      <w:pPr>
        <w:spacing w:after="47"/>
        <w:ind w:left="0" w:firstLine="0"/>
      </w:pPr>
    </w:p>
    <w:p w:rsidR="0049732F" w:rsidRDefault="0049732F" w:rsidP="00CE0402">
      <w:pPr>
        <w:spacing w:after="47"/>
        <w:ind w:left="0" w:firstLine="0"/>
      </w:pPr>
    </w:p>
    <w:p w:rsidR="00CE0402" w:rsidRDefault="00CE0402" w:rsidP="00CE0402">
      <w:pPr>
        <w:spacing w:after="47"/>
        <w:ind w:left="0" w:firstLine="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CE0402" w:rsidRDefault="00CE0402" w:rsidP="00CE0402">
      <w:r>
        <w:t>MgA. Marie Blažková</w:t>
      </w:r>
      <w:r>
        <w:tab/>
      </w:r>
      <w:r>
        <w:tab/>
      </w:r>
      <w:r>
        <w:tab/>
      </w:r>
      <w:r>
        <w:tab/>
      </w:r>
      <w:r w:rsidR="002D5510">
        <w:t xml:space="preserve">Mgr. </w:t>
      </w:r>
      <w:r>
        <w:t>Petr Štindl</w:t>
      </w:r>
    </w:p>
    <w:p w:rsidR="009E7529" w:rsidRDefault="00CE0402" w:rsidP="00CE0402">
      <w:r>
        <w:t>ředitelka</w:t>
      </w:r>
      <w:r>
        <w:tab/>
      </w:r>
      <w:r>
        <w:tab/>
      </w:r>
      <w:r>
        <w:tab/>
      </w:r>
      <w:r>
        <w:tab/>
      </w:r>
      <w:r>
        <w:tab/>
      </w:r>
      <w:r w:rsidR="002D5510">
        <w:t>jednatel</w:t>
      </w:r>
    </w:p>
    <w:sectPr w:rsidR="009E7529" w:rsidSect="004523FE">
      <w:headerReference w:type="even" r:id="rId9"/>
      <w:headerReference w:type="default" r:id="rId10"/>
      <w:headerReference w:type="first" r:id="rId11"/>
      <w:pgSz w:w="11900" w:h="16820"/>
      <w:pgMar w:top="2183" w:right="1570" w:bottom="1568" w:left="1464" w:header="12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64" w:rsidRDefault="000F4964">
      <w:pPr>
        <w:spacing w:after="0" w:line="240" w:lineRule="auto"/>
      </w:pPr>
      <w:r>
        <w:separator/>
      </w:r>
    </w:p>
  </w:endnote>
  <w:endnote w:type="continuationSeparator" w:id="1">
    <w:p w:rsidR="000F4964" w:rsidRDefault="000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64" w:rsidRDefault="000F4964">
      <w:pPr>
        <w:spacing w:after="0" w:line="240" w:lineRule="auto"/>
      </w:pPr>
      <w:r>
        <w:separator/>
      </w:r>
    </w:p>
  </w:footnote>
  <w:footnote w:type="continuationSeparator" w:id="1">
    <w:p w:rsidR="000F4964" w:rsidRDefault="000F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29" w:rsidRDefault="002D5510">
    <w:pPr>
      <w:spacing w:after="0" w:line="259" w:lineRule="auto"/>
      <w:ind w:left="1181" w:firstLine="0"/>
      <w:jc w:val="left"/>
    </w:pPr>
    <w:r>
      <w:rPr>
        <w:sz w:val="16"/>
      </w:rPr>
      <w:t>EVROPSKÁ UNIE</w:t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Evropský zemědělský fond pro rozvoj venkova</w:t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Evropa investuje do venkovských oblastí</w:t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Program rozvoje venkova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29" w:rsidRDefault="00100994">
    <w:pPr>
      <w:spacing w:after="0" w:line="259" w:lineRule="auto"/>
      <w:ind w:left="1181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5302885</wp:posOffset>
          </wp:positionH>
          <wp:positionV relativeFrom="paragraph">
            <wp:posOffset>-45720</wp:posOffset>
          </wp:positionV>
          <wp:extent cx="513596" cy="514350"/>
          <wp:effectExtent l="0" t="0" r="1270" b="0"/>
          <wp:wrapNone/>
          <wp:docPr id="7" name="Obrázek 7" descr="https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96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030D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769620</wp:posOffset>
          </wp:positionV>
          <wp:extent cx="624882" cy="423692"/>
          <wp:effectExtent l="0" t="0" r="3810" b="0"/>
          <wp:wrapThrough wrapText="bothSides">
            <wp:wrapPolygon edited="0">
              <wp:start x="0" y="0"/>
              <wp:lineTo x="0" y="20402"/>
              <wp:lineTo x="21073" y="20402"/>
              <wp:lineTo x="21073" y="0"/>
              <wp:lineTo x="0" y="0"/>
            </wp:wrapPolygon>
          </wp:wrapThrough>
          <wp:docPr id="1338307710" name="Picture 84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7" name="Picture 845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882" cy="42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510">
      <w:rPr>
        <w:sz w:val="16"/>
      </w:rPr>
      <w:t>EVROPSKÁ UNIE</w:t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Evropský zemědělský fond pro rozvoj venkova</w:t>
    </w:r>
  </w:p>
  <w:p w:rsidR="009E7529" w:rsidRDefault="002D5510" w:rsidP="00100994">
    <w:pPr>
      <w:tabs>
        <w:tab w:val="right" w:pos="7727"/>
      </w:tabs>
      <w:spacing w:after="0" w:line="259" w:lineRule="auto"/>
      <w:ind w:left="1181" w:firstLine="0"/>
      <w:jc w:val="left"/>
    </w:pPr>
    <w:r>
      <w:rPr>
        <w:sz w:val="14"/>
      </w:rPr>
      <w:t>Evropa investuje do venkovských oblastí</w:t>
    </w:r>
    <w:r w:rsidR="00100994">
      <w:rPr>
        <w:sz w:val="14"/>
      </w:rPr>
      <w:tab/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Program rozvoje venkova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29" w:rsidRDefault="002D5510">
    <w:pPr>
      <w:spacing w:after="0" w:line="259" w:lineRule="auto"/>
      <w:ind w:left="1181" w:firstLine="0"/>
      <w:jc w:val="left"/>
    </w:pPr>
    <w:r>
      <w:rPr>
        <w:sz w:val="16"/>
      </w:rPr>
      <w:t>EVROPSKÁ UNIE</w:t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Evropský zemědělský fond pro rozvoj venkova</w:t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Evropa investuje do venkovských oblastí</w:t>
    </w:r>
  </w:p>
  <w:p w:rsidR="009E7529" w:rsidRDefault="002D5510">
    <w:pPr>
      <w:spacing w:after="0" w:line="259" w:lineRule="auto"/>
      <w:ind w:left="1181" w:firstLine="0"/>
      <w:jc w:val="left"/>
    </w:pPr>
    <w:r>
      <w:rPr>
        <w:sz w:val="14"/>
      </w:rPr>
      <w:t>Program rozvoje venkova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0F6"/>
    <w:multiLevelType w:val="hybridMultilevel"/>
    <w:tmpl w:val="66C07004"/>
    <w:lvl w:ilvl="0" w:tplc="C60EBE8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8CA2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65D3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C81E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047C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EB5A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2A1C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8EAE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C587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529"/>
    <w:rsid w:val="000E3AB4"/>
    <w:rsid w:val="000F4964"/>
    <w:rsid w:val="00100994"/>
    <w:rsid w:val="001C35CA"/>
    <w:rsid w:val="00275054"/>
    <w:rsid w:val="002844DE"/>
    <w:rsid w:val="002D5510"/>
    <w:rsid w:val="004523FE"/>
    <w:rsid w:val="0049732F"/>
    <w:rsid w:val="004A3D05"/>
    <w:rsid w:val="00505172"/>
    <w:rsid w:val="005A030D"/>
    <w:rsid w:val="0066434F"/>
    <w:rsid w:val="006E6137"/>
    <w:rsid w:val="007A7A56"/>
    <w:rsid w:val="00883800"/>
    <w:rsid w:val="009E7529"/>
    <w:rsid w:val="00B102B5"/>
    <w:rsid w:val="00C154A2"/>
    <w:rsid w:val="00CE0402"/>
    <w:rsid w:val="00D10F87"/>
    <w:rsid w:val="00DD74C2"/>
    <w:rsid w:val="00E535EE"/>
    <w:rsid w:val="00F3225F"/>
    <w:rsid w:val="00F8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3FE"/>
    <w:pPr>
      <w:spacing w:after="3" w:line="271" w:lineRule="auto"/>
      <w:ind w:left="5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523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Standardnpsmoodstavce"/>
    <w:rsid w:val="00D10F87"/>
  </w:style>
  <w:style w:type="paragraph" w:styleId="Zpat">
    <w:name w:val="footer"/>
    <w:basedOn w:val="Normln"/>
    <w:link w:val="ZpatChar"/>
    <w:uiPriority w:val="99"/>
    <w:unhideWhenUsed/>
    <w:rsid w:val="005A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30D"/>
    <w:rPr>
      <w:rFonts w:ascii="Times New Roman" w:eastAsia="Times New Roman" w:hAnsi="Times New Roman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8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C3EF-5BB9-407E-8803-297D5AF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Ucetni</cp:lastModifiedBy>
  <cp:revision>5</cp:revision>
  <cp:lastPrinted>2024-04-18T07:22:00Z</cp:lastPrinted>
  <dcterms:created xsi:type="dcterms:W3CDTF">2024-04-17T12:37:00Z</dcterms:created>
  <dcterms:modified xsi:type="dcterms:W3CDTF">2024-04-18T07:38:00Z</dcterms:modified>
</cp:coreProperties>
</file>