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A74" w14:textId="77777777" w:rsidR="005E63FD" w:rsidRPr="00B251D6" w:rsidRDefault="005E63FD" w:rsidP="004F24C6">
      <w:pPr>
        <w:jc w:val="center"/>
        <w:rPr>
          <w:b/>
          <w:bCs/>
          <w:sz w:val="24"/>
          <w:szCs w:val="24"/>
        </w:rPr>
      </w:pPr>
      <w:r w:rsidRPr="00B251D6">
        <w:rPr>
          <w:b/>
          <w:bCs/>
          <w:sz w:val="24"/>
          <w:szCs w:val="24"/>
        </w:rPr>
        <w:t>Smlouva o zřízení služebnosti</w:t>
      </w:r>
    </w:p>
    <w:p w14:paraId="4F2C83B7" w14:textId="77777777" w:rsidR="00D62DE0" w:rsidRDefault="005E63FD" w:rsidP="004F24C6">
      <w:pPr>
        <w:jc w:val="center"/>
        <w:rPr>
          <w:b/>
          <w:bCs/>
          <w:color w:val="00B050"/>
          <w:sz w:val="24"/>
          <w:szCs w:val="24"/>
        </w:rPr>
      </w:pPr>
      <w:r w:rsidRPr="00B251D6">
        <w:rPr>
          <w:b/>
          <w:bCs/>
          <w:sz w:val="24"/>
          <w:szCs w:val="24"/>
        </w:rPr>
        <w:t xml:space="preserve">uzavřená dle </w:t>
      </w:r>
      <w:proofErr w:type="spellStart"/>
      <w:r w:rsidRPr="00B251D6">
        <w:rPr>
          <w:b/>
          <w:bCs/>
          <w:sz w:val="24"/>
          <w:szCs w:val="24"/>
        </w:rPr>
        <w:t>ust</w:t>
      </w:r>
      <w:proofErr w:type="spellEnd"/>
      <w:r w:rsidRPr="00B251D6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B251D6">
          <w:rPr>
            <w:b/>
            <w:bCs/>
            <w:sz w:val="24"/>
            <w:szCs w:val="24"/>
          </w:rPr>
          <w:t>1257 a</w:t>
        </w:r>
      </w:smartTag>
      <w:r w:rsidRPr="00B251D6">
        <w:rPr>
          <w:b/>
          <w:bCs/>
          <w:sz w:val="24"/>
          <w:szCs w:val="24"/>
        </w:rPr>
        <w:t xml:space="preserve"> násl. zákona č. 89/2012 Sb., občanský zákoník</w:t>
      </w:r>
      <w:r w:rsidR="006D3D48" w:rsidRPr="006D3D48">
        <w:rPr>
          <w:b/>
          <w:bCs/>
          <w:color w:val="00B050"/>
          <w:sz w:val="24"/>
          <w:szCs w:val="24"/>
        </w:rPr>
        <w:t>,</w:t>
      </w:r>
    </w:p>
    <w:p w14:paraId="79C5D992" w14:textId="77777777" w:rsidR="000E51A4" w:rsidRPr="000D13ED" w:rsidRDefault="006D3D48" w:rsidP="004F24C6">
      <w:pPr>
        <w:jc w:val="center"/>
        <w:rPr>
          <w:sz w:val="24"/>
          <w:szCs w:val="24"/>
        </w:rPr>
      </w:pPr>
      <w:r w:rsidRPr="000D13ED">
        <w:rPr>
          <w:b/>
          <w:bCs/>
          <w:sz w:val="24"/>
          <w:szCs w:val="24"/>
        </w:rPr>
        <w:t>ve znění pozdějších předpisů</w:t>
      </w:r>
    </w:p>
    <w:p w14:paraId="3638AAEE" w14:textId="77777777" w:rsidR="005E63FD" w:rsidRPr="000D13ED" w:rsidRDefault="005D7CC9" w:rsidP="004F24C6">
      <w:pPr>
        <w:jc w:val="center"/>
        <w:rPr>
          <w:sz w:val="24"/>
          <w:szCs w:val="24"/>
        </w:rPr>
      </w:pPr>
      <w:r w:rsidRPr="000D13ED">
        <w:rPr>
          <w:b/>
          <w:bCs/>
          <w:sz w:val="24"/>
          <w:szCs w:val="24"/>
        </w:rPr>
        <w:t xml:space="preserve">a dle </w:t>
      </w:r>
      <w:proofErr w:type="spellStart"/>
      <w:r w:rsidRPr="000D13ED">
        <w:rPr>
          <w:b/>
          <w:bCs/>
          <w:sz w:val="24"/>
          <w:szCs w:val="24"/>
        </w:rPr>
        <w:t>ust</w:t>
      </w:r>
      <w:proofErr w:type="spellEnd"/>
      <w:r w:rsidRPr="000D13ED">
        <w:rPr>
          <w:b/>
          <w:bCs/>
          <w:sz w:val="24"/>
          <w:szCs w:val="24"/>
        </w:rPr>
        <w:t xml:space="preserve">. § 104 odst. 3 zákona č. 127/2005 Sb., zákon o elektronických </w:t>
      </w:r>
      <w:r w:rsidR="00D62DE0" w:rsidRPr="000D13ED">
        <w:rPr>
          <w:b/>
          <w:bCs/>
          <w:sz w:val="24"/>
          <w:szCs w:val="24"/>
        </w:rPr>
        <w:t>komunikacích a o </w:t>
      </w:r>
      <w:r w:rsidRPr="000D13ED">
        <w:rPr>
          <w:b/>
          <w:bCs/>
          <w:sz w:val="24"/>
          <w:szCs w:val="24"/>
        </w:rPr>
        <w:t>změně některých souvisejících zákonů, ve znění pozdějších přepisů</w:t>
      </w:r>
    </w:p>
    <w:p w14:paraId="37022DB9" w14:textId="77777777" w:rsidR="005E63FD" w:rsidRPr="0088785F" w:rsidRDefault="005E63FD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r w:rsidRPr="00E8708F">
        <w:rPr>
          <w:rStyle w:val="Siln"/>
          <w:b/>
          <w:bCs/>
          <w:color w:val="auto"/>
        </w:rPr>
        <w:t xml:space="preserve"> </w:t>
      </w:r>
      <w:r w:rsidRPr="0088785F">
        <w:rPr>
          <w:rStyle w:val="Siln"/>
          <w:b/>
          <w:bCs/>
          <w:color w:val="auto"/>
        </w:rPr>
        <w:t xml:space="preserve"> </w:t>
      </w:r>
      <w:bookmarkStart w:id="0" w:name="_Ref365896718"/>
      <w:r w:rsidRPr="0088785F">
        <w:rPr>
          <w:rStyle w:val="Siln"/>
          <w:b/>
          <w:bCs/>
          <w:color w:val="auto"/>
        </w:rPr>
        <w:t>Smluvní strany.</w:t>
      </w:r>
      <w:bookmarkEnd w:id="0"/>
    </w:p>
    <w:p w14:paraId="69A0F410" w14:textId="77777777" w:rsidR="005E63FD" w:rsidRPr="00A7593E" w:rsidRDefault="005E63FD" w:rsidP="00DA7901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7593E">
        <w:rPr>
          <w:b/>
          <w:bCs/>
          <w:sz w:val="24"/>
          <w:szCs w:val="24"/>
        </w:rPr>
        <w:t xml:space="preserve">Povinný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D84BE5" w:rsidRPr="00BE0F25" w14:paraId="1D84BD88" w14:textId="77777777" w:rsidTr="00B90AF4">
        <w:tc>
          <w:tcPr>
            <w:tcW w:w="2977" w:type="dxa"/>
          </w:tcPr>
          <w:p w14:paraId="5EBFEC31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03D5009A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D84BE5" w:rsidRPr="00BE0F25" w14:paraId="603C25F1" w14:textId="77777777" w:rsidTr="00B90AF4">
        <w:tc>
          <w:tcPr>
            <w:tcW w:w="2977" w:type="dxa"/>
          </w:tcPr>
          <w:p w14:paraId="0867DCFB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1395431B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>
              <w:rPr>
                <w:sz w:val="24"/>
                <w:szCs w:val="24"/>
              </w:rPr>
              <w:t>196/1, Brno - m</w:t>
            </w:r>
            <w:r w:rsidRPr="001C46A1">
              <w:rPr>
                <w:sz w:val="24"/>
                <w:szCs w:val="24"/>
              </w:rPr>
              <w:t>ěsto, 602 00 Brno</w:t>
            </w:r>
          </w:p>
        </w:tc>
      </w:tr>
      <w:tr w:rsidR="00D84BE5" w:rsidRPr="00BE0F25" w14:paraId="243B2D8E" w14:textId="77777777" w:rsidTr="00B90AF4">
        <w:tc>
          <w:tcPr>
            <w:tcW w:w="2977" w:type="dxa"/>
          </w:tcPr>
          <w:p w14:paraId="7E888529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56696456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D84BE5" w:rsidRPr="00BE0F25" w14:paraId="744C640F" w14:textId="77777777" w:rsidTr="00B90AF4">
        <w:tc>
          <w:tcPr>
            <w:tcW w:w="2977" w:type="dxa"/>
          </w:tcPr>
          <w:p w14:paraId="0D4F7329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3C01A5D1" w14:textId="56514490" w:rsidR="00D84BE5" w:rsidRDefault="00D84BE5" w:rsidP="00B90AF4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A599E">
              <w:rPr>
                <w:sz w:val="24"/>
                <w:szCs w:val="24"/>
              </w:rPr>
              <w:t>MBA</w:t>
            </w:r>
          </w:p>
          <w:p w14:paraId="26430610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D84BE5" w:rsidRPr="00BE0F25" w14:paraId="5FD87DA6" w14:textId="77777777" w:rsidTr="00B90AF4">
        <w:tc>
          <w:tcPr>
            <w:tcW w:w="2977" w:type="dxa"/>
          </w:tcPr>
          <w:p w14:paraId="31A781E5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022EFE25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D84BE5" w:rsidRPr="00BE0F25" w14:paraId="327880D2" w14:textId="77777777" w:rsidTr="00B90AF4">
        <w:tc>
          <w:tcPr>
            <w:tcW w:w="2977" w:type="dxa"/>
          </w:tcPr>
          <w:p w14:paraId="0F592998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6A9D5FFE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  <w:tr w:rsidR="00D84BE5" w:rsidRPr="00BE0F25" w14:paraId="01E9506C" w14:textId="77777777" w:rsidTr="00B90AF4">
        <w:tc>
          <w:tcPr>
            <w:tcW w:w="2977" w:type="dxa"/>
          </w:tcPr>
          <w:p w14:paraId="53F2C132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22EA6AE4" w14:textId="77777777" w:rsidR="00D84BE5" w:rsidRPr="006A6C9A" w:rsidRDefault="00D84BE5" w:rsidP="00B9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spořitelna, a.s</w:t>
            </w:r>
            <w:r w:rsidRPr="006A6C9A">
              <w:rPr>
                <w:sz w:val="24"/>
                <w:szCs w:val="24"/>
              </w:rPr>
              <w:t>,</w:t>
            </w:r>
          </w:p>
          <w:p w14:paraId="16136A7F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CC1FBD">
              <w:rPr>
                <w:sz w:val="24"/>
                <w:szCs w:val="24"/>
              </w:rPr>
              <w:t>Olbrachtova 1929/62, 140 00 Praha 4</w:t>
            </w:r>
          </w:p>
        </w:tc>
      </w:tr>
      <w:tr w:rsidR="00D84BE5" w:rsidRPr="00BE0F25" w14:paraId="7817D1A3" w14:textId="77777777" w:rsidTr="00B90AF4">
        <w:tc>
          <w:tcPr>
            <w:tcW w:w="2977" w:type="dxa"/>
          </w:tcPr>
          <w:p w14:paraId="6EBF013E" w14:textId="77777777" w:rsidR="00D84BE5" w:rsidRPr="00BE0F25" w:rsidRDefault="00D84BE5" w:rsidP="00B90AF4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309FA8B4" w14:textId="3E5D9FDE" w:rsidR="00D84BE5" w:rsidRPr="00BE0F25" w:rsidRDefault="00D84BE5" w:rsidP="006D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111422222</w:t>
            </w:r>
            <w:r w:rsidRPr="006A6C9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0800</w:t>
            </w:r>
            <w:r w:rsidRPr="006A6C9A">
              <w:rPr>
                <w:sz w:val="24"/>
                <w:szCs w:val="24"/>
              </w:rPr>
              <w:t>, variabilní symbol 5</w:t>
            </w:r>
            <w:r>
              <w:rPr>
                <w:sz w:val="24"/>
                <w:szCs w:val="24"/>
              </w:rPr>
              <w:t>6</w:t>
            </w:r>
            <w:r w:rsidR="006D40CF">
              <w:rPr>
                <w:sz w:val="24"/>
                <w:szCs w:val="24"/>
              </w:rPr>
              <w:t>2</w:t>
            </w:r>
            <w:r w:rsidR="00C55AEC">
              <w:rPr>
                <w:sz w:val="24"/>
                <w:szCs w:val="24"/>
              </w:rPr>
              <w:t>4</w:t>
            </w:r>
            <w:r w:rsidRPr="006A6C9A">
              <w:rPr>
                <w:sz w:val="24"/>
                <w:szCs w:val="24"/>
              </w:rPr>
              <w:t>06</w:t>
            </w:r>
            <w:r w:rsidR="00136AD7" w:rsidRPr="00136AD7">
              <w:rPr>
                <w:sz w:val="24"/>
                <w:szCs w:val="24"/>
              </w:rPr>
              <w:t>2161</w:t>
            </w:r>
          </w:p>
        </w:tc>
      </w:tr>
    </w:tbl>
    <w:p w14:paraId="44D248A9" w14:textId="77777777" w:rsidR="005E63FD" w:rsidRPr="00A7593E" w:rsidRDefault="00D84BE5" w:rsidP="00F37AEE">
      <w:pPr>
        <w:spacing w:before="120"/>
        <w:rPr>
          <w:sz w:val="24"/>
          <w:szCs w:val="24"/>
        </w:rPr>
      </w:pPr>
      <w:r w:rsidRPr="00A7593E">
        <w:rPr>
          <w:sz w:val="24"/>
          <w:szCs w:val="24"/>
        </w:rPr>
        <w:t xml:space="preserve"> </w:t>
      </w:r>
      <w:r w:rsidR="005E63FD" w:rsidRPr="00A7593E">
        <w:rPr>
          <w:sz w:val="24"/>
          <w:szCs w:val="24"/>
        </w:rPr>
        <w:t xml:space="preserve">(dále jen </w:t>
      </w:r>
      <w:r w:rsidR="00766CCC">
        <w:rPr>
          <w:sz w:val="24"/>
          <w:szCs w:val="24"/>
        </w:rPr>
        <w:t>„</w:t>
      </w:r>
      <w:r w:rsidR="005E63FD" w:rsidRPr="00A7593E">
        <w:rPr>
          <w:sz w:val="24"/>
          <w:szCs w:val="24"/>
        </w:rPr>
        <w:t>povinný</w:t>
      </w:r>
      <w:r w:rsidR="00766CCC">
        <w:rPr>
          <w:sz w:val="24"/>
          <w:szCs w:val="24"/>
        </w:rPr>
        <w:t>“</w:t>
      </w:r>
      <w:r w:rsidR="005E63FD" w:rsidRPr="00A7593E">
        <w:rPr>
          <w:sz w:val="24"/>
          <w:szCs w:val="24"/>
        </w:rPr>
        <w:t xml:space="preserve">) </w:t>
      </w:r>
    </w:p>
    <w:p w14:paraId="523A4B58" w14:textId="77777777" w:rsidR="00243D3F" w:rsidRDefault="00243D3F" w:rsidP="00243D3F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169418B" w14:textId="77777777" w:rsidR="00243D3F" w:rsidRDefault="00831521" w:rsidP="00DA7901">
      <w:pPr>
        <w:numPr>
          <w:ilvl w:val="1"/>
          <w:numId w:val="8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243D3F">
        <w:rPr>
          <w:b/>
          <w:bCs/>
          <w:sz w:val="24"/>
          <w:szCs w:val="24"/>
        </w:rPr>
        <w:t>právněný</w:t>
      </w:r>
      <w:r w:rsidR="00243D3F">
        <w:rPr>
          <w:sz w:val="24"/>
          <w:szCs w:val="24"/>
        </w:rPr>
        <w:t xml:space="preserve"> </w:t>
      </w:r>
    </w:p>
    <w:tbl>
      <w:tblPr>
        <w:tblW w:w="9233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7819"/>
      </w:tblGrid>
      <w:tr w:rsidR="00243D3F" w14:paraId="34CFFBFA" w14:textId="77777777" w:rsidTr="00243D3F">
        <w:trPr>
          <w:cantSplit/>
        </w:trPr>
        <w:tc>
          <w:tcPr>
            <w:tcW w:w="1414" w:type="dxa"/>
            <w:hideMark/>
          </w:tcPr>
          <w:p w14:paraId="5E042B6A" w14:textId="77777777" w:rsidR="00243D3F" w:rsidRDefault="00243D3F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>Název:</w:t>
            </w:r>
          </w:p>
        </w:tc>
        <w:tc>
          <w:tcPr>
            <w:tcW w:w="7819" w:type="dxa"/>
            <w:hideMark/>
          </w:tcPr>
          <w:p w14:paraId="61026B01" w14:textId="4D459880" w:rsidR="00243D3F" w:rsidRDefault="005A599E">
            <w:pPr>
              <w:pStyle w:val="Zkladntext"/>
              <w:rPr>
                <w:color w:val="auto"/>
              </w:rPr>
            </w:pPr>
            <w:r w:rsidRPr="005A599E">
              <w:rPr>
                <w:color w:val="auto"/>
              </w:rPr>
              <w:t>Nej.cz s.r.o.</w:t>
            </w:r>
          </w:p>
        </w:tc>
      </w:tr>
      <w:tr w:rsidR="00243D3F" w14:paraId="1EF1857B" w14:textId="77777777" w:rsidTr="00243D3F">
        <w:trPr>
          <w:cantSplit/>
        </w:trPr>
        <w:tc>
          <w:tcPr>
            <w:tcW w:w="1414" w:type="dxa"/>
            <w:hideMark/>
          </w:tcPr>
          <w:p w14:paraId="2A026DE7" w14:textId="77777777" w:rsidR="00243D3F" w:rsidRDefault="00243D3F">
            <w:pPr>
              <w:pStyle w:val="Nzev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Sídlo:</w:t>
            </w:r>
          </w:p>
        </w:tc>
        <w:tc>
          <w:tcPr>
            <w:tcW w:w="7819" w:type="dxa"/>
            <w:hideMark/>
          </w:tcPr>
          <w:p w14:paraId="3A3F06B8" w14:textId="550F4314" w:rsidR="00243D3F" w:rsidRDefault="005A599E" w:rsidP="005A599E">
            <w:pPr>
              <w:pStyle w:val="Nzev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5A599E">
              <w:rPr>
                <w:b w:val="0"/>
                <w:bCs/>
                <w:sz w:val="24"/>
                <w:szCs w:val="24"/>
              </w:rPr>
              <w:t>Kaplanova 2252/8, Chodov, 148 00 Praha 4</w:t>
            </w:r>
          </w:p>
        </w:tc>
      </w:tr>
      <w:tr w:rsidR="00243D3F" w14:paraId="3E9E4FA3" w14:textId="77777777" w:rsidTr="00243D3F">
        <w:tc>
          <w:tcPr>
            <w:tcW w:w="1414" w:type="dxa"/>
            <w:hideMark/>
          </w:tcPr>
          <w:p w14:paraId="329A81D9" w14:textId="77777777" w:rsidR="00243D3F" w:rsidRDefault="00243D3F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>Zastoupený:</w:t>
            </w:r>
          </w:p>
        </w:tc>
        <w:tc>
          <w:tcPr>
            <w:tcW w:w="7819" w:type="dxa"/>
            <w:hideMark/>
          </w:tcPr>
          <w:p w14:paraId="6C742437" w14:textId="1AE5B488" w:rsidR="00243D3F" w:rsidRDefault="00A0725B" w:rsidP="004F24C6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>XXXXXXXXXXXXXXXXXXXXXXXXXXXXX</w:t>
            </w:r>
          </w:p>
        </w:tc>
      </w:tr>
      <w:tr w:rsidR="00243D3F" w14:paraId="2E5A5184" w14:textId="77777777" w:rsidTr="00243D3F">
        <w:tc>
          <w:tcPr>
            <w:tcW w:w="1414" w:type="dxa"/>
            <w:hideMark/>
          </w:tcPr>
          <w:p w14:paraId="5A61EB37" w14:textId="77777777" w:rsidR="00243D3F" w:rsidRDefault="00243D3F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>IČ:</w:t>
            </w:r>
          </w:p>
        </w:tc>
        <w:tc>
          <w:tcPr>
            <w:tcW w:w="7819" w:type="dxa"/>
            <w:hideMark/>
          </w:tcPr>
          <w:p w14:paraId="7989965C" w14:textId="3244F498" w:rsidR="00243D3F" w:rsidRDefault="005A599E">
            <w:pPr>
              <w:pStyle w:val="Zkladntext"/>
              <w:rPr>
                <w:color w:val="auto"/>
              </w:rPr>
            </w:pPr>
            <w:r w:rsidRPr="005A599E">
              <w:rPr>
                <w:color w:val="auto"/>
              </w:rPr>
              <w:t>03213595</w:t>
            </w:r>
          </w:p>
        </w:tc>
      </w:tr>
      <w:tr w:rsidR="00243D3F" w14:paraId="70656661" w14:textId="77777777" w:rsidTr="00243D3F">
        <w:tc>
          <w:tcPr>
            <w:tcW w:w="1414" w:type="dxa"/>
            <w:hideMark/>
          </w:tcPr>
          <w:p w14:paraId="59F605CD" w14:textId="77777777" w:rsidR="00243D3F" w:rsidRDefault="00243D3F">
            <w:pPr>
              <w:pStyle w:val="Zkladntext"/>
              <w:rPr>
                <w:color w:val="auto"/>
              </w:rPr>
            </w:pPr>
            <w:r>
              <w:rPr>
                <w:color w:val="auto"/>
                <w:szCs w:val="24"/>
              </w:rPr>
              <w:t>DIČ:</w:t>
            </w:r>
          </w:p>
        </w:tc>
        <w:tc>
          <w:tcPr>
            <w:tcW w:w="7819" w:type="dxa"/>
            <w:hideMark/>
          </w:tcPr>
          <w:p w14:paraId="4E4962F0" w14:textId="037B38D9" w:rsidR="00243D3F" w:rsidRDefault="00243D3F">
            <w:pPr>
              <w:pStyle w:val="Zkladntext"/>
              <w:rPr>
                <w:color w:val="auto"/>
              </w:rPr>
            </w:pPr>
            <w:r>
              <w:rPr>
                <w:szCs w:val="24"/>
              </w:rPr>
              <w:t>CZ</w:t>
            </w:r>
            <w:r w:rsidR="005A599E" w:rsidRPr="005A599E">
              <w:rPr>
                <w:color w:val="auto"/>
              </w:rPr>
              <w:t>03213595</w:t>
            </w:r>
          </w:p>
        </w:tc>
      </w:tr>
      <w:tr w:rsidR="00243D3F" w14:paraId="020F5E3F" w14:textId="77777777" w:rsidTr="00243D3F">
        <w:tc>
          <w:tcPr>
            <w:tcW w:w="1414" w:type="dxa"/>
            <w:hideMark/>
          </w:tcPr>
          <w:p w14:paraId="7D15853B" w14:textId="77777777" w:rsidR="00243D3F" w:rsidRDefault="00243D3F">
            <w:pPr>
              <w:pStyle w:val="Zkladntex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Zapsaný:</w:t>
            </w:r>
          </w:p>
        </w:tc>
        <w:tc>
          <w:tcPr>
            <w:tcW w:w="7819" w:type="dxa"/>
            <w:hideMark/>
          </w:tcPr>
          <w:p w14:paraId="3DA51B26" w14:textId="787BF7C6" w:rsidR="00243D3F" w:rsidRDefault="005A599E">
            <w:pPr>
              <w:pStyle w:val="Zkladntext"/>
              <w:rPr>
                <w:color w:val="auto"/>
              </w:rPr>
            </w:pPr>
            <w:r w:rsidRPr="005A599E">
              <w:rPr>
                <w:color w:val="auto"/>
              </w:rPr>
              <w:t>C 228799 vedená u Městského soudu v Praze</w:t>
            </w:r>
          </w:p>
        </w:tc>
      </w:tr>
    </w:tbl>
    <w:p w14:paraId="229F3768" w14:textId="77777777" w:rsidR="005E63FD" w:rsidRPr="00A7593E" w:rsidRDefault="005E63FD" w:rsidP="00F37AEE">
      <w:pPr>
        <w:spacing w:before="120"/>
        <w:rPr>
          <w:sz w:val="24"/>
          <w:szCs w:val="24"/>
        </w:rPr>
      </w:pPr>
      <w:r w:rsidRPr="00A7593E">
        <w:rPr>
          <w:sz w:val="24"/>
          <w:szCs w:val="24"/>
        </w:rPr>
        <w:t xml:space="preserve">(dále jen </w:t>
      </w:r>
      <w:r w:rsidR="00766CCC">
        <w:rPr>
          <w:sz w:val="24"/>
          <w:szCs w:val="24"/>
        </w:rPr>
        <w:t>„</w:t>
      </w:r>
      <w:r w:rsidRPr="00A7593E">
        <w:rPr>
          <w:sz w:val="24"/>
          <w:szCs w:val="24"/>
        </w:rPr>
        <w:t>oprávněný</w:t>
      </w:r>
      <w:r w:rsidR="00766CCC">
        <w:rPr>
          <w:sz w:val="24"/>
          <w:szCs w:val="24"/>
        </w:rPr>
        <w:t>“</w:t>
      </w:r>
      <w:r w:rsidRPr="00A7593E">
        <w:rPr>
          <w:sz w:val="24"/>
          <w:szCs w:val="24"/>
        </w:rPr>
        <w:t>)</w:t>
      </w:r>
    </w:p>
    <w:p w14:paraId="511D642E" w14:textId="77777777" w:rsidR="005E63FD" w:rsidRPr="0088785F" w:rsidRDefault="005E63FD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r w:rsidRPr="0088785F">
        <w:rPr>
          <w:rStyle w:val="Siln"/>
          <w:b/>
          <w:bCs/>
          <w:color w:val="auto"/>
        </w:rPr>
        <w:t>Předmět smlouvy</w:t>
      </w:r>
    </w:p>
    <w:p w14:paraId="6F99098E" w14:textId="219B1B08" w:rsidR="005E63FD" w:rsidRPr="00D932A7" w:rsidRDefault="005E63FD" w:rsidP="00D932A7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Povinný je vlastníkem pozemk</w:t>
      </w:r>
      <w:r w:rsidR="0051584A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spellStart"/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="00136AD7" w:rsidRPr="00136AD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99/2, 99/3, 840/2, 840/3, 841, 876/2, 942/1, 1385/1</w:t>
      </w:r>
      <w:r w:rsidR="00373713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</w:t>
      </w:r>
      <w:r w:rsidR="00C24BD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obec Brno, katastrální území </w:t>
      </w:r>
      <w:r w:rsidR="00136AD7" w:rsidRPr="00136AD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Bystrc</w:t>
      </w:r>
      <w:r w:rsidR="005D14D5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zapsan</w:t>
      </w:r>
      <w:r w:rsidR="0051584A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</w:t>
      </w:r>
      <w:r w:rsidR="00826F1B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h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list</w:t>
      </w:r>
      <w:r w:rsidR="0054250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u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vlastnictví 10001 pro katastrální území </w:t>
      </w:r>
      <w:r w:rsidR="00136AD7" w:rsidRPr="00136AD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Bystrc</w:t>
      </w:r>
      <w:r w:rsidR="005D14D5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obec Brno, okres Brno</w:t>
      </w:r>
      <w:r w:rsidR="00AC6BC1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AC6BC1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noBreakHyphen/>
        <w:t> 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město u Katastrálního úřadu pro Jihomoravský kraj, Katastrální pracoviště Brno</w:t>
      </w:r>
      <w:r w:rsidR="00AC6BC1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AC6BC1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noBreakHyphen/>
        <w:t> 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město (dále jen </w:t>
      </w:r>
      <w:r w:rsidR="00766CCC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„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služebn</w:t>
      </w:r>
      <w:r w:rsidR="0088785F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88785F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 w:rsidR="00766CCC"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“</w:t>
      </w:r>
      <w:r w:rsidRPr="00D932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).</w:t>
      </w:r>
    </w:p>
    <w:p w14:paraId="5D108C6A" w14:textId="77777777" w:rsidR="005E63FD" w:rsidRPr="005D14D5" w:rsidRDefault="005E63FD" w:rsidP="00D932A7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Oprávněný je vlastníkem </w:t>
      </w:r>
      <w:r w:rsidR="00F038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vedení sítě elektronických komunikací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kter</w:t>
      </w:r>
      <w:r w:rsidR="00C002F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j</w:t>
      </w:r>
      <w:r w:rsidR="00F7677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e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umístěn</w:t>
      </w:r>
      <w:r w:rsidR="006B04EC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služebn</w:t>
      </w:r>
      <w:r w:rsidR="005158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</w:t>
      </w:r>
      <w:r w:rsidR="005158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cích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</w:t>
      </w:r>
      <w:r w:rsidR="004F24C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„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inženýrsk</w:t>
      </w:r>
      <w:r w:rsidR="0007751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á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</w:t>
      </w:r>
      <w:r w:rsidR="0007751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ť</w:t>
      </w:r>
      <w:r w:rsidR="004F24C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“</w:t>
      </w:r>
      <w:r w:rsidR="00DF537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</w:t>
      </w:r>
      <w:r w:rsidRP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5EE793D9" w14:textId="413DDC91" w:rsidR="005E63FD" w:rsidRDefault="005E63FD" w:rsidP="00D932A7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 zřizuje ve prospěch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právněného služebnost k</w:t>
      </w:r>
      <w:r w:rsidR="00F7677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ým</w:t>
      </w:r>
      <w:r w:rsidR="00F7677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pozemk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ům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inženýrskou sí</w:t>
      </w:r>
      <w:r w:rsidR="00F7677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ť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 rozsahu vymezeném geometrickým plán</w:t>
      </w:r>
      <w:r w:rsidR="00294C3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em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 vymezení rozsahu věcného </w:t>
      </w:r>
      <w:r w:rsidR="005D14D5" w:rsidRP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břemene </w:t>
      </w:r>
      <w:r w:rsidRP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č. </w:t>
      </w:r>
      <w:r w:rsidR="00136AD7" w:rsidRPr="00136AD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3936-25/2022 ze dne 11.7.2022</w:t>
      </w:r>
      <w:r w:rsidR="00D932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kter</w:t>
      </w:r>
      <w:r w:rsidR="00294C3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="00D932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1909F1" w:rsidRP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vyhotov</w:t>
      </w:r>
      <w:r w:rsidR="00D932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ila</w:t>
      </w:r>
      <w:r w:rsidR="001909F1" w:rsidRP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136AD7" w:rsidRPr="00136AD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společnost GK GEO2007, s.r.o., Vrchní 1, Velké Němčice 691 63</w:t>
      </w:r>
      <w:r w:rsidRP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(dále jen </w:t>
      </w:r>
      <w:r w:rsidR="00766CC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„</w:t>
      </w:r>
      <w:r w:rsidRP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geometrick</w:t>
      </w:r>
      <w:r w:rsidR="00294C3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="009A3AC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plán</w:t>
      </w:r>
      <w:r w:rsidR="00766CC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“</w:t>
      </w:r>
      <w:r w:rsidR="009A3AC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).</w:t>
      </w:r>
      <w:r w:rsidR="002D35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Geometrick</w:t>
      </w:r>
      <w:r w:rsidR="00EA1FF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plán j</w:t>
      </w:r>
      <w:r w:rsidR="00EA1FF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přílohou </w:t>
      </w:r>
      <w:r w:rsid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nedílnou součástí 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této smlouvy.</w:t>
      </w:r>
    </w:p>
    <w:p w14:paraId="751FE7C3" w14:textId="04D3400E" w:rsidR="005E63FD" w:rsidRPr="00A7593E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</w:pP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Výměra služebnosti dle geometrick</w:t>
      </w:r>
      <w:r w:rsidR="00294C38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ého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 plán</w:t>
      </w:r>
      <w:r w:rsidR="00294C38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u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 na služebn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ých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 pozem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cích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 v </w:t>
      </w:r>
      <w:proofErr w:type="spellStart"/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k.ú</w:t>
      </w:r>
      <w:proofErr w:type="spellEnd"/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.</w:t>
      </w:r>
      <w:r w:rsidR="00F37AE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 </w:t>
      </w:r>
      <w:r w:rsidR="00A0725B" w:rsidRPr="00A0725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Bystrc</w:t>
      </w:r>
      <w:r w:rsid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činí:</w:t>
      </w:r>
    </w:p>
    <w:p w14:paraId="640B0E50" w14:textId="6B4A8426" w:rsidR="005E63FD" w:rsidRDefault="005E63FD" w:rsidP="0088785F">
      <w:pPr>
        <w:spacing w:before="60"/>
        <w:ind w:left="142" w:hanging="142"/>
        <w:jc w:val="both"/>
        <w:rPr>
          <w:bCs/>
          <w:snapToGrid w:val="0"/>
          <w:color w:val="000000"/>
          <w:sz w:val="24"/>
        </w:rPr>
      </w:pPr>
      <w:r>
        <w:rPr>
          <w:sz w:val="24"/>
          <w:szCs w:val="24"/>
        </w:rPr>
        <w:t xml:space="preserve">- </w:t>
      </w:r>
      <w:r w:rsidR="005D14D5">
        <w:rPr>
          <w:sz w:val="24"/>
          <w:szCs w:val="24"/>
        </w:rPr>
        <w:t xml:space="preserve">na </w:t>
      </w:r>
      <w:proofErr w:type="spellStart"/>
      <w:r w:rsidRPr="00A7593E">
        <w:rPr>
          <w:sz w:val="24"/>
          <w:szCs w:val="24"/>
        </w:rPr>
        <w:t>p.č</w:t>
      </w:r>
      <w:proofErr w:type="spellEnd"/>
      <w:r w:rsidRPr="00A7593E">
        <w:rPr>
          <w:sz w:val="24"/>
          <w:szCs w:val="24"/>
        </w:rPr>
        <w:t xml:space="preserve">. </w:t>
      </w:r>
      <w:proofErr w:type="gramStart"/>
      <w:r w:rsidR="00136AD7" w:rsidRPr="00136AD7">
        <w:rPr>
          <w:snapToGrid w:val="0"/>
          <w:color w:val="000000"/>
          <w:sz w:val="24"/>
        </w:rPr>
        <w:t>841 - 1</w:t>
      </w:r>
      <w:proofErr w:type="gramEnd"/>
      <w:r w:rsidR="00136AD7" w:rsidRPr="00136AD7">
        <w:rPr>
          <w:snapToGrid w:val="0"/>
          <w:color w:val="000000"/>
          <w:sz w:val="24"/>
        </w:rPr>
        <w:t>,91m², 876/2 - 2,66m² s jednotkovou cenou 580 Kč/m²</w:t>
      </w:r>
      <w:r w:rsidR="005D14D5">
        <w:rPr>
          <w:bCs/>
          <w:snapToGrid w:val="0"/>
          <w:color w:val="000000"/>
          <w:sz w:val="24"/>
        </w:rPr>
        <w:t>,</w:t>
      </w:r>
    </w:p>
    <w:p w14:paraId="1730F140" w14:textId="7AE321BC" w:rsidR="00294C38" w:rsidRDefault="003A5504" w:rsidP="0088785F">
      <w:pPr>
        <w:spacing w:before="60"/>
        <w:ind w:left="142" w:hanging="142"/>
        <w:jc w:val="both"/>
        <w:rPr>
          <w:snapToGrid w:val="0"/>
          <w:color w:val="000000"/>
          <w:sz w:val="24"/>
        </w:rPr>
      </w:pPr>
      <w:r>
        <w:rPr>
          <w:sz w:val="24"/>
          <w:szCs w:val="24"/>
        </w:rPr>
        <w:t xml:space="preserve">- na </w:t>
      </w:r>
      <w:proofErr w:type="spellStart"/>
      <w:r w:rsidRPr="00A7593E">
        <w:rPr>
          <w:sz w:val="24"/>
          <w:szCs w:val="24"/>
        </w:rPr>
        <w:t>p.č</w:t>
      </w:r>
      <w:proofErr w:type="spellEnd"/>
      <w:r w:rsidRPr="00A7593E">
        <w:rPr>
          <w:sz w:val="24"/>
          <w:szCs w:val="24"/>
        </w:rPr>
        <w:t xml:space="preserve">. </w:t>
      </w:r>
      <w:r w:rsidR="00136AD7" w:rsidRPr="00136AD7">
        <w:rPr>
          <w:snapToGrid w:val="0"/>
          <w:color w:val="000000"/>
          <w:sz w:val="24"/>
        </w:rPr>
        <w:t>99/</w:t>
      </w:r>
      <w:proofErr w:type="gramStart"/>
      <w:r w:rsidR="00136AD7" w:rsidRPr="00136AD7">
        <w:rPr>
          <w:snapToGrid w:val="0"/>
          <w:color w:val="000000"/>
          <w:sz w:val="24"/>
        </w:rPr>
        <w:t>2 - 39</w:t>
      </w:r>
      <w:proofErr w:type="gramEnd"/>
      <w:r w:rsidR="00136AD7" w:rsidRPr="00136AD7">
        <w:rPr>
          <w:snapToGrid w:val="0"/>
          <w:color w:val="000000"/>
          <w:sz w:val="24"/>
        </w:rPr>
        <w:t>,92m², 99/3 - 34,82m², 942/1 - 147,03m² s jednotkovou cenou 350 Kč/m²</w:t>
      </w:r>
      <w:r w:rsidR="00294C38">
        <w:rPr>
          <w:snapToGrid w:val="0"/>
          <w:color w:val="000000"/>
          <w:sz w:val="24"/>
        </w:rPr>
        <w:t xml:space="preserve">, </w:t>
      </w:r>
    </w:p>
    <w:p w14:paraId="4BA3E417" w14:textId="727BF0DF" w:rsidR="003A5504" w:rsidRDefault="00294C38" w:rsidP="0088785F">
      <w:pPr>
        <w:spacing w:before="60"/>
        <w:ind w:left="142" w:hanging="142"/>
        <w:jc w:val="both"/>
        <w:rPr>
          <w:bCs/>
          <w:snapToGrid w:val="0"/>
          <w:color w:val="000000"/>
          <w:sz w:val="24"/>
        </w:rPr>
      </w:pPr>
      <w:r>
        <w:rPr>
          <w:sz w:val="24"/>
          <w:szCs w:val="24"/>
        </w:rPr>
        <w:t xml:space="preserve">- na </w:t>
      </w:r>
      <w:proofErr w:type="spellStart"/>
      <w:r w:rsidRPr="00A7593E">
        <w:rPr>
          <w:sz w:val="24"/>
          <w:szCs w:val="24"/>
        </w:rPr>
        <w:t>p.č</w:t>
      </w:r>
      <w:proofErr w:type="spellEnd"/>
      <w:r w:rsidRPr="00A7593E">
        <w:rPr>
          <w:sz w:val="24"/>
          <w:szCs w:val="24"/>
        </w:rPr>
        <w:t xml:space="preserve">. </w:t>
      </w:r>
      <w:r w:rsidR="00136AD7" w:rsidRPr="00136AD7">
        <w:rPr>
          <w:snapToGrid w:val="0"/>
          <w:color w:val="000000"/>
          <w:sz w:val="24"/>
        </w:rPr>
        <w:t>840/</w:t>
      </w:r>
      <w:proofErr w:type="gramStart"/>
      <w:r w:rsidR="00136AD7" w:rsidRPr="00136AD7">
        <w:rPr>
          <w:snapToGrid w:val="0"/>
          <w:color w:val="000000"/>
          <w:sz w:val="24"/>
        </w:rPr>
        <w:t>2 - 5</w:t>
      </w:r>
      <w:proofErr w:type="gramEnd"/>
      <w:r w:rsidR="00136AD7" w:rsidRPr="00136AD7">
        <w:rPr>
          <w:snapToGrid w:val="0"/>
          <w:color w:val="000000"/>
          <w:sz w:val="24"/>
        </w:rPr>
        <w:t>,25m², 840/3 - 1,93m², 1385/1 - 21,69m² s jednotkovou cenou 260 Kč/m²</w:t>
      </w:r>
      <w:r w:rsidR="003A5504">
        <w:rPr>
          <w:bCs/>
          <w:snapToGrid w:val="0"/>
          <w:color w:val="000000"/>
          <w:sz w:val="24"/>
        </w:rPr>
        <w:t>,</w:t>
      </w:r>
    </w:p>
    <w:p w14:paraId="697216E7" w14:textId="777925DC" w:rsidR="005E63FD" w:rsidRPr="00A7593E" w:rsidRDefault="0088785F" w:rsidP="0088785F">
      <w:pPr>
        <w:spacing w:before="60"/>
        <w:ind w:left="142" w:hanging="142"/>
        <w:jc w:val="both"/>
        <w:rPr>
          <w:sz w:val="24"/>
          <w:szCs w:val="24"/>
        </w:rPr>
      </w:pPr>
      <w:r>
        <w:rPr>
          <w:bCs/>
          <w:snapToGrid w:val="0"/>
          <w:color w:val="000000"/>
          <w:sz w:val="24"/>
        </w:rPr>
        <w:t xml:space="preserve">vše bez DPH. </w:t>
      </w:r>
      <w:r w:rsidR="005E63FD" w:rsidRPr="00A7593E">
        <w:rPr>
          <w:sz w:val="24"/>
          <w:szCs w:val="24"/>
        </w:rPr>
        <w:t xml:space="preserve">Celková </w:t>
      </w:r>
      <w:r w:rsidR="005E63FD" w:rsidRPr="005D14D5">
        <w:rPr>
          <w:sz w:val="24"/>
          <w:szCs w:val="24"/>
        </w:rPr>
        <w:t xml:space="preserve">výměra: </w:t>
      </w:r>
      <w:r w:rsidR="00136AD7" w:rsidRPr="00136AD7">
        <w:rPr>
          <w:bCs/>
          <w:snapToGrid w:val="0"/>
          <w:color w:val="000000"/>
          <w:sz w:val="24"/>
        </w:rPr>
        <w:t>255,21</w:t>
      </w:r>
      <w:r w:rsidR="005B4C10">
        <w:rPr>
          <w:sz w:val="24"/>
          <w:szCs w:val="24"/>
        </w:rPr>
        <w:t xml:space="preserve"> </w:t>
      </w:r>
      <w:r w:rsidR="005E63FD" w:rsidRPr="00A7593E">
        <w:rPr>
          <w:sz w:val="24"/>
          <w:szCs w:val="24"/>
        </w:rPr>
        <w:t>m</w:t>
      </w:r>
      <w:r w:rsidR="005E63FD" w:rsidRPr="001026D0">
        <w:rPr>
          <w:sz w:val="24"/>
          <w:szCs w:val="24"/>
          <w:vertAlign w:val="superscript"/>
        </w:rPr>
        <w:t>2</w:t>
      </w:r>
      <w:r w:rsidR="005E63FD">
        <w:rPr>
          <w:sz w:val="24"/>
          <w:szCs w:val="24"/>
        </w:rPr>
        <w:t>.</w:t>
      </w:r>
    </w:p>
    <w:p w14:paraId="58E57FDF" w14:textId="77777777" w:rsidR="005E63FD" w:rsidRPr="0088785F" w:rsidRDefault="005E63FD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r w:rsidRPr="0088785F">
        <w:rPr>
          <w:rStyle w:val="Siln"/>
          <w:b/>
          <w:bCs/>
          <w:color w:val="auto"/>
        </w:rPr>
        <w:lastRenderedPageBreak/>
        <w:t xml:space="preserve"> </w:t>
      </w:r>
      <w:bookmarkStart w:id="1" w:name="_Ref365879965"/>
      <w:r w:rsidRPr="0088785F">
        <w:rPr>
          <w:rStyle w:val="Siln"/>
          <w:b/>
          <w:bCs/>
          <w:color w:val="auto"/>
        </w:rPr>
        <w:t>Právo služebnosti</w:t>
      </w:r>
      <w:bookmarkEnd w:id="1"/>
      <w:r w:rsidRPr="0088785F">
        <w:rPr>
          <w:rStyle w:val="Siln"/>
          <w:b/>
          <w:bCs/>
          <w:color w:val="auto"/>
        </w:rPr>
        <w:t xml:space="preserve"> </w:t>
      </w:r>
    </w:p>
    <w:p w14:paraId="776773B0" w14:textId="77777777" w:rsidR="00C002F6" w:rsidRDefault="00C002F6" w:rsidP="00DA7901">
      <w:pPr>
        <w:pStyle w:val="Nadpis2"/>
        <w:keepNext w:val="0"/>
        <w:numPr>
          <w:ilvl w:val="1"/>
          <w:numId w:val="7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2" w:name="_Ref365879978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něný je oprávněn mít na služebných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inženýrskou síť a na služebn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za účelem provozu, údržby a oprav inženýrské sítě po nezbytnou dobu a v nutném rozsahu v souladu s § 104 zákona č. 127/2005 Sb. o elektronických komunikacích a o změně některých souvisejících zákonů (zákon o elektronických komunikacích)</w:t>
      </w:r>
      <w:r w:rsidR="00994B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ve znění pozdějších předpisů.</w:t>
      </w:r>
    </w:p>
    <w:bookmarkEnd w:id="2"/>
    <w:p w14:paraId="56CE136F" w14:textId="13E230E4" w:rsidR="009927C7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je povinen trpět výko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 práv oprávněného podle</w:t>
      </w:r>
      <w:r w:rsidR="00B10F7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čl. 3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odst. </w:t>
      </w:r>
      <w:r w:rsidR="007255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/>
      </w:r>
      <w:r w:rsidR="006A6C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REF _Ref365879978 \r \h </w:instrText>
      </w:r>
      <w:r w:rsidR="007255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7255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B97C7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3.1</w:t>
      </w:r>
      <w:r w:rsidR="007255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smlouvy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Povinný je dále povinen umožnit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právněnému výkon činností spojených s provozováním, údržbou a opravou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inženýrské sítě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Způsobí-li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některém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</w:t>
      </w:r>
      <w:r w:rsidR="00812EB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ozemk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změnu jeho vlastností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nebo způsobí-li škodu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uvede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služebný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zemek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ředešlého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stavu</w:t>
      </w:r>
      <w:r w:rsidR="00D62DE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nahradí povinnému škodu dle právních předpisů platných a účinných v době vzniku škody. </w:t>
      </w:r>
    </w:p>
    <w:p w14:paraId="3ACC63C3" w14:textId="77777777" w:rsidR="005E63FD" w:rsidRDefault="005E63FD" w:rsidP="00136AD7">
      <w:pPr>
        <w:pStyle w:val="Nadpis2"/>
        <w:keepNext w:val="0"/>
        <w:spacing w:before="120"/>
        <w:ind w:right="-189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 je povinen užívat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</w:t>
      </w:r>
      <w:r w:rsid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ozemk</w:t>
      </w:r>
      <w:r w:rsidR="005158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neohrožujícím provozování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údržbu a opravy inženýrské sítě.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Oprávněný je povinen informovat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="00D62DE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ovinného o 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všech skutečnostech potřebných pro plnění jeho povinnosti podle předchozí věty.</w:t>
      </w:r>
    </w:p>
    <w:p w14:paraId="4E1C12E5" w14:textId="77777777" w:rsidR="002D4102" w:rsidRDefault="002D4102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přechází s vlastnictvím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nabyvatele 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ohoto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u.</w:t>
      </w:r>
    </w:p>
    <w:p w14:paraId="260DB9FA" w14:textId="77777777" w:rsidR="005E63FD" w:rsidRPr="0085509D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se zřizuje na dobu neurčitou.</w:t>
      </w:r>
    </w:p>
    <w:p w14:paraId="77A47D0A" w14:textId="77777777" w:rsidR="005E63FD" w:rsidRPr="00B21A86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Právo služebnosti zaniká i dnem zániku inženýrské sítě nebo dnem odstranění inženýrské sítě ze služebného pozemku, a to v rozsahu tohoto zániku. </w:t>
      </w:r>
    </w:p>
    <w:p w14:paraId="7C5DE4EF" w14:textId="77777777" w:rsidR="005E63FD" w:rsidRPr="0085509D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právo služebnosti podle tohoto článku přijímá 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se zavazuje toto právo trpět.</w:t>
      </w:r>
    </w:p>
    <w:p w14:paraId="3924B237" w14:textId="77777777" w:rsidR="005E63FD" w:rsidRPr="0088785F" w:rsidRDefault="009715D4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r w:rsidRPr="0088785F">
        <w:rPr>
          <w:rStyle w:val="Siln"/>
          <w:b/>
          <w:bCs/>
          <w:color w:val="auto"/>
        </w:rPr>
        <w:t>Cena</w:t>
      </w:r>
      <w:r w:rsidR="005E63FD" w:rsidRPr="0088785F">
        <w:rPr>
          <w:rStyle w:val="Siln"/>
          <w:b/>
          <w:bCs/>
          <w:color w:val="auto"/>
        </w:rPr>
        <w:t xml:space="preserve"> za zřízení </w:t>
      </w:r>
      <w:r w:rsidRPr="0088785F">
        <w:rPr>
          <w:rStyle w:val="Siln"/>
          <w:b/>
          <w:bCs/>
          <w:color w:val="auto"/>
        </w:rPr>
        <w:t xml:space="preserve">práva </w:t>
      </w:r>
      <w:r w:rsidR="005E63FD" w:rsidRPr="0088785F">
        <w:rPr>
          <w:rStyle w:val="Siln"/>
          <w:b/>
          <w:bCs/>
          <w:color w:val="auto"/>
        </w:rPr>
        <w:t>služebnosti</w:t>
      </w:r>
    </w:p>
    <w:p w14:paraId="4FD5B887" w14:textId="77777777" w:rsidR="005E63FD" w:rsidRPr="0034729A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prohlašuje, že </w:t>
      </w:r>
      <w:r w:rsidRP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je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plátcem DPH.</w:t>
      </w:r>
    </w:p>
    <w:p w14:paraId="5514F6FF" w14:textId="6469C291" w:rsidR="005E63FD" w:rsidRPr="0025606A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práva služebnosti se sjednává </w:t>
      </w:r>
      <w:bookmarkStart w:id="3" w:name="_Hlk519149483"/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částkou </w:t>
      </w:r>
      <w:r w:rsidR="00136AD7" w:rsidRPr="00136AD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87 776</w:t>
      </w:r>
      <w:r w:rsidR="005D14D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Kč bez DPH (slovy</w:t>
      </w:r>
      <w:r w:rsidR="00994B12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 </w:t>
      </w:r>
      <w:r w:rsidR="00136AD7" w:rsidRPr="00136AD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osmdesát sedm tisíc sedm set sedmdesát šest</w:t>
      </w:r>
      <w:r w:rsidR="005158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korun českých</w:t>
      </w:r>
      <w:bookmarkEnd w:id="3"/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)</w:t>
      </w:r>
      <w:r w:rsidR="005D14D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 K ceně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bude připočtena DPH dle obecně závazných právních předpisů platných a účinných ke dni podpisu této smlouvy.</w:t>
      </w:r>
    </w:p>
    <w:p w14:paraId="20547A51" w14:textId="77777777" w:rsidR="005E63FD" w:rsidRPr="0025606A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color w:val="auto"/>
          <w:sz w:val="24"/>
          <w:szCs w:val="24"/>
        </w:rPr>
        <w:t xml:space="preserve">Oprávněný se zavazuje zaplatit povinnému správní poplatek </w:t>
      </w:r>
      <w:r>
        <w:rPr>
          <w:rFonts w:ascii="Times New Roman" w:hAnsi="Times New Roman"/>
          <w:b w:val="0"/>
          <w:color w:val="auto"/>
          <w:sz w:val="24"/>
          <w:szCs w:val="24"/>
        </w:rPr>
        <w:t>za podání návrhu na vklad práva služebnosti do katastru nemovitostí.</w:t>
      </w:r>
    </w:p>
    <w:p w14:paraId="63E53B8F" w14:textId="600543A6" w:rsidR="005E63FD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Sjednanou cenu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správní poplatek za vklad práva služebnosti do katastru nemovitostí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se zavazuje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účet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2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podpisu této smlouvy.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Podkladem pro zaplacení ceny </w:t>
      </w:r>
      <w:r w:rsidRPr="0025606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 za podání návrhu na vklad práva služebnosti do katastru nemovitostí j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daňový doklad dle zákona č.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235/2004 Sb., o dani z přidané hodnoty, ve znění pozdějších předpisů, vystavený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tyto účely povinným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582BE562" w14:textId="77777777" w:rsidR="00E3126F" w:rsidRPr="00E53E29" w:rsidRDefault="00E3126F" w:rsidP="00E3126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6C2AB763" w14:textId="77777777" w:rsidR="005E63FD" w:rsidRPr="0088785F" w:rsidRDefault="005E63FD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bookmarkStart w:id="4" w:name="_Ref365880030"/>
      <w:r w:rsidRPr="0088785F">
        <w:rPr>
          <w:rStyle w:val="Siln"/>
          <w:b/>
          <w:bCs/>
          <w:color w:val="auto"/>
        </w:rPr>
        <w:t>Práva a povinnosti stran při provozu zařízení</w:t>
      </w:r>
      <w:bookmarkEnd w:id="4"/>
    </w:p>
    <w:p w14:paraId="3DCA3405" w14:textId="77777777" w:rsidR="005E63FD" w:rsidRPr="00B21A86" w:rsidRDefault="005E63FD" w:rsidP="00136AD7">
      <w:pPr>
        <w:pStyle w:val="Nadpis2"/>
        <w:keepNext w:val="0"/>
        <w:spacing w:before="120"/>
        <w:ind w:right="-47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se zavazuje při výkonu svých práv vyplývajících z této smlouvy co nejvíce šetřit práva povinného.</w:t>
      </w:r>
    </w:p>
    <w:p w14:paraId="113A82C1" w14:textId="77777777" w:rsidR="005E63FD" w:rsidRPr="00B21A86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dbát o bezpečnost provozu inženýrské sítě.</w:t>
      </w:r>
    </w:p>
    <w:p w14:paraId="0CB6DEEA" w14:textId="77777777" w:rsidR="005E63FD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5" w:name="_Ref365880044"/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Oprávněný je povinen inženýrskou síť provozovat.</w:t>
      </w:r>
      <w:bookmarkEnd w:id="5"/>
    </w:p>
    <w:p w14:paraId="5E925E58" w14:textId="77777777" w:rsidR="009E39FF" w:rsidRDefault="005E63FD" w:rsidP="00136AD7">
      <w:pPr>
        <w:pStyle w:val="Nadpis2"/>
        <w:keepNext w:val="0"/>
        <w:spacing w:before="120"/>
        <w:ind w:right="-47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6" w:name="_Ref365880057"/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Provozováním se pro účely této smlouvy rozumí užívaní inženýrské sítě k výkonu hlavní hospodářské činnosti oprávněného zejména poskytování telefonních a datových služeb</w:t>
      </w:r>
      <w:r w:rsidR="005D14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bookmarkEnd w:id="6"/>
    <w:p w14:paraId="303A3DAC" w14:textId="77777777" w:rsidR="005E63FD" w:rsidRDefault="005E63FD" w:rsidP="00136AD7">
      <w:pPr>
        <w:pStyle w:val="Nadpis2"/>
        <w:keepNext w:val="0"/>
        <w:spacing w:before="120"/>
        <w:ind w:right="-189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informovat povinného o odstranění inženýrské sítě z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dotčen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odkladu, nejpozději však do 30 dnů od </w:t>
      </w:r>
      <w:r w:rsidR="009715D4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 w:rsidR="009E39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</w:t>
      </w:r>
      <w:r w:rsidR="009E39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výzvu povinného uzavřít smlouvu o zániku práva služebnost</w:t>
      </w:r>
      <w:r w:rsidR="009E39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 k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="009E39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ému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B123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na jehož p</w:t>
      </w:r>
      <w:r w:rsidR="00DE002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ovrchu nebo pod jehož povrchem byla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takováto inženýrská síť umístěna. Oprávněný je povinen splnit povin</w:t>
      </w:r>
      <w:r w:rsidR="00B16B6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nost podle předchozí věty do </w:t>
      </w:r>
      <w:r w:rsidR="001909F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30 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dnů ode dne doručení výzvy povinného oprávněnému. Uzavření smlouvy podle tohoto odstavce nemá vliv na výši úplaty za zřízení </w:t>
      </w:r>
      <w:r w:rsidR="001E7FB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práva </w:t>
      </w:r>
      <w:r w:rsidR="001026D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</w:t>
      </w:r>
      <w:r w:rsidR="009E39FF"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 w:rsidR="009E39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Toto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platí obdobně také pro jakoukoliv změnu poměrů, která by mohla odůvodnit změnu, omezení nebo zánik práva služebnosti.</w:t>
      </w:r>
    </w:p>
    <w:p w14:paraId="455CB1F2" w14:textId="77777777" w:rsidR="005E63FD" w:rsidRPr="0088785F" w:rsidRDefault="005E63FD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r w:rsidRPr="0088785F">
        <w:rPr>
          <w:rStyle w:val="Siln"/>
          <w:b/>
          <w:bCs/>
          <w:color w:val="auto"/>
        </w:rPr>
        <w:t>Následky porušení povinnosti</w:t>
      </w:r>
    </w:p>
    <w:p w14:paraId="10236F2D" w14:textId="77777777" w:rsidR="005E63FD" w:rsidRPr="00691369" w:rsidRDefault="00C600C6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="005E63FD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který je v prodlení se spl</w:t>
      </w:r>
      <w:r w:rsidR="005E63F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</w:t>
      </w:r>
      <w:r w:rsidR="005E63FD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cením peněžitého dluhu, </w:t>
      </w:r>
      <w:r w:rsidR="009E39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je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povinnému </w:t>
      </w:r>
      <w:r w:rsidR="009E39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úroky z prodlení </w:t>
      </w:r>
      <w:r w:rsidR="005E63FD"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</w:t>
      </w:r>
      <w:r w:rsidR="005E63F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výši stanovené obecně závaznými právními předpisy.</w:t>
      </w:r>
    </w:p>
    <w:p w14:paraId="3A6CD828" w14:textId="77777777" w:rsidR="005E63FD" w:rsidRPr="0088785F" w:rsidRDefault="005E63FD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r w:rsidRPr="0088785F">
        <w:rPr>
          <w:rStyle w:val="Siln"/>
          <w:b/>
          <w:bCs/>
          <w:color w:val="auto"/>
        </w:rPr>
        <w:t>Katastrální řízení</w:t>
      </w:r>
    </w:p>
    <w:p w14:paraId="7CAD42F4" w14:textId="77777777" w:rsidR="005E63FD" w:rsidRPr="009A5DEF" w:rsidRDefault="005E63FD" w:rsidP="00136AD7">
      <w:pPr>
        <w:pStyle w:val="Nadpis2"/>
        <w:keepNext w:val="0"/>
        <w:spacing w:before="120"/>
        <w:ind w:right="-189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 podá návrh na vklad práva služebnosti do katastru nemovitostí po splnění závazku </w:t>
      </w:r>
      <w:r w:rsidR="0030051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oprávněného</w:t>
      </w:r>
      <w:r w:rsidR="00300517"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 zaplacení </w:t>
      </w:r>
      <w:r w:rsidR="009715D4"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cen</w:t>
      </w:r>
      <w:r w:rsidR="009715D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="009715D4"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B16B61" w:rsidRPr="00B16B6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 w:rsidR="009715D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1DEE9556" w14:textId="77777777" w:rsidR="005E63FD" w:rsidRPr="009A5DEF" w:rsidRDefault="005E63FD" w:rsidP="00136AD7">
      <w:pPr>
        <w:pStyle w:val="Nadpis2"/>
        <w:keepNext w:val="0"/>
        <w:spacing w:before="120"/>
        <w:ind w:right="-189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se zavazuje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ovinnému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všechnu potřebnou součinnost v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souvislosti s podáním návrhu na vklad práva služebnosti do katastru nemovitostí.</w:t>
      </w:r>
    </w:p>
    <w:p w14:paraId="64E3C01C" w14:textId="77777777" w:rsidR="005E63FD" w:rsidRPr="00B02E94" w:rsidRDefault="005E63FD" w:rsidP="00136AD7">
      <w:pPr>
        <w:pStyle w:val="Nadpis2"/>
        <w:keepNext w:val="0"/>
        <w:spacing w:before="120"/>
        <w:ind w:right="-189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tímto zmocňuje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ovinného k podání návrh</w:t>
      </w:r>
      <w:r w:rsidR="009715D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 na vklad práva služebnosti do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katastru nemovitostí, jeho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zpětvzetí nebo zúžení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B02E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všem dalším úkonům týkajícím se tohoto katastrálního řízení. Povinný zmocnění podle předchozí věty přijímá.</w:t>
      </w:r>
    </w:p>
    <w:p w14:paraId="104DD109" w14:textId="77777777" w:rsidR="005E63FD" w:rsidRPr="0088785F" w:rsidRDefault="005E63FD" w:rsidP="0088785F">
      <w:pPr>
        <w:pStyle w:val="Nadpis1"/>
        <w:spacing w:before="360"/>
        <w:ind w:firstLine="289"/>
        <w:jc w:val="center"/>
        <w:rPr>
          <w:rStyle w:val="Siln"/>
          <w:b/>
          <w:bCs/>
          <w:color w:val="auto"/>
        </w:rPr>
      </w:pPr>
      <w:r w:rsidRPr="0088785F">
        <w:rPr>
          <w:rStyle w:val="Siln"/>
          <w:b/>
          <w:bCs/>
          <w:color w:val="auto"/>
        </w:rPr>
        <w:t xml:space="preserve">Společná a závěrečná ustanovení </w:t>
      </w:r>
    </w:p>
    <w:p w14:paraId="1458F81A" w14:textId="77777777" w:rsidR="005E63FD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Neplatnost nebo nevynutitelnost některého ustanovení této </w:t>
      </w:r>
      <w:r w:rsidR="006D40C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mlouvy nemá za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3432A8E8" w14:textId="77777777" w:rsidR="005E63FD" w:rsidRPr="00CF785D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Smlouvu lze měnit dohodou smluvních stran v písemné formě</w:t>
      </w:r>
      <w:r w:rsidR="006D40C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listinné podobě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16868D3F" w14:textId="4A9530F1" w:rsidR="005E63FD" w:rsidRPr="009928A2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Smlouva je vyhotovena v </w:t>
      </w:r>
      <w:r w:rsidR="00C3487B" w:rsidRPr="00C3487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pěti</w:t>
      </w:r>
      <w:r w:rsidR="00A64F7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stejnopisech, z nichž každý má platnost originálu. </w:t>
      </w:r>
      <w:r w:rsidR="00A64F72">
        <w:rPr>
          <w:rFonts w:ascii="Times New Roman" w:hAnsi="Times New Roman"/>
          <w:b w:val="0"/>
          <w:color w:val="auto"/>
          <w:sz w:val="24"/>
          <w:szCs w:val="24"/>
        </w:rPr>
        <w:t xml:space="preserve">Povinný </w:t>
      </w:r>
      <w:proofErr w:type="gramStart"/>
      <w:r w:rsidRPr="009928A2">
        <w:rPr>
          <w:rFonts w:ascii="Times New Roman" w:hAnsi="Times New Roman"/>
          <w:b w:val="0"/>
          <w:color w:val="auto"/>
          <w:sz w:val="24"/>
          <w:szCs w:val="24"/>
        </w:rPr>
        <w:t>obdrží</w:t>
      </w:r>
      <w:proofErr w:type="gramEnd"/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3487B" w:rsidRPr="00C3487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tři</w:t>
      </w:r>
      <w:r w:rsidR="00A64F7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stejnopis</w:t>
      </w:r>
      <w:r w:rsidR="00A64F72">
        <w:rPr>
          <w:rFonts w:ascii="Times New Roman" w:hAnsi="Times New Roman"/>
          <w:b w:val="0"/>
          <w:color w:val="auto"/>
          <w:sz w:val="24"/>
          <w:szCs w:val="24"/>
        </w:rPr>
        <w:t>y, oprávněný jeden stejnopis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A64F72">
        <w:rPr>
          <w:rFonts w:ascii="Times New Roman" w:hAnsi="Times New Roman"/>
          <w:b w:val="0"/>
          <w:color w:val="auto"/>
          <w:sz w:val="24"/>
          <w:szCs w:val="24"/>
        </w:rPr>
        <w:t xml:space="preserve">Jeden </w:t>
      </w:r>
      <w:r>
        <w:rPr>
          <w:rFonts w:ascii="Times New Roman" w:hAnsi="Times New Roman"/>
          <w:b w:val="0"/>
          <w:color w:val="auto"/>
          <w:sz w:val="24"/>
          <w:szCs w:val="24"/>
        </w:rPr>
        <w:t>stejnopis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j</w:t>
      </w:r>
      <w:r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určen pro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podání návrhu na 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>vklad práva služebnosti do katastru nemovitostí.</w:t>
      </w:r>
    </w:p>
    <w:p w14:paraId="42E56FDF" w14:textId="77777777" w:rsidR="00D84BE5" w:rsidRPr="002C275B" w:rsidRDefault="00D84BE5" w:rsidP="00D84BE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9550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Smlouva je uzavřena dnem podpisu </w:t>
      </w:r>
      <w:r w:rsidRPr="002E00C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smluvních </w:t>
      </w:r>
      <w:r w:rsidRPr="002C275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 </w:t>
      </w:r>
      <w:r w:rsidRPr="002C275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tímto dnem nabývá platnosti.</w:t>
      </w:r>
    </w:p>
    <w:p w14:paraId="77018A83" w14:textId="77777777" w:rsidR="00D84BE5" w:rsidRDefault="00D84BE5" w:rsidP="00136AD7">
      <w:pPr>
        <w:pStyle w:val="Nadpis2"/>
        <w:keepNext w:val="0"/>
        <w:spacing w:before="120"/>
        <w:ind w:right="-18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349B3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9349B3">
        <w:rPr>
          <w:rFonts w:ascii="Times New Roman" w:hAnsi="Times New Roman"/>
          <w:b w:val="0"/>
          <w:color w:val="auto"/>
          <w:sz w:val="24"/>
          <w:szCs w:val="24"/>
        </w:rPr>
        <w:t xml:space="preserve"> 2).</w:t>
      </w:r>
    </w:p>
    <w:p w14:paraId="112BAEE4" w14:textId="77777777" w:rsidR="002B7571" w:rsidRPr="00F154B8" w:rsidRDefault="002B7571" w:rsidP="00136AD7">
      <w:pPr>
        <w:pStyle w:val="Nadpis2"/>
        <w:keepNext w:val="0"/>
        <w:spacing w:before="120"/>
        <w:ind w:right="-189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7" w:name="_Hlk517102555"/>
      <w:bookmarkStart w:id="8" w:name="_Hlk524080640"/>
      <w:bookmarkStart w:id="9" w:name="_Hlk517184826"/>
      <w:r w:rsidRPr="00F154B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Tato smlouva podléhá uveřejnění dle zákona č. 340/2015 Sb., o zvláštních podmínkách účinnosti některých smluv, uveřejňování těchto smluv a o registru smluv (zákon o registru smluv), ve znění pozdějších předpisů.</w:t>
      </w:r>
    </w:p>
    <w:p w14:paraId="53E11880" w14:textId="77777777" w:rsidR="002B7571" w:rsidRPr="00F154B8" w:rsidRDefault="002B7571" w:rsidP="002B7571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F154B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Strany se dohodly, že tuto smlouvu zašle k uveřejnění v registru smluv povinný.</w:t>
      </w:r>
    </w:p>
    <w:p w14:paraId="7D75BEC3" w14:textId="77777777" w:rsidR="002B7571" w:rsidRPr="00F154B8" w:rsidRDefault="002B7571" w:rsidP="002B7571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F154B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prohlašuje, že údaje uvedené v této smlouvě nejsou předmětem jeho obchodního tajemství.</w:t>
      </w:r>
    </w:p>
    <w:p w14:paraId="29243DFF" w14:textId="77777777" w:rsidR="002B7571" w:rsidRPr="00F154B8" w:rsidRDefault="002B7571" w:rsidP="002B7571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O</w:t>
      </w:r>
      <w:r w:rsidRPr="00F154B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prohlašuje, že údaje uvedené v této smlouvě nejsou informacemi požívajícími ochrany důvěrnosti jeho majetkových poměrů.</w:t>
      </w:r>
    </w:p>
    <w:bookmarkEnd w:id="7"/>
    <w:bookmarkEnd w:id="8"/>
    <w:p w14:paraId="6E6B1C8D" w14:textId="77777777" w:rsidR="00D84BE5" w:rsidRPr="00B3614F" w:rsidRDefault="00D84BE5" w:rsidP="00D84BE5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9"/>
    </w:p>
    <w:p w14:paraId="1E3340EA" w14:textId="77777777" w:rsidR="00D84BE5" w:rsidRDefault="00D84BE5" w:rsidP="00D84BE5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o nakládání s osobními údaji.</w:t>
      </w:r>
    </w:p>
    <w:p w14:paraId="2F4E15DE" w14:textId="77777777" w:rsidR="00A91951" w:rsidRPr="00831C37" w:rsidRDefault="005E63FD" w:rsidP="0088785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76445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Smluvní strany prohlašují, že si smlouvu přečetly, jejímu obsahu rozumějí, smlouva 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nebyla uzavřena v tísni, ani za nápadně nevýhodných podmínek a na důkaz souhlasu s výše uvedeným textem připojují své podpisy.</w:t>
      </w:r>
    </w:p>
    <w:p w14:paraId="61A9BCB7" w14:textId="77777777" w:rsidR="00A91951" w:rsidRPr="00A81789" w:rsidRDefault="00A91951" w:rsidP="00A34F43"/>
    <w:p w14:paraId="47B994DE" w14:textId="77777777" w:rsidR="005E63FD" w:rsidRDefault="005E63FD" w:rsidP="0088785F">
      <w:pPr>
        <w:pStyle w:val="Zkladntext"/>
        <w:keepNext/>
        <w:keepLines/>
        <w:widowControl/>
        <w:jc w:val="both"/>
        <w:rPr>
          <w:bCs/>
        </w:rPr>
      </w:pPr>
      <w:r w:rsidRPr="009E5563">
        <w:rPr>
          <w:b/>
          <w:bCs/>
        </w:rPr>
        <w:t>Doložka</w:t>
      </w:r>
      <w:r w:rsidRPr="00A52ABE">
        <w:rPr>
          <w:bCs/>
        </w:rPr>
        <w:t xml:space="preserve"> dle </w:t>
      </w:r>
      <w:proofErr w:type="spellStart"/>
      <w:r w:rsidRPr="00A52ABE">
        <w:rPr>
          <w:bCs/>
        </w:rPr>
        <w:t>ust</w:t>
      </w:r>
      <w:proofErr w:type="spellEnd"/>
      <w:r w:rsidRPr="00A52ABE">
        <w:rPr>
          <w:bCs/>
        </w:rPr>
        <w:t>. § 41, odst. 1 zákona č. 128/2000 Sb., o obcích (obecní zřízení), ve znění pozdějších předpisů</w:t>
      </w:r>
    </w:p>
    <w:p w14:paraId="3590E111" w14:textId="77777777" w:rsidR="0088785F" w:rsidRDefault="0088785F" w:rsidP="0088785F">
      <w:pPr>
        <w:pStyle w:val="Zkladntext"/>
        <w:keepNext/>
        <w:keepLines/>
        <w:widowControl/>
        <w:jc w:val="both"/>
        <w:rPr>
          <w:bCs/>
        </w:rPr>
      </w:pPr>
    </w:p>
    <w:p w14:paraId="1217098B" w14:textId="77777777" w:rsidR="005B4C10" w:rsidRDefault="005B4C10" w:rsidP="0088785F">
      <w:pPr>
        <w:pStyle w:val="Zkladntext"/>
        <w:keepNext/>
        <w:keepLines/>
        <w:widowControl/>
        <w:ind w:firstLine="720"/>
        <w:jc w:val="both"/>
        <w:rPr>
          <w:bCs/>
        </w:rPr>
      </w:pPr>
      <w:r w:rsidRPr="00C30888">
        <w:rPr>
          <w:bCs/>
          <w:color w:val="auto"/>
        </w:rPr>
        <w:t>Podmínky této smlouvy byly schváleny Radou města Brna na R6/137. schůzi konané 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 a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 w:rsidRPr="002D5419">
        <w:rPr>
          <w:bCs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88785F" w14:paraId="6EED85BC" w14:textId="77777777" w:rsidTr="00F20D8C">
        <w:trPr>
          <w:trHeight w:val="436"/>
        </w:trPr>
        <w:tc>
          <w:tcPr>
            <w:tcW w:w="4443" w:type="dxa"/>
            <w:vAlign w:val="bottom"/>
          </w:tcPr>
          <w:p w14:paraId="18D5CE19" w14:textId="3249F964" w:rsidR="0088785F" w:rsidRDefault="0088785F" w:rsidP="0088785F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V Brně dne</w:t>
            </w:r>
            <w:proofErr w:type="gramStart"/>
            <w:r>
              <w:rPr>
                <w:bCs/>
                <w:color w:val="auto"/>
              </w:rPr>
              <w:t xml:space="preserve"> ....</w:t>
            </w:r>
            <w:proofErr w:type="gramEnd"/>
            <w:r w:rsidR="00A96091">
              <w:rPr>
                <w:bCs/>
                <w:color w:val="auto"/>
              </w:rPr>
              <w:t>18.4.2024</w:t>
            </w:r>
            <w:r>
              <w:rPr>
                <w:bCs/>
                <w:color w:val="auto"/>
              </w:rPr>
              <w:t>.................</w:t>
            </w:r>
          </w:p>
        </w:tc>
        <w:tc>
          <w:tcPr>
            <w:tcW w:w="4512" w:type="dxa"/>
            <w:vAlign w:val="bottom"/>
          </w:tcPr>
          <w:p w14:paraId="5D505C30" w14:textId="5A5C13E7" w:rsidR="0088785F" w:rsidRDefault="0088785F" w:rsidP="0088785F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V Brně dne........</w:t>
            </w:r>
            <w:proofErr w:type="gramStart"/>
            <w:r w:rsidR="00A96091">
              <w:rPr>
                <w:bCs/>
                <w:color w:val="auto"/>
              </w:rPr>
              <w:t>9..</w:t>
            </w:r>
            <w:proofErr w:type="gramEnd"/>
            <w:r w:rsidR="00A96091">
              <w:rPr>
                <w:bCs/>
                <w:color w:val="auto"/>
              </w:rPr>
              <w:t>4.2024</w:t>
            </w:r>
            <w:r>
              <w:rPr>
                <w:bCs/>
                <w:color w:val="auto"/>
              </w:rPr>
              <w:t>................</w:t>
            </w:r>
          </w:p>
        </w:tc>
      </w:tr>
      <w:tr w:rsidR="0088785F" w14:paraId="26105EFE" w14:textId="77777777" w:rsidTr="00F20D8C">
        <w:tc>
          <w:tcPr>
            <w:tcW w:w="4443" w:type="dxa"/>
          </w:tcPr>
          <w:p w14:paraId="29307782" w14:textId="77777777" w:rsidR="0088785F" w:rsidRDefault="0088785F" w:rsidP="0088785F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povinného</w:t>
            </w:r>
          </w:p>
        </w:tc>
        <w:tc>
          <w:tcPr>
            <w:tcW w:w="4512" w:type="dxa"/>
          </w:tcPr>
          <w:p w14:paraId="43657398" w14:textId="77777777" w:rsidR="0088785F" w:rsidRDefault="0088785F" w:rsidP="0088785F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oprávněného</w:t>
            </w:r>
          </w:p>
        </w:tc>
      </w:tr>
      <w:tr w:rsidR="0088785F" w14:paraId="4F16135C" w14:textId="77777777" w:rsidTr="00F20D8C">
        <w:trPr>
          <w:trHeight w:val="2366"/>
        </w:trPr>
        <w:tc>
          <w:tcPr>
            <w:tcW w:w="4443" w:type="dxa"/>
          </w:tcPr>
          <w:p w14:paraId="5D1908C5" w14:textId="77777777" w:rsidR="0088785F" w:rsidRDefault="0088785F" w:rsidP="0088785F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247246E2" w14:textId="77777777" w:rsidR="0088785F" w:rsidRDefault="0088785F" w:rsidP="0088785F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</w:p>
        </w:tc>
      </w:tr>
      <w:tr w:rsidR="00D84BE5" w14:paraId="0EF58F06" w14:textId="77777777" w:rsidTr="00F20D8C">
        <w:tc>
          <w:tcPr>
            <w:tcW w:w="4443" w:type="dxa"/>
          </w:tcPr>
          <w:p w14:paraId="1CF1804C" w14:textId="77777777" w:rsidR="00D84BE5" w:rsidRPr="002C1389" w:rsidRDefault="00D84BE5" w:rsidP="00C3487B">
            <w:pPr>
              <w:pStyle w:val="Zkladntext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77D3AF35" w14:textId="77777777" w:rsidR="00D84BE5" w:rsidRDefault="00D84BE5" w:rsidP="00C3487B">
            <w:pPr>
              <w:pStyle w:val="Zkladntext"/>
              <w:keepNext/>
              <w:keepLines/>
              <w:widowControl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............................................</w:t>
            </w:r>
          </w:p>
        </w:tc>
      </w:tr>
      <w:tr w:rsidR="00D84BE5" w14:paraId="69EB669F" w14:textId="77777777" w:rsidTr="00F20D8C">
        <w:tc>
          <w:tcPr>
            <w:tcW w:w="4443" w:type="dxa"/>
          </w:tcPr>
          <w:p w14:paraId="7D7C9BF0" w14:textId="6B2DCDAC" w:rsidR="00D84BE5" w:rsidRPr="002C1389" w:rsidRDefault="00D84BE5" w:rsidP="00C3487B">
            <w:pPr>
              <w:snapToGrid w:val="0"/>
              <w:rPr>
                <w:bCs/>
                <w:snapToGrid w:val="0"/>
                <w:sz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="00967B73">
              <w:rPr>
                <w:sz w:val="24"/>
                <w:szCs w:val="24"/>
              </w:rPr>
              <w:t>, MBA</w:t>
            </w:r>
          </w:p>
        </w:tc>
        <w:tc>
          <w:tcPr>
            <w:tcW w:w="4512" w:type="dxa"/>
          </w:tcPr>
          <w:p w14:paraId="30774052" w14:textId="576254B7" w:rsidR="00D84BE5" w:rsidRPr="00DF7BE3" w:rsidRDefault="00A0725B" w:rsidP="00C3487B">
            <w:pPr>
              <w:pStyle w:val="Zkladntext"/>
              <w:keepNext/>
              <w:keepLines/>
              <w:widowControl/>
              <w:rPr>
                <w:color w:val="auto"/>
              </w:rPr>
            </w:pPr>
            <w:r>
              <w:rPr>
                <w:bCs/>
                <w:szCs w:val="24"/>
              </w:rPr>
              <w:t>XXXXXXXXXXXXXXXXXXX</w:t>
            </w:r>
          </w:p>
        </w:tc>
      </w:tr>
      <w:tr w:rsidR="00D84BE5" w14:paraId="31D9E164" w14:textId="77777777" w:rsidTr="00F20D8C">
        <w:tc>
          <w:tcPr>
            <w:tcW w:w="4443" w:type="dxa"/>
          </w:tcPr>
          <w:p w14:paraId="06CCE3FE" w14:textId="77777777" w:rsidR="00D84BE5" w:rsidRPr="002C1389" w:rsidRDefault="00D84BE5" w:rsidP="00C3487B">
            <w:pPr>
              <w:snapToGrid w:val="0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7D532EE8" w14:textId="77777777" w:rsidR="00D84BE5" w:rsidRPr="002C1389" w:rsidRDefault="00D84BE5" w:rsidP="00C3487B">
            <w:pPr>
              <w:snapToGrid w:val="0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51A86E00" w14:textId="398C4DCD" w:rsidR="005A599E" w:rsidRDefault="005A599E" w:rsidP="00C3487B">
            <w:pPr>
              <w:pStyle w:val="Zkladntext"/>
              <w:keepNext/>
              <w:keepLines/>
              <w:widowControl/>
              <w:rPr>
                <w:bCs/>
                <w:szCs w:val="24"/>
              </w:rPr>
            </w:pPr>
            <w:r>
              <w:rPr>
                <w:bCs/>
                <w:szCs w:val="24"/>
              </w:rPr>
              <w:t>na základě plné moci</w:t>
            </w:r>
          </w:p>
          <w:p w14:paraId="345812E6" w14:textId="34EBB5C1" w:rsidR="00D84BE5" w:rsidRPr="00DC36ED" w:rsidRDefault="005A599E" w:rsidP="00C3487B">
            <w:pPr>
              <w:pStyle w:val="Zkladntext"/>
              <w:keepNext/>
              <w:keepLines/>
              <w:widowControl/>
              <w:rPr>
                <w:bCs/>
                <w:szCs w:val="24"/>
              </w:rPr>
            </w:pPr>
            <w:r w:rsidRPr="005A599E">
              <w:rPr>
                <w:bCs/>
                <w:szCs w:val="24"/>
              </w:rPr>
              <w:t>Nej.cz s.r.o.</w:t>
            </w:r>
          </w:p>
        </w:tc>
      </w:tr>
    </w:tbl>
    <w:p w14:paraId="0EA87905" w14:textId="77777777" w:rsidR="0088785F" w:rsidRDefault="0088785F" w:rsidP="005B4C10">
      <w:pPr>
        <w:pStyle w:val="Zkladntext"/>
        <w:ind w:firstLine="720"/>
        <w:jc w:val="both"/>
        <w:rPr>
          <w:bCs/>
        </w:rPr>
      </w:pPr>
    </w:p>
    <w:p w14:paraId="7037776D" w14:textId="77777777" w:rsidR="0088785F" w:rsidRPr="002D5419" w:rsidRDefault="0088785F" w:rsidP="005B4C10">
      <w:pPr>
        <w:pStyle w:val="Zkladntext"/>
        <w:ind w:firstLine="720"/>
        <w:jc w:val="both"/>
        <w:rPr>
          <w:bCs/>
        </w:rPr>
      </w:pPr>
    </w:p>
    <w:p w14:paraId="1AED7CCC" w14:textId="77777777" w:rsidR="005E63FD" w:rsidRPr="00A52ABE" w:rsidRDefault="005E63FD" w:rsidP="00A52ABE">
      <w:pPr>
        <w:pStyle w:val="Zkladntext"/>
        <w:ind w:firstLine="720"/>
        <w:jc w:val="both"/>
        <w:rPr>
          <w:bCs/>
        </w:rPr>
      </w:pPr>
    </w:p>
    <w:p w14:paraId="23D95CAD" w14:textId="77777777" w:rsidR="009D11EC" w:rsidRDefault="009D11EC" w:rsidP="00766CCC">
      <w:pPr>
        <w:pStyle w:val="Zkladntext"/>
        <w:rPr>
          <w:bCs/>
          <w:szCs w:val="24"/>
        </w:rPr>
      </w:pPr>
    </w:p>
    <w:sectPr w:rsidR="009D11EC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B3CF" w14:textId="77777777" w:rsidR="003B29F5" w:rsidRDefault="003B29F5">
      <w:r>
        <w:separator/>
      </w:r>
    </w:p>
  </w:endnote>
  <w:endnote w:type="continuationSeparator" w:id="0">
    <w:p w14:paraId="427FB3CB" w14:textId="77777777" w:rsidR="003B29F5" w:rsidRDefault="003B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CE62" w14:textId="77777777" w:rsidR="005E63FD" w:rsidRDefault="0072553E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28654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5697" w14:textId="77777777" w:rsidR="005E63FD" w:rsidRDefault="0072553E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4720">
      <w:rPr>
        <w:rStyle w:val="slostrnky"/>
        <w:noProof/>
      </w:rPr>
      <w:t>4</w:t>
    </w:r>
    <w:r>
      <w:rPr>
        <w:rStyle w:val="slostrnky"/>
      </w:rPr>
      <w:fldChar w:fldCharType="end"/>
    </w:r>
  </w:p>
  <w:p w14:paraId="432FCDD3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1BF7F1DE" w14:textId="77777777" w:rsidR="005E63FD" w:rsidRDefault="005E63FD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FCCF" w14:textId="77777777" w:rsidR="003B29F5" w:rsidRDefault="003B29F5">
      <w:r>
        <w:separator/>
      </w:r>
    </w:p>
  </w:footnote>
  <w:footnote w:type="continuationSeparator" w:id="0">
    <w:p w14:paraId="475F8FA8" w14:textId="77777777" w:rsidR="003B29F5" w:rsidRDefault="003B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8A7" w14:textId="77777777" w:rsidR="005E63FD" w:rsidRDefault="0072553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5CDB3F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5F23" w14:textId="646B837C" w:rsidR="00DF0C92" w:rsidRDefault="00DF0C92" w:rsidP="00DF0C92">
    <w:pPr>
      <w:pStyle w:val="Zhlav"/>
      <w:tabs>
        <w:tab w:val="left" w:pos="7530"/>
      </w:tabs>
      <w:rPr>
        <w:rStyle w:val="slostrnky"/>
        <w:sz w:val="20"/>
      </w:rPr>
    </w:pPr>
    <w:r>
      <w:rPr>
        <w:rStyle w:val="slostrnky"/>
        <w:sz w:val="20"/>
      </w:rPr>
      <w:tab/>
    </w:r>
    <w:r w:rsidR="00D7262F">
      <w:rPr>
        <w:rStyle w:val="slostrnky"/>
        <w:sz w:val="20"/>
      </w:rPr>
      <w:t xml:space="preserve">         </w:t>
    </w:r>
    <w:r w:rsidR="00294C38">
      <w:rPr>
        <w:rStyle w:val="slostrnky"/>
        <w:sz w:val="20"/>
      </w:rPr>
      <w:t>562</w:t>
    </w:r>
    <w:r w:rsidR="00C55AEC">
      <w:rPr>
        <w:rStyle w:val="slostrnky"/>
        <w:sz w:val="20"/>
      </w:rPr>
      <w:t>4</w:t>
    </w:r>
    <w:r w:rsidR="00D7262F" w:rsidRPr="00D7262F">
      <w:rPr>
        <w:rStyle w:val="slostrnky"/>
        <w:sz w:val="20"/>
      </w:rPr>
      <w:t>06</w:t>
    </w:r>
    <w:r w:rsidR="00C55AEC">
      <w:rPr>
        <w:rStyle w:val="slostrnky"/>
        <w:sz w:val="20"/>
      </w:rPr>
      <w:t>2161</w:t>
    </w:r>
    <w:r w:rsidR="00271F31">
      <w:rPr>
        <w:rStyle w:val="slostrnky"/>
        <w:sz w:val="20"/>
      </w:rPr>
      <w:t xml:space="preserve"> </w:t>
    </w:r>
  </w:p>
  <w:p w14:paraId="6B053FBC" w14:textId="22F90AE1" w:rsidR="0088785F" w:rsidRDefault="00136AD7">
    <w:pPr>
      <w:pStyle w:val="Zhlav"/>
      <w:tabs>
        <w:tab w:val="center" w:pos="4536"/>
        <w:tab w:val="right" w:pos="8931"/>
      </w:tabs>
    </w:pPr>
    <w:r w:rsidRPr="00136AD7">
      <w:t xml:space="preserve">NEJ.cz_vb24 2161 - Bystrc, </w:t>
    </w:r>
    <w:r>
      <w:t>u</w:t>
    </w:r>
    <w:r w:rsidRPr="00136AD7">
      <w:t>sek 5</w:t>
    </w:r>
    <w:r>
      <w:t xml:space="preserve"> </w:t>
    </w:r>
    <w:proofErr w:type="spellStart"/>
    <w:r>
      <w:t>rev</w:t>
    </w:r>
    <w:proofErr w:type="spellEnd"/>
    <w:r>
      <w:t>. Nej final.docx</w:t>
    </w:r>
  </w:p>
  <w:p w14:paraId="265533B5" w14:textId="77777777" w:rsidR="00136AD7" w:rsidRPr="00173C33" w:rsidRDefault="00136AD7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47A85030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359427006">
    <w:abstractNumId w:val="3"/>
  </w:num>
  <w:num w:numId="2" w16cid:durableId="731344922">
    <w:abstractNumId w:val="6"/>
  </w:num>
  <w:num w:numId="3" w16cid:durableId="1339043468">
    <w:abstractNumId w:val="5"/>
  </w:num>
  <w:num w:numId="4" w16cid:durableId="2042587719">
    <w:abstractNumId w:val="1"/>
  </w:num>
  <w:num w:numId="5" w16cid:durableId="2112359462">
    <w:abstractNumId w:val="2"/>
  </w:num>
  <w:num w:numId="6" w16cid:durableId="567689106">
    <w:abstractNumId w:val="4"/>
  </w:num>
  <w:num w:numId="7" w16cid:durableId="1011682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2581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859111">
    <w:abstractNumId w:val="3"/>
  </w:num>
  <w:num w:numId="10" w16cid:durableId="31081492">
    <w:abstractNumId w:val="3"/>
  </w:num>
  <w:num w:numId="11" w16cid:durableId="2818458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818"/>
    <w:rsid w:val="00004B7E"/>
    <w:rsid w:val="00004FC2"/>
    <w:rsid w:val="000062CC"/>
    <w:rsid w:val="000066B2"/>
    <w:rsid w:val="000134A1"/>
    <w:rsid w:val="00014593"/>
    <w:rsid w:val="0002049D"/>
    <w:rsid w:val="00021CDC"/>
    <w:rsid w:val="0002352C"/>
    <w:rsid w:val="00031DAC"/>
    <w:rsid w:val="00055743"/>
    <w:rsid w:val="000604BA"/>
    <w:rsid w:val="0006209D"/>
    <w:rsid w:val="000639CF"/>
    <w:rsid w:val="00066A8B"/>
    <w:rsid w:val="00070CBA"/>
    <w:rsid w:val="00071645"/>
    <w:rsid w:val="00071B00"/>
    <w:rsid w:val="000720BD"/>
    <w:rsid w:val="00072C9F"/>
    <w:rsid w:val="000730F1"/>
    <w:rsid w:val="00075E1E"/>
    <w:rsid w:val="0007751A"/>
    <w:rsid w:val="00080CF9"/>
    <w:rsid w:val="000842C3"/>
    <w:rsid w:val="0008449B"/>
    <w:rsid w:val="00097638"/>
    <w:rsid w:val="000B72F0"/>
    <w:rsid w:val="000C0205"/>
    <w:rsid w:val="000C3BD7"/>
    <w:rsid w:val="000C714A"/>
    <w:rsid w:val="000C7AF2"/>
    <w:rsid w:val="000D13ED"/>
    <w:rsid w:val="000D5889"/>
    <w:rsid w:val="000D7076"/>
    <w:rsid w:val="000E51A4"/>
    <w:rsid w:val="000E5E7B"/>
    <w:rsid w:val="000F0B9A"/>
    <w:rsid w:val="000F610F"/>
    <w:rsid w:val="001026D0"/>
    <w:rsid w:val="00104CF3"/>
    <w:rsid w:val="001136CC"/>
    <w:rsid w:val="0011560F"/>
    <w:rsid w:val="00115E4F"/>
    <w:rsid w:val="00116086"/>
    <w:rsid w:val="00134C34"/>
    <w:rsid w:val="001362F7"/>
    <w:rsid w:val="00136AD7"/>
    <w:rsid w:val="00137C49"/>
    <w:rsid w:val="00141A04"/>
    <w:rsid w:val="00141C08"/>
    <w:rsid w:val="00154720"/>
    <w:rsid w:val="0015761A"/>
    <w:rsid w:val="00170D43"/>
    <w:rsid w:val="0017318D"/>
    <w:rsid w:val="00173C33"/>
    <w:rsid w:val="00174515"/>
    <w:rsid w:val="00176045"/>
    <w:rsid w:val="00181EB9"/>
    <w:rsid w:val="001821F3"/>
    <w:rsid w:val="001821F7"/>
    <w:rsid w:val="0018378A"/>
    <w:rsid w:val="00184B1C"/>
    <w:rsid w:val="00187777"/>
    <w:rsid w:val="001909F1"/>
    <w:rsid w:val="001A2740"/>
    <w:rsid w:val="001C3238"/>
    <w:rsid w:val="001C3FB5"/>
    <w:rsid w:val="001C6CD0"/>
    <w:rsid w:val="001D11A1"/>
    <w:rsid w:val="001D3DD2"/>
    <w:rsid w:val="001D7FD7"/>
    <w:rsid w:val="001E1645"/>
    <w:rsid w:val="001E1D2D"/>
    <w:rsid w:val="001E29F9"/>
    <w:rsid w:val="001E7FBC"/>
    <w:rsid w:val="001F29D3"/>
    <w:rsid w:val="001F4FC3"/>
    <w:rsid w:val="002017D0"/>
    <w:rsid w:val="0020234E"/>
    <w:rsid w:val="0020267A"/>
    <w:rsid w:val="00207302"/>
    <w:rsid w:val="00211866"/>
    <w:rsid w:val="00212B28"/>
    <w:rsid w:val="002200E7"/>
    <w:rsid w:val="002263D8"/>
    <w:rsid w:val="002300DA"/>
    <w:rsid w:val="00234209"/>
    <w:rsid w:val="00235C32"/>
    <w:rsid w:val="002371EE"/>
    <w:rsid w:val="002432DF"/>
    <w:rsid w:val="00243D3F"/>
    <w:rsid w:val="00245B4A"/>
    <w:rsid w:val="0025606A"/>
    <w:rsid w:val="00256D69"/>
    <w:rsid w:val="00265273"/>
    <w:rsid w:val="00271F31"/>
    <w:rsid w:val="00273CE5"/>
    <w:rsid w:val="00273F48"/>
    <w:rsid w:val="002766DA"/>
    <w:rsid w:val="0028186B"/>
    <w:rsid w:val="00284128"/>
    <w:rsid w:val="00286BD3"/>
    <w:rsid w:val="00294C38"/>
    <w:rsid w:val="0029771E"/>
    <w:rsid w:val="002B4A43"/>
    <w:rsid w:val="002B7571"/>
    <w:rsid w:val="002C5315"/>
    <w:rsid w:val="002C5B8B"/>
    <w:rsid w:val="002D0BC6"/>
    <w:rsid w:val="002D3045"/>
    <w:rsid w:val="002D353E"/>
    <w:rsid w:val="002D4102"/>
    <w:rsid w:val="002D5B60"/>
    <w:rsid w:val="002D761D"/>
    <w:rsid w:val="00300517"/>
    <w:rsid w:val="00300BCD"/>
    <w:rsid w:val="00307113"/>
    <w:rsid w:val="00307D0D"/>
    <w:rsid w:val="003109CA"/>
    <w:rsid w:val="0031391B"/>
    <w:rsid w:val="00313C12"/>
    <w:rsid w:val="00317A9C"/>
    <w:rsid w:val="00323F2D"/>
    <w:rsid w:val="003263C0"/>
    <w:rsid w:val="00333BB4"/>
    <w:rsid w:val="003379F8"/>
    <w:rsid w:val="0034188D"/>
    <w:rsid w:val="0034635B"/>
    <w:rsid w:val="00347272"/>
    <w:rsid w:val="0034729A"/>
    <w:rsid w:val="00351B6D"/>
    <w:rsid w:val="00352702"/>
    <w:rsid w:val="00356FA4"/>
    <w:rsid w:val="00356FE3"/>
    <w:rsid w:val="00363813"/>
    <w:rsid w:val="00364A41"/>
    <w:rsid w:val="00370382"/>
    <w:rsid w:val="00372FDE"/>
    <w:rsid w:val="00373713"/>
    <w:rsid w:val="00383A1B"/>
    <w:rsid w:val="003902F1"/>
    <w:rsid w:val="00391D34"/>
    <w:rsid w:val="003A3C1D"/>
    <w:rsid w:val="003A5504"/>
    <w:rsid w:val="003A5C4E"/>
    <w:rsid w:val="003B0553"/>
    <w:rsid w:val="003B070A"/>
    <w:rsid w:val="003B29F5"/>
    <w:rsid w:val="003B7F8D"/>
    <w:rsid w:val="003C1205"/>
    <w:rsid w:val="003C4EF1"/>
    <w:rsid w:val="003C6D32"/>
    <w:rsid w:val="003D3D58"/>
    <w:rsid w:val="003E03DF"/>
    <w:rsid w:val="003F0B00"/>
    <w:rsid w:val="003F457E"/>
    <w:rsid w:val="00400A24"/>
    <w:rsid w:val="00401018"/>
    <w:rsid w:val="0040570C"/>
    <w:rsid w:val="004218EA"/>
    <w:rsid w:val="0042351B"/>
    <w:rsid w:val="004313E5"/>
    <w:rsid w:val="00431424"/>
    <w:rsid w:val="00434801"/>
    <w:rsid w:val="004428CB"/>
    <w:rsid w:val="0044573A"/>
    <w:rsid w:val="004512B9"/>
    <w:rsid w:val="004564EB"/>
    <w:rsid w:val="0046006E"/>
    <w:rsid w:val="004621EA"/>
    <w:rsid w:val="00462282"/>
    <w:rsid w:val="00470BCA"/>
    <w:rsid w:val="00471F6A"/>
    <w:rsid w:val="0048051B"/>
    <w:rsid w:val="00483A46"/>
    <w:rsid w:val="00484037"/>
    <w:rsid w:val="00486342"/>
    <w:rsid w:val="0049048F"/>
    <w:rsid w:val="00490631"/>
    <w:rsid w:val="004B3AE1"/>
    <w:rsid w:val="004B7D59"/>
    <w:rsid w:val="004C0BE0"/>
    <w:rsid w:val="004C5D4D"/>
    <w:rsid w:val="004D0C54"/>
    <w:rsid w:val="004D1504"/>
    <w:rsid w:val="004D1693"/>
    <w:rsid w:val="004D280D"/>
    <w:rsid w:val="004D573C"/>
    <w:rsid w:val="004E3392"/>
    <w:rsid w:val="004F24C6"/>
    <w:rsid w:val="004F4989"/>
    <w:rsid w:val="004F5C68"/>
    <w:rsid w:val="004F6386"/>
    <w:rsid w:val="004F64ED"/>
    <w:rsid w:val="004F6644"/>
    <w:rsid w:val="004F6AB0"/>
    <w:rsid w:val="00501CB0"/>
    <w:rsid w:val="0050450C"/>
    <w:rsid w:val="005060EB"/>
    <w:rsid w:val="00512446"/>
    <w:rsid w:val="0051584A"/>
    <w:rsid w:val="005258CF"/>
    <w:rsid w:val="00526A36"/>
    <w:rsid w:val="00526A78"/>
    <w:rsid w:val="00530448"/>
    <w:rsid w:val="00531659"/>
    <w:rsid w:val="00531E7D"/>
    <w:rsid w:val="00533AFC"/>
    <w:rsid w:val="005360B5"/>
    <w:rsid w:val="0054250F"/>
    <w:rsid w:val="005468C9"/>
    <w:rsid w:val="005545ED"/>
    <w:rsid w:val="00565DB5"/>
    <w:rsid w:val="00570899"/>
    <w:rsid w:val="00571EAF"/>
    <w:rsid w:val="00572C55"/>
    <w:rsid w:val="005732BF"/>
    <w:rsid w:val="00573560"/>
    <w:rsid w:val="00574193"/>
    <w:rsid w:val="00580D5F"/>
    <w:rsid w:val="005830D9"/>
    <w:rsid w:val="00585B6B"/>
    <w:rsid w:val="0058732C"/>
    <w:rsid w:val="005910CD"/>
    <w:rsid w:val="005A05FC"/>
    <w:rsid w:val="005A599E"/>
    <w:rsid w:val="005B4C10"/>
    <w:rsid w:val="005B521C"/>
    <w:rsid w:val="005B58AF"/>
    <w:rsid w:val="005C0373"/>
    <w:rsid w:val="005C226B"/>
    <w:rsid w:val="005C34EF"/>
    <w:rsid w:val="005C7BAD"/>
    <w:rsid w:val="005D14D5"/>
    <w:rsid w:val="005D5A1A"/>
    <w:rsid w:val="005D7CC9"/>
    <w:rsid w:val="005E122D"/>
    <w:rsid w:val="005E63FD"/>
    <w:rsid w:val="005F30F8"/>
    <w:rsid w:val="005F3B03"/>
    <w:rsid w:val="005F4100"/>
    <w:rsid w:val="005F6778"/>
    <w:rsid w:val="00605230"/>
    <w:rsid w:val="00605931"/>
    <w:rsid w:val="0060627A"/>
    <w:rsid w:val="00612920"/>
    <w:rsid w:val="00622AED"/>
    <w:rsid w:val="00624038"/>
    <w:rsid w:val="0063251D"/>
    <w:rsid w:val="00632EE3"/>
    <w:rsid w:val="006333AC"/>
    <w:rsid w:val="006362D3"/>
    <w:rsid w:val="00637F92"/>
    <w:rsid w:val="006406C8"/>
    <w:rsid w:val="00644B24"/>
    <w:rsid w:val="00645DD5"/>
    <w:rsid w:val="00647934"/>
    <w:rsid w:val="006506FA"/>
    <w:rsid w:val="00651582"/>
    <w:rsid w:val="00654B6A"/>
    <w:rsid w:val="0066397B"/>
    <w:rsid w:val="00667D6E"/>
    <w:rsid w:val="00670246"/>
    <w:rsid w:val="0067176D"/>
    <w:rsid w:val="00671AB7"/>
    <w:rsid w:val="00685753"/>
    <w:rsid w:val="00691369"/>
    <w:rsid w:val="00691481"/>
    <w:rsid w:val="0069665A"/>
    <w:rsid w:val="00696F6F"/>
    <w:rsid w:val="006A0E86"/>
    <w:rsid w:val="006A50B0"/>
    <w:rsid w:val="006A6C9A"/>
    <w:rsid w:val="006A6E33"/>
    <w:rsid w:val="006B04EC"/>
    <w:rsid w:val="006C1AE5"/>
    <w:rsid w:val="006C2545"/>
    <w:rsid w:val="006D0BA3"/>
    <w:rsid w:val="006D2797"/>
    <w:rsid w:val="006D3D48"/>
    <w:rsid w:val="006D40CF"/>
    <w:rsid w:val="006D581F"/>
    <w:rsid w:val="006D7853"/>
    <w:rsid w:val="006E0EF5"/>
    <w:rsid w:val="006E27B7"/>
    <w:rsid w:val="006E72D8"/>
    <w:rsid w:val="006F1729"/>
    <w:rsid w:val="006F3257"/>
    <w:rsid w:val="006F4162"/>
    <w:rsid w:val="006F7E64"/>
    <w:rsid w:val="00701E10"/>
    <w:rsid w:val="00702D65"/>
    <w:rsid w:val="00713A54"/>
    <w:rsid w:val="00717CD3"/>
    <w:rsid w:val="007200B3"/>
    <w:rsid w:val="0072553E"/>
    <w:rsid w:val="00736CD0"/>
    <w:rsid w:val="0074146B"/>
    <w:rsid w:val="00745602"/>
    <w:rsid w:val="007571E5"/>
    <w:rsid w:val="00757F84"/>
    <w:rsid w:val="00764456"/>
    <w:rsid w:val="00766CCC"/>
    <w:rsid w:val="007713AC"/>
    <w:rsid w:val="00773C46"/>
    <w:rsid w:val="007816A8"/>
    <w:rsid w:val="00787DB4"/>
    <w:rsid w:val="007903DD"/>
    <w:rsid w:val="007937B9"/>
    <w:rsid w:val="007A2C37"/>
    <w:rsid w:val="007A5375"/>
    <w:rsid w:val="007B4FE8"/>
    <w:rsid w:val="007B7447"/>
    <w:rsid w:val="007C399D"/>
    <w:rsid w:val="007C60EE"/>
    <w:rsid w:val="007C61BF"/>
    <w:rsid w:val="007C6C08"/>
    <w:rsid w:val="007C7BC4"/>
    <w:rsid w:val="007D1397"/>
    <w:rsid w:val="007D1AE7"/>
    <w:rsid w:val="007D1E73"/>
    <w:rsid w:val="007D3B54"/>
    <w:rsid w:val="007D6245"/>
    <w:rsid w:val="007E4837"/>
    <w:rsid w:val="007E6245"/>
    <w:rsid w:val="007E6FBC"/>
    <w:rsid w:val="007F00E1"/>
    <w:rsid w:val="007F11E1"/>
    <w:rsid w:val="007F15BA"/>
    <w:rsid w:val="007F2EEF"/>
    <w:rsid w:val="007F6CFB"/>
    <w:rsid w:val="007F7FA2"/>
    <w:rsid w:val="008017D8"/>
    <w:rsid w:val="00807B40"/>
    <w:rsid w:val="00812EB8"/>
    <w:rsid w:val="00820E26"/>
    <w:rsid w:val="00823050"/>
    <w:rsid w:val="00826C48"/>
    <w:rsid w:val="00826F1B"/>
    <w:rsid w:val="00827716"/>
    <w:rsid w:val="00831521"/>
    <w:rsid w:val="00831C37"/>
    <w:rsid w:val="00834518"/>
    <w:rsid w:val="00837D42"/>
    <w:rsid w:val="00853186"/>
    <w:rsid w:val="0085509D"/>
    <w:rsid w:val="008618D0"/>
    <w:rsid w:val="0088182C"/>
    <w:rsid w:val="00883598"/>
    <w:rsid w:val="00884A30"/>
    <w:rsid w:val="0088785F"/>
    <w:rsid w:val="00887F84"/>
    <w:rsid w:val="00890155"/>
    <w:rsid w:val="0089121B"/>
    <w:rsid w:val="00894021"/>
    <w:rsid w:val="008A6E29"/>
    <w:rsid w:val="008A7A18"/>
    <w:rsid w:val="008B26B9"/>
    <w:rsid w:val="008C5467"/>
    <w:rsid w:val="008C748E"/>
    <w:rsid w:val="008D6013"/>
    <w:rsid w:val="008E4585"/>
    <w:rsid w:val="008F1E95"/>
    <w:rsid w:val="009004C1"/>
    <w:rsid w:val="00904901"/>
    <w:rsid w:val="00905707"/>
    <w:rsid w:val="00907976"/>
    <w:rsid w:val="009221B7"/>
    <w:rsid w:val="00922BA4"/>
    <w:rsid w:val="00922C1F"/>
    <w:rsid w:val="00923837"/>
    <w:rsid w:val="0092498B"/>
    <w:rsid w:val="009303AF"/>
    <w:rsid w:val="00932586"/>
    <w:rsid w:val="009367A7"/>
    <w:rsid w:val="00936D28"/>
    <w:rsid w:val="009426E8"/>
    <w:rsid w:val="00944460"/>
    <w:rsid w:val="00961A24"/>
    <w:rsid w:val="0096202C"/>
    <w:rsid w:val="009625A9"/>
    <w:rsid w:val="00967966"/>
    <w:rsid w:val="00967B73"/>
    <w:rsid w:val="009715D4"/>
    <w:rsid w:val="00983868"/>
    <w:rsid w:val="009927C7"/>
    <w:rsid w:val="009928A2"/>
    <w:rsid w:val="00994B12"/>
    <w:rsid w:val="009A3AC1"/>
    <w:rsid w:val="009A42E1"/>
    <w:rsid w:val="009A5DEF"/>
    <w:rsid w:val="009A6E26"/>
    <w:rsid w:val="009B08A1"/>
    <w:rsid w:val="009B18B8"/>
    <w:rsid w:val="009B1A5D"/>
    <w:rsid w:val="009B6A5E"/>
    <w:rsid w:val="009C254A"/>
    <w:rsid w:val="009C3789"/>
    <w:rsid w:val="009C4350"/>
    <w:rsid w:val="009C5CB4"/>
    <w:rsid w:val="009C614F"/>
    <w:rsid w:val="009D11EC"/>
    <w:rsid w:val="009D2BAD"/>
    <w:rsid w:val="009D3A0D"/>
    <w:rsid w:val="009E39FF"/>
    <w:rsid w:val="009E3D90"/>
    <w:rsid w:val="009E5563"/>
    <w:rsid w:val="009E5D84"/>
    <w:rsid w:val="009E7900"/>
    <w:rsid w:val="009F133F"/>
    <w:rsid w:val="00A0725B"/>
    <w:rsid w:val="00A075D9"/>
    <w:rsid w:val="00A14AAA"/>
    <w:rsid w:val="00A16659"/>
    <w:rsid w:val="00A16CFB"/>
    <w:rsid w:val="00A23478"/>
    <w:rsid w:val="00A26F70"/>
    <w:rsid w:val="00A3242D"/>
    <w:rsid w:val="00A342C2"/>
    <w:rsid w:val="00A34F43"/>
    <w:rsid w:val="00A52ABE"/>
    <w:rsid w:val="00A5474A"/>
    <w:rsid w:val="00A55653"/>
    <w:rsid w:val="00A62890"/>
    <w:rsid w:val="00A64882"/>
    <w:rsid w:val="00A64F72"/>
    <w:rsid w:val="00A7593E"/>
    <w:rsid w:val="00A762D2"/>
    <w:rsid w:val="00A77A75"/>
    <w:rsid w:val="00A8130F"/>
    <w:rsid w:val="00A81789"/>
    <w:rsid w:val="00A82E84"/>
    <w:rsid w:val="00A91951"/>
    <w:rsid w:val="00A94C20"/>
    <w:rsid w:val="00A96091"/>
    <w:rsid w:val="00A96711"/>
    <w:rsid w:val="00A96CF4"/>
    <w:rsid w:val="00AA283D"/>
    <w:rsid w:val="00AA6D34"/>
    <w:rsid w:val="00AB0AB1"/>
    <w:rsid w:val="00AB2BE6"/>
    <w:rsid w:val="00AB49CD"/>
    <w:rsid w:val="00AC6BC1"/>
    <w:rsid w:val="00AC717D"/>
    <w:rsid w:val="00AD1653"/>
    <w:rsid w:val="00AD62B3"/>
    <w:rsid w:val="00AD668E"/>
    <w:rsid w:val="00AE2F95"/>
    <w:rsid w:val="00AF4601"/>
    <w:rsid w:val="00B01624"/>
    <w:rsid w:val="00B02E94"/>
    <w:rsid w:val="00B04FA1"/>
    <w:rsid w:val="00B10F7B"/>
    <w:rsid w:val="00B12394"/>
    <w:rsid w:val="00B12840"/>
    <w:rsid w:val="00B16B61"/>
    <w:rsid w:val="00B21A86"/>
    <w:rsid w:val="00B22F37"/>
    <w:rsid w:val="00B251D6"/>
    <w:rsid w:val="00B26EFB"/>
    <w:rsid w:val="00B30D37"/>
    <w:rsid w:val="00B31B6D"/>
    <w:rsid w:val="00B33E12"/>
    <w:rsid w:val="00B34A86"/>
    <w:rsid w:val="00B37B84"/>
    <w:rsid w:val="00B437A5"/>
    <w:rsid w:val="00B5360E"/>
    <w:rsid w:val="00B5619F"/>
    <w:rsid w:val="00B60FB5"/>
    <w:rsid w:val="00B64ECF"/>
    <w:rsid w:val="00B76437"/>
    <w:rsid w:val="00B80BCF"/>
    <w:rsid w:val="00B84FDB"/>
    <w:rsid w:val="00B86F84"/>
    <w:rsid w:val="00B87D95"/>
    <w:rsid w:val="00B91413"/>
    <w:rsid w:val="00B9684B"/>
    <w:rsid w:val="00B97C76"/>
    <w:rsid w:val="00BA11DD"/>
    <w:rsid w:val="00BA2AD1"/>
    <w:rsid w:val="00BB4BE6"/>
    <w:rsid w:val="00BC0818"/>
    <w:rsid w:val="00BD026F"/>
    <w:rsid w:val="00BE1702"/>
    <w:rsid w:val="00BE5107"/>
    <w:rsid w:val="00BE58F9"/>
    <w:rsid w:val="00BF451F"/>
    <w:rsid w:val="00BF4E4A"/>
    <w:rsid w:val="00C002F6"/>
    <w:rsid w:val="00C016F1"/>
    <w:rsid w:val="00C02570"/>
    <w:rsid w:val="00C04213"/>
    <w:rsid w:val="00C17DEB"/>
    <w:rsid w:val="00C24BDC"/>
    <w:rsid w:val="00C257C6"/>
    <w:rsid w:val="00C33B3C"/>
    <w:rsid w:val="00C3487B"/>
    <w:rsid w:val="00C409E3"/>
    <w:rsid w:val="00C43E86"/>
    <w:rsid w:val="00C44084"/>
    <w:rsid w:val="00C55AEC"/>
    <w:rsid w:val="00C567F9"/>
    <w:rsid w:val="00C600C6"/>
    <w:rsid w:val="00C6240B"/>
    <w:rsid w:val="00C6258C"/>
    <w:rsid w:val="00C627EB"/>
    <w:rsid w:val="00C65B3F"/>
    <w:rsid w:val="00C67FA6"/>
    <w:rsid w:val="00C8002B"/>
    <w:rsid w:val="00C82D33"/>
    <w:rsid w:val="00C900C6"/>
    <w:rsid w:val="00C92BA0"/>
    <w:rsid w:val="00C955DC"/>
    <w:rsid w:val="00CA08C5"/>
    <w:rsid w:val="00CA144B"/>
    <w:rsid w:val="00CA28B8"/>
    <w:rsid w:val="00CB1099"/>
    <w:rsid w:val="00CB369B"/>
    <w:rsid w:val="00CC06D8"/>
    <w:rsid w:val="00CC1661"/>
    <w:rsid w:val="00CC1AA1"/>
    <w:rsid w:val="00CC2854"/>
    <w:rsid w:val="00CC3DD2"/>
    <w:rsid w:val="00CC4A11"/>
    <w:rsid w:val="00CD685B"/>
    <w:rsid w:val="00CF1A24"/>
    <w:rsid w:val="00CF785D"/>
    <w:rsid w:val="00D0140F"/>
    <w:rsid w:val="00D04855"/>
    <w:rsid w:val="00D04EA7"/>
    <w:rsid w:val="00D10697"/>
    <w:rsid w:val="00D11466"/>
    <w:rsid w:val="00D1260A"/>
    <w:rsid w:val="00D1299B"/>
    <w:rsid w:val="00D20586"/>
    <w:rsid w:val="00D21863"/>
    <w:rsid w:val="00D22D68"/>
    <w:rsid w:val="00D27ED1"/>
    <w:rsid w:val="00D31BC0"/>
    <w:rsid w:val="00D41501"/>
    <w:rsid w:val="00D417F7"/>
    <w:rsid w:val="00D45EA3"/>
    <w:rsid w:val="00D47176"/>
    <w:rsid w:val="00D52359"/>
    <w:rsid w:val="00D539D0"/>
    <w:rsid w:val="00D551C5"/>
    <w:rsid w:val="00D6243A"/>
    <w:rsid w:val="00D62DE0"/>
    <w:rsid w:val="00D65E53"/>
    <w:rsid w:val="00D71AE5"/>
    <w:rsid w:val="00D7262F"/>
    <w:rsid w:val="00D755F0"/>
    <w:rsid w:val="00D76A47"/>
    <w:rsid w:val="00D76DFD"/>
    <w:rsid w:val="00D8177E"/>
    <w:rsid w:val="00D84AA8"/>
    <w:rsid w:val="00D84BE5"/>
    <w:rsid w:val="00D932A7"/>
    <w:rsid w:val="00D93A17"/>
    <w:rsid w:val="00D954A3"/>
    <w:rsid w:val="00DA060A"/>
    <w:rsid w:val="00DA0E9A"/>
    <w:rsid w:val="00DA24A8"/>
    <w:rsid w:val="00DA3D39"/>
    <w:rsid w:val="00DA73D0"/>
    <w:rsid w:val="00DA7901"/>
    <w:rsid w:val="00DC0902"/>
    <w:rsid w:val="00DC16D0"/>
    <w:rsid w:val="00DC3262"/>
    <w:rsid w:val="00DC335A"/>
    <w:rsid w:val="00DC344C"/>
    <w:rsid w:val="00DC47C5"/>
    <w:rsid w:val="00DD0366"/>
    <w:rsid w:val="00DD1851"/>
    <w:rsid w:val="00DD4B2A"/>
    <w:rsid w:val="00DE0022"/>
    <w:rsid w:val="00DE0A7F"/>
    <w:rsid w:val="00DE664B"/>
    <w:rsid w:val="00DF0C92"/>
    <w:rsid w:val="00DF537E"/>
    <w:rsid w:val="00DF67B4"/>
    <w:rsid w:val="00E047F1"/>
    <w:rsid w:val="00E132FD"/>
    <w:rsid w:val="00E240E7"/>
    <w:rsid w:val="00E26DAB"/>
    <w:rsid w:val="00E3126F"/>
    <w:rsid w:val="00E3189D"/>
    <w:rsid w:val="00E461AD"/>
    <w:rsid w:val="00E5129A"/>
    <w:rsid w:val="00E658F7"/>
    <w:rsid w:val="00E72F3D"/>
    <w:rsid w:val="00E73845"/>
    <w:rsid w:val="00E7584D"/>
    <w:rsid w:val="00E81282"/>
    <w:rsid w:val="00E81A73"/>
    <w:rsid w:val="00E826ED"/>
    <w:rsid w:val="00E8708F"/>
    <w:rsid w:val="00E92C7D"/>
    <w:rsid w:val="00E945EA"/>
    <w:rsid w:val="00E96B82"/>
    <w:rsid w:val="00EA1FF1"/>
    <w:rsid w:val="00EB5D13"/>
    <w:rsid w:val="00EC025D"/>
    <w:rsid w:val="00EC7A47"/>
    <w:rsid w:val="00EE45A4"/>
    <w:rsid w:val="00EE48D2"/>
    <w:rsid w:val="00EF43F6"/>
    <w:rsid w:val="00EF6328"/>
    <w:rsid w:val="00F038D6"/>
    <w:rsid w:val="00F05BC0"/>
    <w:rsid w:val="00F138CA"/>
    <w:rsid w:val="00F1433E"/>
    <w:rsid w:val="00F14774"/>
    <w:rsid w:val="00F15235"/>
    <w:rsid w:val="00F15662"/>
    <w:rsid w:val="00F2395D"/>
    <w:rsid w:val="00F30629"/>
    <w:rsid w:val="00F367D3"/>
    <w:rsid w:val="00F37AEE"/>
    <w:rsid w:val="00F37E5F"/>
    <w:rsid w:val="00F43C8D"/>
    <w:rsid w:val="00F46EBB"/>
    <w:rsid w:val="00F60B67"/>
    <w:rsid w:val="00F61878"/>
    <w:rsid w:val="00F61C5B"/>
    <w:rsid w:val="00F64571"/>
    <w:rsid w:val="00F7107E"/>
    <w:rsid w:val="00F76779"/>
    <w:rsid w:val="00F841A4"/>
    <w:rsid w:val="00F8672E"/>
    <w:rsid w:val="00F8782C"/>
    <w:rsid w:val="00F927CB"/>
    <w:rsid w:val="00F93CE1"/>
    <w:rsid w:val="00F976E5"/>
    <w:rsid w:val="00FA1653"/>
    <w:rsid w:val="00FA19E3"/>
    <w:rsid w:val="00FB1467"/>
    <w:rsid w:val="00FB221C"/>
    <w:rsid w:val="00FB6EB3"/>
    <w:rsid w:val="00FC15C2"/>
    <w:rsid w:val="00FC537F"/>
    <w:rsid w:val="00FC5EFC"/>
    <w:rsid w:val="00FC73CD"/>
    <w:rsid w:val="00FD4AB5"/>
    <w:rsid w:val="00FE571D"/>
    <w:rsid w:val="00FF3FA9"/>
    <w:rsid w:val="00FF40B8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CE5D6A"/>
  <w15:docId w15:val="{BCA1D948-8B83-4953-B25B-2EF3ECD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table" w:styleId="Mkatabulky">
    <w:name w:val="Table Grid"/>
    <w:basedOn w:val="Normlntabulka"/>
    <w:uiPriority w:val="59"/>
    <w:locked/>
    <w:rsid w:val="009E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04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2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720B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0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35A98-DDD6-4501-865B-0357DFEA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8455</Characters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2022-05-30T14:28:00Z</cp:lastPrinted>
  <dcterms:created xsi:type="dcterms:W3CDTF">2024-04-17T09:37:00Z</dcterms:created>
  <dcterms:modified xsi:type="dcterms:W3CDTF">2024-04-17T09:37:00Z</dcterms:modified>
</cp:coreProperties>
</file>