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5D8EA701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F0302F" w:rsidRPr="00F0302F">
        <w:rPr>
          <w:rFonts w:ascii="Palatino Linotype" w:hAnsi="Palatino Linotype" w:cs="Tahoma"/>
          <w:b/>
          <w:sz w:val="28"/>
          <w:szCs w:val="28"/>
          <w:lang w:eastAsia="cs-CZ"/>
        </w:rPr>
        <w:t>09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4D9DCF63" w14:textId="77777777" w:rsidR="00835005" w:rsidRPr="00835005" w:rsidRDefault="00835005" w:rsidP="00835005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491CB816" w:rsidR="00E86C8A" w:rsidRPr="000643AB" w:rsidRDefault="000643AB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0643AB">
        <w:rPr>
          <w:rFonts w:ascii="Palatino Linotype" w:hAnsi="Palatino Linotype"/>
          <w:b/>
          <w:bCs/>
          <w:color w:val="000000"/>
          <w:szCs w:val="24"/>
        </w:rPr>
        <w:t>Zvýšení bezpečnosti LAN a implementace 802.1X v síti SÚIP v krajích Středočeský, Moravskoslezský, Olomoucký a v Praze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7E925741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21479A" w:rsidRPr="000643AB">
        <w:rPr>
          <w:rFonts w:ascii="Palatino Linotype" w:hAnsi="Palatino Linotype" w:cs="Tahoma"/>
          <w:b/>
          <w:sz w:val="22"/>
          <w:szCs w:val="28"/>
          <w:lang w:eastAsia="cs-CZ"/>
        </w:rPr>
        <w:t>09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4F8CB17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6382336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14FA96DD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6C7A68B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41A5F6B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</w:t>
      </w:r>
      <w:r w:rsidR="005617CC" w:rsidRPr="00BC28EB">
        <w:rPr>
          <w:rFonts w:ascii="Palatino Linotype" w:hAnsi="Palatino Linotype" w:cs="Arial"/>
          <w:sz w:val="22"/>
          <w:szCs w:val="22"/>
        </w:rPr>
        <w:t>-09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PS 2024-</w:t>
      </w:r>
      <w:r w:rsidR="005617CC" w:rsidRPr="00BC28EB">
        <w:rPr>
          <w:rFonts w:ascii="Palatino Linotype" w:hAnsi="Palatino Linotype" w:cs="Arial"/>
          <w:sz w:val="22"/>
          <w:szCs w:val="22"/>
        </w:rPr>
        <w:t>09</w:t>
      </w:r>
      <w:r w:rsidRPr="00DA172E">
        <w:rPr>
          <w:rFonts w:ascii="Palatino Linotype" w:hAnsi="Palatino Linotype" w:cs="Arial"/>
          <w:sz w:val="22"/>
          <w:szCs w:val="22"/>
        </w:rPr>
        <w:t xml:space="preserve">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PS 2024</w:t>
      </w:r>
      <w:r w:rsidR="005617CC" w:rsidRPr="00BC28EB">
        <w:rPr>
          <w:rFonts w:ascii="Palatino Linotype" w:hAnsi="Palatino Linotype" w:cs="Arial"/>
          <w:sz w:val="22"/>
          <w:szCs w:val="22"/>
        </w:rPr>
        <w:t>-09.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0C385A9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A25B89" w:rsidRPr="00BC28EB">
        <w:rPr>
          <w:rFonts w:ascii="Palatino Linotype" w:hAnsi="Palatino Linotype" w:cs="Arial"/>
          <w:sz w:val="22"/>
          <w:szCs w:val="22"/>
        </w:rPr>
        <w:t>09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118D4A4C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lastRenderedPageBreak/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3A161961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 xml:space="preserve">nejpozději </w:t>
      </w:r>
      <w:r w:rsidRPr="00BC28EB">
        <w:rPr>
          <w:rFonts w:ascii="Palatino Linotype" w:hAnsi="Palatino Linotype" w:cs="Arial"/>
          <w:sz w:val="22"/>
          <w:szCs w:val="22"/>
        </w:rPr>
        <w:t>do</w:t>
      </w:r>
      <w:r w:rsidR="00A25B89" w:rsidRPr="00BC28EB">
        <w:rPr>
          <w:rFonts w:ascii="Palatino Linotype" w:hAnsi="Palatino Linotype" w:cs="Arial"/>
          <w:sz w:val="22"/>
          <w:szCs w:val="22"/>
        </w:rPr>
        <w:t xml:space="preserve"> </w:t>
      </w:r>
      <w:r w:rsidR="006B79BB" w:rsidRPr="00BC28EB">
        <w:rPr>
          <w:rFonts w:ascii="Palatino Linotype" w:hAnsi="Palatino Linotype" w:cs="Arial"/>
          <w:sz w:val="22"/>
          <w:szCs w:val="22"/>
        </w:rPr>
        <w:t>16</w:t>
      </w:r>
      <w:r w:rsidR="00A25B89" w:rsidRPr="00BC28EB">
        <w:rPr>
          <w:rFonts w:ascii="Palatino Linotype" w:hAnsi="Palatino Linotype" w:cs="Arial"/>
          <w:sz w:val="22"/>
          <w:szCs w:val="22"/>
        </w:rPr>
        <w:t>.</w:t>
      </w:r>
      <w:r w:rsidR="001118FF" w:rsidRPr="00BC28EB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BC28EB">
        <w:rPr>
          <w:rFonts w:ascii="Palatino Linotype" w:hAnsi="Palatino Linotype" w:cs="Arial"/>
          <w:sz w:val="22"/>
          <w:szCs w:val="22"/>
        </w:rPr>
        <w:t>12.</w:t>
      </w:r>
      <w:r w:rsidR="001118FF" w:rsidRPr="00BC28EB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BC28EB">
        <w:rPr>
          <w:rFonts w:ascii="Palatino Linotype" w:hAnsi="Palatino Linotype" w:cs="Arial"/>
          <w:sz w:val="22"/>
          <w:szCs w:val="22"/>
        </w:rPr>
        <w:t>202</w:t>
      </w:r>
      <w:r w:rsidR="00750FD4" w:rsidRPr="00BC28EB">
        <w:rPr>
          <w:rFonts w:ascii="Palatino Linotype" w:hAnsi="Palatino Linotype" w:cs="Arial"/>
          <w:sz w:val="22"/>
          <w:szCs w:val="22"/>
        </w:rPr>
        <w:t>4</w:t>
      </w:r>
      <w:r w:rsidR="0015799C" w:rsidRPr="00BC28EB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7506CF8E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se dohodly na celkové ceně za plnění dle této Prováděcí smlouvy ve </w:t>
      </w:r>
      <w:r w:rsidR="006B79BB" w:rsidRPr="00BC28EB">
        <w:rPr>
          <w:rFonts w:ascii="Palatino Linotype" w:hAnsi="Palatino Linotype" w:cs="Arial"/>
          <w:color w:val="000000" w:themeColor="text1"/>
          <w:sz w:val="22"/>
          <w:szCs w:val="22"/>
        </w:rPr>
        <w:t>výši 1.</w:t>
      </w:r>
      <w:r w:rsidR="00BC28EB" w:rsidRPr="00BC28EB">
        <w:rPr>
          <w:rFonts w:ascii="Palatino Linotype" w:hAnsi="Palatino Linotype" w:cs="Arial"/>
          <w:color w:val="000000" w:themeColor="text1"/>
          <w:sz w:val="22"/>
          <w:szCs w:val="22"/>
        </w:rPr>
        <w:t>741.300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BC28EB" w:rsidRPr="00BC28EB">
        <w:rPr>
          <w:rFonts w:ascii="Palatino Linotype" w:hAnsi="Palatino Linotype" w:cs="Arial"/>
          <w:color w:val="000000" w:themeColor="text1"/>
          <w:sz w:val="22"/>
          <w:szCs w:val="22"/>
        </w:rPr>
        <w:t>jeden milion sedm set čtyřicet jedna tisíc tři sta korun českých</w:t>
      </w:r>
      <w:r w:rsidR="00BC28EB">
        <w:rPr>
          <w:rFonts w:ascii="Palatino Linotype" w:hAnsi="Palatino Linotype" w:cs="Arial"/>
          <w:color w:val="000000" w:themeColor="text1"/>
          <w:sz w:val="22"/>
          <w:szCs w:val="22"/>
        </w:rPr>
        <w:t>)</w:t>
      </w:r>
      <w:r w:rsidR="00BC28EB" w:rsidRPr="00BC28E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BC28EB">
        <w:rPr>
          <w:rFonts w:ascii="Palatino Linotype" w:hAnsi="Palatino Linotype" w:cs="Arial"/>
          <w:color w:val="000000" w:themeColor="text1"/>
          <w:sz w:val="22"/>
          <w:szCs w:val="22"/>
        </w:rPr>
        <w:t>2.106.973,-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BC28EB" w:rsidRPr="00BC28EB">
        <w:rPr>
          <w:rFonts w:ascii="Palatino Linotype" w:hAnsi="Palatino Linotype" w:cs="Arial"/>
          <w:color w:val="000000" w:themeColor="text1"/>
          <w:sz w:val="22"/>
          <w:szCs w:val="22"/>
        </w:rPr>
        <w:t>dva miliony jedno sto šest tisíc devět set sedmdesát tři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1EC19658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9D46A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39008BBC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1446A53D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 xml:space="preserve">říloze č. 1 k této Prováděcí </w:t>
      </w:r>
      <w:r w:rsidRPr="00007189">
        <w:rPr>
          <w:rFonts w:ascii="Palatino Linotype" w:hAnsi="Palatino Linotype" w:cs="Arial"/>
          <w:sz w:val="22"/>
          <w:szCs w:val="22"/>
        </w:rPr>
        <w:lastRenderedPageBreak/>
        <w:t>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3FDC9AD3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683D60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</w:t>
      </w:r>
      <w:r w:rsidR="00715263">
        <w:rPr>
          <w:rFonts w:ascii="Palatino Linotype" w:hAnsi="Palatino Linotype" w:cs="Arial"/>
          <w:sz w:val="22"/>
          <w:szCs w:val="22"/>
        </w:rPr>
        <w:br/>
      </w:r>
      <w:r>
        <w:rPr>
          <w:rFonts w:ascii="Palatino Linotype" w:hAnsi="Palatino Linotype" w:cs="Arial"/>
          <w:sz w:val="22"/>
          <w:szCs w:val="22"/>
        </w:rPr>
        <w:t xml:space="preserve">o registru smluv. </w:t>
      </w:r>
    </w:p>
    <w:p w14:paraId="420929A6" w14:textId="6F39BD57" w:rsidR="00A25B89" w:rsidRDefault="00A25B89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521B416" w14:textId="49065EAC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46ACC8C" w14:textId="6035C517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9D6DFF8" w14:textId="135AF40E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3517117" w14:textId="77777777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67ED7394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1B77F02D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77777777" w:rsidR="000E541D" w:rsidRPr="008A3B35" w:rsidRDefault="000E541D" w:rsidP="002A6F43">
      <w:pPr>
        <w:pStyle w:val="odrka"/>
        <w:numPr>
          <w:ilvl w:val="0"/>
          <w:numId w:val="0"/>
        </w:numPr>
        <w:spacing w:before="0"/>
        <w:rPr>
          <w:rFonts w:ascii="Palatino Linotype" w:hAnsi="Palatino Linotype" w:cs="Arial"/>
          <w:sz w:val="22"/>
          <w:szCs w:val="22"/>
        </w:rPr>
        <w:sectPr w:rsidR="000E541D" w:rsidRPr="008A3B35" w:rsidSect="000B0AF7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6F10B864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F7EBB94" w14:textId="6BEF024B" w:rsidR="00BC28EB" w:rsidRDefault="00BC28E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22F6FB78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0B0AF7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529A" w14:textId="77777777" w:rsidR="000B0AF7" w:rsidRDefault="000B0AF7" w:rsidP="00312D44">
      <w:pPr>
        <w:spacing w:line="240" w:lineRule="auto"/>
      </w:pPr>
      <w:r>
        <w:separator/>
      </w:r>
    </w:p>
  </w:endnote>
  <w:endnote w:type="continuationSeparator" w:id="0">
    <w:p w14:paraId="094A253B" w14:textId="77777777" w:rsidR="000B0AF7" w:rsidRDefault="000B0AF7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DBFB" w14:textId="77777777" w:rsidR="000B0AF7" w:rsidRDefault="000B0AF7" w:rsidP="00312D44">
      <w:pPr>
        <w:spacing w:line="240" w:lineRule="auto"/>
      </w:pPr>
      <w:r>
        <w:separator/>
      </w:r>
    </w:p>
  </w:footnote>
  <w:footnote w:type="continuationSeparator" w:id="0">
    <w:p w14:paraId="40FE3498" w14:textId="77777777" w:rsidR="000B0AF7" w:rsidRDefault="000B0AF7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2ED35B93" w:rsidR="00D55C9F" w:rsidRDefault="00A25B89">
    <w:pPr>
      <w:pStyle w:val="Zhlav"/>
    </w:pPr>
    <w:r w:rsidRPr="000643AB">
      <w:t>MPSV1.2</w:t>
    </w:r>
    <w:r w:rsidR="000643AB" w:rsidRPr="000643AB">
      <w:t>4</w:t>
    </w:r>
    <w:r w:rsidRPr="000643AB">
      <w:t>.0</w:t>
    </w:r>
    <w:r w:rsidR="000643AB" w:rsidRPr="000643AB">
      <w:t>128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CC049EF"/>
    <w:multiLevelType w:val="hybridMultilevel"/>
    <w:tmpl w:val="159A39B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B3028"/>
    <w:multiLevelType w:val="hybridMultilevel"/>
    <w:tmpl w:val="10145024"/>
    <w:lvl w:ilvl="0" w:tplc="E15ADAA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5F6"/>
    <w:multiLevelType w:val="hybridMultilevel"/>
    <w:tmpl w:val="014056AA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48885614"/>
    <w:multiLevelType w:val="hybridMultilevel"/>
    <w:tmpl w:val="26560F5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5AEA0C5A"/>
    <w:multiLevelType w:val="hybridMultilevel"/>
    <w:tmpl w:val="3DBA8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099453055">
    <w:abstractNumId w:val="6"/>
  </w:num>
  <w:num w:numId="2" w16cid:durableId="1090349896">
    <w:abstractNumId w:val="9"/>
  </w:num>
  <w:num w:numId="3" w16cid:durableId="1027219375">
    <w:abstractNumId w:val="8"/>
  </w:num>
  <w:num w:numId="4" w16cid:durableId="1430272820">
    <w:abstractNumId w:val="29"/>
  </w:num>
  <w:num w:numId="5" w16cid:durableId="2129201082">
    <w:abstractNumId w:val="7"/>
  </w:num>
  <w:num w:numId="6" w16cid:durableId="220486679">
    <w:abstractNumId w:val="25"/>
  </w:num>
  <w:num w:numId="7" w16cid:durableId="240531441">
    <w:abstractNumId w:val="12"/>
  </w:num>
  <w:num w:numId="8" w16cid:durableId="37241633">
    <w:abstractNumId w:val="2"/>
  </w:num>
  <w:num w:numId="9" w16cid:durableId="600994607">
    <w:abstractNumId w:val="15"/>
  </w:num>
  <w:num w:numId="10" w16cid:durableId="749422078">
    <w:abstractNumId w:val="24"/>
  </w:num>
  <w:num w:numId="11" w16cid:durableId="1529833796">
    <w:abstractNumId w:val="20"/>
  </w:num>
  <w:num w:numId="12" w16cid:durableId="520244987">
    <w:abstractNumId w:val="1"/>
  </w:num>
  <w:num w:numId="13" w16cid:durableId="816999013">
    <w:abstractNumId w:val="14"/>
  </w:num>
  <w:num w:numId="14" w16cid:durableId="2011594394">
    <w:abstractNumId w:val="0"/>
  </w:num>
  <w:num w:numId="15" w16cid:durableId="683750046">
    <w:abstractNumId w:val="27"/>
  </w:num>
  <w:num w:numId="16" w16cid:durableId="910622720">
    <w:abstractNumId w:val="11"/>
  </w:num>
  <w:num w:numId="17" w16cid:durableId="1507162340">
    <w:abstractNumId w:val="28"/>
  </w:num>
  <w:num w:numId="18" w16cid:durableId="1425688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9282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338341">
    <w:abstractNumId w:val="13"/>
  </w:num>
  <w:num w:numId="21" w16cid:durableId="21976046">
    <w:abstractNumId w:val="17"/>
  </w:num>
  <w:num w:numId="22" w16cid:durableId="399210281">
    <w:abstractNumId w:val="23"/>
  </w:num>
  <w:num w:numId="23" w16cid:durableId="1575704534">
    <w:abstractNumId w:val="18"/>
  </w:num>
  <w:num w:numId="24" w16cid:durableId="328018644">
    <w:abstractNumId w:val="26"/>
  </w:num>
  <w:num w:numId="25" w16cid:durableId="801970825">
    <w:abstractNumId w:val="10"/>
  </w:num>
  <w:num w:numId="26" w16cid:durableId="749154722">
    <w:abstractNumId w:val="22"/>
  </w:num>
  <w:num w:numId="27" w16cid:durableId="1100372212">
    <w:abstractNumId w:val="19"/>
  </w:num>
  <w:num w:numId="28" w16cid:durableId="106582784">
    <w:abstractNumId w:val="5"/>
  </w:num>
  <w:num w:numId="29" w16cid:durableId="987980959">
    <w:abstractNumId w:val="21"/>
  </w:num>
  <w:num w:numId="30" w16cid:durableId="1218593174">
    <w:abstractNumId w:val="3"/>
  </w:num>
  <w:num w:numId="31" w16cid:durableId="814107630">
    <w:abstractNumId w:val="16"/>
  </w:num>
  <w:num w:numId="32" w16cid:durableId="189315465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3A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0AF7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64C4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C7A89"/>
    <w:rsid w:val="001D3152"/>
    <w:rsid w:val="001E1D84"/>
    <w:rsid w:val="001E26BA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16D42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719D"/>
    <w:rsid w:val="00597DE9"/>
    <w:rsid w:val="005A1A08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876A8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84CA1"/>
    <w:rsid w:val="00B97A70"/>
    <w:rsid w:val="00BC28EB"/>
    <w:rsid w:val="00BD38F2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7F2F"/>
    <w:rsid w:val="00ED41B4"/>
    <w:rsid w:val="00ED795E"/>
    <w:rsid w:val="00EF1D42"/>
    <w:rsid w:val="00EF4B51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4AD8-B630-4ACF-B198-DC570734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1689</Words>
  <Characters>9967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2024-04-09T13:05:00Z</dcterms:created>
  <dcterms:modified xsi:type="dcterms:W3CDTF">2024-04-17T07:32:00Z</dcterms:modified>
</cp:coreProperties>
</file>