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97A1" w14:textId="77777777" w:rsidR="00A4680B" w:rsidRPr="00B123A5" w:rsidRDefault="00A4680B">
      <w:pPr>
        <w:pStyle w:val="Zkladntext"/>
        <w:rPr>
          <w:sz w:val="20"/>
          <w:lang w:val="cs-CZ"/>
        </w:rPr>
      </w:pPr>
    </w:p>
    <w:p w14:paraId="40A8BA34" w14:textId="77777777" w:rsidR="00A4680B" w:rsidRPr="00B123A5" w:rsidRDefault="00A4680B">
      <w:pPr>
        <w:pStyle w:val="Zkladntext"/>
        <w:rPr>
          <w:sz w:val="20"/>
          <w:lang w:val="cs-CZ"/>
        </w:rPr>
      </w:pPr>
    </w:p>
    <w:p w14:paraId="23FC3801" w14:textId="77777777" w:rsidR="00A4680B" w:rsidRPr="00B123A5" w:rsidRDefault="00A4680B">
      <w:pPr>
        <w:pStyle w:val="Zkladntext"/>
        <w:spacing w:before="10"/>
        <w:rPr>
          <w:sz w:val="23"/>
          <w:lang w:val="cs-CZ"/>
        </w:rPr>
      </w:pPr>
    </w:p>
    <w:p w14:paraId="1DFD5369" w14:textId="77777777" w:rsidR="00A4680B" w:rsidRPr="00B123A5" w:rsidRDefault="00C9453D">
      <w:pPr>
        <w:tabs>
          <w:tab w:val="left" w:pos="8236"/>
        </w:tabs>
        <w:spacing w:before="86"/>
        <w:ind w:left="3438"/>
        <w:rPr>
          <w:b/>
          <w:sz w:val="32"/>
          <w:lang w:val="cs-CZ"/>
        </w:rPr>
      </w:pPr>
      <w:r w:rsidRPr="00B123A5">
        <w:rPr>
          <w:noProof/>
          <w:lang w:val="cs-CZ"/>
        </w:rPr>
        <w:drawing>
          <wp:anchor distT="0" distB="0" distL="0" distR="0" simplePos="0" relativeHeight="251656704" behindDoc="0" locked="0" layoutInCell="1" allowOverlap="1" wp14:anchorId="43D1E5F9" wp14:editId="66706975">
            <wp:simplePos x="0" y="0"/>
            <wp:positionH relativeFrom="page">
              <wp:posOffset>896111</wp:posOffset>
            </wp:positionH>
            <wp:positionV relativeFrom="paragraph">
              <wp:posOffset>-462908</wp:posOffset>
            </wp:positionV>
            <wp:extent cx="1063752" cy="7101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23A5">
        <w:rPr>
          <w:b/>
          <w:color w:val="333399"/>
          <w:sz w:val="32"/>
          <w:lang w:val="cs-CZ"/>
        </w:rPr>
        <w:t>Ř</w:t>
      </w:r>
      <w:r w:rsidRPr="00B123A5">
        <w:rPr>
          <w:b/>
          <w:color w:val="333399"/>
          <w:spacing w:val="-22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e</w:t>
      </w:r>
      <w:r w:rsidRPr="00B123A5">
        <w:rPr>
          <w:b/>
          <w:color w:val="333399"/>
          <w:spacing w:val="-22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d</w:t>
      </w:r>
      <w:r w:rsidRPr="00B123A5">
        <w:rPr>
          <w:b/>
          <w:color w:val="333399"/>
          <w:spacing w:val="-19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i</w:t>
      </w:r>
      <w:r w:rsidRPr="00B123A5">
        <w:rPr>
          <w:b/>
          <w:color w:val="333399"/>
          <w:spacing w:val="-21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t</w:t>
      </w:r>
      <w:r w:rsidRPr="00B123A5">
        <w:rPr>
          <w:b/>
          <w:color w:val="333399"/>
          <w:spacing w:val="-22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e</w:t>
      </w:r>
      <w:r w:rsidRPr="00B123A5">
        <w:rPr>
          <w:b/>
          <w:color w:val="333399"/>
          <w:spacing w:val="-22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l</w:t>
      </w:r>
      <w:r w:rsidRPr="00B123A5">
        <w:rPr>
          <w:b/>
          <w:color w:val="333399"/>
          <w:spacing w:val="-21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s</w:t>
      </w:r>
      <w:r w:rsidRPr="00B123A5">
        <w:rPr>
          <w:b/>
          <w:color w:val="333399"/>
          <w:spacing w:val="-21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t</w:t>
      </w:r>
      <w:r w:rsidRPr="00B123A5">
        <w:rPr>
          <w:b/>
          <w:color w:val="333399"/>
          <w:spacing w:val="-22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v</w:t>
      </w:r>
      <w:r w:rsidRPr="00B123A5">
        <w:rPr>
          <w:b/>
          <w:color w:val="333399"/>
          <w:spacing w:val="-20"/>
          <w:sz w:val="32"/>
          <w:lang w:val="cs-CZ"/>
        </w:rPr>
        <w:t xml:space="preserve"> </w:t>
      </w:r>
      <w:proofErr w:type="gramStart"/>
      <w:r w:rsidRPr="00B123A5">
        <w:rPr>
          <w:b/>
          <w:color w:val="333399"/>
          <w:sz w:val="32"/>
          <w:lang w:val="cs-CZ"/>
        </w:rPr>
        <w:t xml:space="preserve">í </w:t>
      </w:r>
      <w:r w:rsidRPr="00B123A5">
        <w:rPr>
          <w:b/>
          <w:color w:val="333399"/>
          <w:spacing w:val="38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v</w:t>
      </w:r>
      <w:proofErr w:type="gramEnd"/>
      <w:r w:rsidRPr="00B123A5">
        <w:rPr>
          <w:b/>
          <w:color w:val="333399"/>
          <w:spacing w:val="-20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o</w:t>
      </w:r>
      <w:r w:rsidRPr="00B123A5">
        <w:rPr>
          <w:b/>
          <w:color w:val="333399"/>
          <w:spacing w:val="-20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d</w:t>
      </w:r>
      <w:r w:rsidRPr="00B123A5">
        <w:rPr>
          <w:b/>
          <w:color w:val="333399"/>
          <w:spacing w:val="-21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n</w:t>
      </w:r>
      <w:r w:rsidRPr="00B123A5">
        <w:rPr>
          <w:b/>
          <w:color w:val="333399"/>
          <w:spacing w:val="-19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í</w:t>
      </w:r>
      <w:r w:rsidRPr="00B123A5">
        <w:rPr>
          <w:b/>
          <w:color w:val="333399"/>
          <w:spacing w:val="-21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c</w:t>
      </w:r>
      <w:r w:rsidRPr="00B123A5">
        <w:rPr>
          <w:b/>
          <w:color w:val="333399"/>
          <w:spacing w:val="-22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 xml:space="preserve">h </w:t>
      </w:r>
      <w:r w:rsidRPr="00B123A5">
        <w:rPr>
          <w:b/>
          <w:color w:val="333399"/>
          <w:spacing w:val="38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c</w:t>
      </w:r>
      <w:r w:rsidRPr="00B123A5">
        <w:rPr>
          <w:b/>
          <w:color w:val="333399"/>
          <w:spacing w:val="-22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e</w:t>
      </w:r>
      <w:r w:rsidRPr="00B123A5">
        <w:rPr>
          <w:b/>
          <w:color w:val="333399"/>
          <w:spacing w:val="-22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s</w:t>
      </w:r>
      <w:r w:rsidRPr="00B123A5">
        <w:rPr>
          <w:b/>
          <w:color w:val="333399"/>
          <w:spacing w:val="-21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t</w:t>
      </w:r>
      <w:r w:rsidRPr="00B123A5">
        <w:rPr>
          <w:b/>
          <w:color w:val="333399"/>
          <w:sz w:val="32"/>
          <w:lang w:val="cs-CZ"/>
        </w:rPr>
        <w:tab/>
        <w:t>Č</w:t>
      </w:r>
      <w:r w:rsidRPr="00B123A5">
        <w:rPr>
          <w:b/>
          <w:color w:val="333399"/>
          <w:spacing w:val="-23"/>
          <w:sz w:val="32"/>
          <w:lang w:val="cs-CZ"/>
        </w:rPr>
        <w:t xml:space="preserve"> </w:t>
      </w:r>
      <w:r w:rsidRPr="00B123A5">
        <w:rPr>
          <w:b/>
          <w:color w:val="333399"/>
          <w:sz w:val="32"/>
          <w:lang w:val="cs-CZ"/>
        </w:rPr>
        <w:t>R</w:t>
      </w:r>
    </w:p>
    <w:p w14:paraId="1A759CD8" w14:textId="77777777" w:rsidR="00A4680B" w:rsidRPr="00B123A5" w:rsidRDefault="00C9453D">
      <w:pPr>
        <w:pStyle w:val="Zkladntext"/>
        <w:spacing w:before="9"/>
        <w:rPr>
          <w:b/>
          <w:sz w:val="11"/>
          <w:lang w:val="cs-CZ"/>
        </w:rPr>
      </w:pPr>
      <w:r w:rsidRPr="00B123A5">
        <w:rPr>
          <w:lang w:val="cs-CZ"/>
        </w:rPr>
        <w:pict w14:anchorId="018A8BD8">
          <v:line id="_x0000_s1027" style="position:absolute;z-index:251657728;mso-wrap-distance-left:0;mso-wrap-distance-right:0;mso-position-horizontal-relative:page" from="69.5pt,9pt" to="525.85pt,9pt" strokeweight=".16936mm">
            <w10:wrap type="topAndBottom" anchorx="page"/>
          </v:line>
        </w:pict>
      </w:r>
    </w:p>
    <w:p w14:paraId="2D0EB8B3" w14:textId="77777777" w:rsidR="00A4680B" w:rsidRPr="00B123A5" w:rsidRDefault="00A4680B">
      <w:pPr>
        <w:pStyle w:val="Zkladntext"/>
        <w:rPr>
          <w:b/>
          <w:sz w:val="20"/>
          <w:lang w:val="cs-CZ"/>
        </w:rPr>
      </w:pPr>
    </w:p>
    <w:p w14:paraId="28D087A4" w14:textId="77777777" w:rsidR="00A4680B" w:rsidRPr="00B123A5" w:rsidRDefault="00A4680B">
      <w:pPr>
        <w:pStyle w:val="Zkladntext"/>
        <w:rPr>
          <w:b/>
          <w:sz w:val="20"/>
          <w:lang w:val="cs-CZ"/>
        </w:rPr>
      </w:pPr>
    </w:p>
    <w:p w14:paraId="62F06589" w14:textId="77777777" w:rsidR="00A4680B" w:rsidRPr="00B123A5" w:rsidRDefault="00A4680B">
      <w:pPr>
        <w:pStyle w:val="Zkladntext"/>
        <w:spacing w:before="7"/>
        <w:rPr>
          <w:b/>
          <w:sz w:val="18"/>
          <w:lang w:val="cs-CZ"/>
        </w:rPr>
      </w:pPr>
    </w:p>
    <w:p w14:paraId="3B741322" w14:textId="77777777" w:rsidR="00A4680B" w:rsidRPr="00B123A5" w:rsidRDefault="00C9453D">
      <w:pPr>
        <w:spacing w:before="89"/>
        <w:ind w:left="1369"/>
        <w:rPr>
          <w:b/>
          <w:sz w:val="28"/>
          <w:lang w:val="cs-CZ"/>
        </w:rPr>
      </w:pPr>
      <w:r w:rsidRPr="00B123A5">
        <w:rPr>
          <w:b/>
          <w:sz w:val="28"/>
          <w:lang w:val="cs-CZ"/>
        </w:rPr>
        <w:t>ROZHODNUTÍ A OZNÁMENÍ O VÝBĚRU DODAVATELE</w:t>
      </w:r>
    </w:p>
    <w:p w14:paraId="6F0EDB70" w14:textId="77777777" w:rsidR="00A4680B" w:rsidRPr="00B123A5" w:rsidRDefault="00A4680B">
      <w:pPr>
        <w:pStyle w:val="Zkladntext"/>
        <w:spacing w:before="9"/>
        <w:rPr>
          <w:b/>
          <w:sz w:val="41"/>
          <w:lang w:val="cs-CZ"/>
        </w:rPr>
      </w:pPr>
    </w:p>
    <w:p w14:paraId="28053A98" w14:textId="77777777" w:rsidR="00A4680B" w:rsidRPr="00B123A5" w:rsidRDefault="00C9453D">
      <w:pPr>
        <w:pStyle w:val="Zkladntext"/>
        <w:spacing w:line="276" w:lineRule="auto"/>
        <w:ind w:left="3762" w:right="335" w:hanging="3531"/>
        <w:rPr>
          <w:lang w:val="cs-CZ"/>
        </w:rPr>
      </w:pPr>
      <w:r w:rsidRPr="00B123A5">
        <w:rPr>
          <w:lang w:val="cs-CZ"/>
        </w:rPr>
        <w:t xml:space="preserve">dle </w:t>
      </w:r>
      <w:proofErr w:type="spellStart"/>
      <w:r w:rsidRPr="00B123A5">
        <w:rPr>
          <w:lang w:val="cs-CZ"/>
        </w:rPr>
        <w:t>ust</w:t>
      </w:r>
      <w:proofErr w:type="spellEnd"/>
      <w:r w:rsidRPr="00B123A5">
        <w:rPr>
          <w:lang w:val="cs-CZ"/>
        </w:rPr>
        <w:t>. § 122 a 123 zákona č. 134/2016 Sb., o zadávání veřejných zakázek, v účinném znění (dále jen "</w:t>
      </w:r>
      <w:r w:rsidRPr="00B123A5">
        <w:rPr>
          <w:b/>
          <w:lang w:val="cs-CZ"/>
        </w:rPr>
        <w:t>ZZVZ</w:t>
      </w:r>
      <w:r w:rsidRPr="00B123A5">
        <w:rPr>
          <w:lang w:val="cs-CZ"/>
        </w:rPr>
        <w:t>")</w:t>
      </w:r>
    </w:p>
    <w:p w14:paraId="6BA5AA10" w14:textId="77777777" w:rsidR="00A4680B" w:rsidRPr="00B123A5" w:rsidRDefault="00C9453D">
      <w:pPr>
        <w:pStyle w:val="Nadpis1"/>
        <w:spacing w:before="161"/>
        <w:jc w:val="left"/>
        <w:rPr>
          <w:lang w:val="cs-CZ"/>
        </w:rPr>
      </w:pPr>
      <w:r w:rsidRPr="00B123A5">
        <w:rPr>
          <w:lang w:val="cs-CZ"/>
        </w:rPr>
        <w:t>Identifikační údaje zadavatele</w:t>
      </w:r>
    </w:p>
    <w:p w14:paraId="4D7A27A4" w14:textId="77777777" w:rsidR="00A4680B" w:rsidRPr="00B123A5" w:rsidRDefault="00A4680B">
      <w:pPr>
        <w:pStyle w:val="Zkladntext"/>
        <w:spacing w:before="6" w:after="1"/>
        <w:rPr>
          <w:b/>
          <w:sz w:val="17"/>
          <w:lang w:val="cs-CZ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127"/>
      </w:tblGrid>
      <w:tr w:rsidR="00A4680B" w:rsidRPr="00B123A5" w14:paraId="402E6672" w14:textId="77777777">
        <w:trPr>
          <w:trHeight w:hRule="exact" w:val="499"/>
        </w:trPr>
        <w:tc>
          <w:tcPr>
            <w:tcW w:w="3067" w:type="dxa"/>
            <w:tcBorders>
              <w:bottom w:val="single" w:sz="6" w:space="0" w:color="000000"/>
              <w:right w:val="single" w:sz="6" w:space="0" w:color="000000"/>
            </w:tcBorders>
          </w:tcPr>
          <w:p w14:paraId="624F93EB" w14:textId="77777777" w:rsidR="00A4680B" w:rsidRPr="00B123A5" w:rsidRDefault="00C9453D">
            <w:pPr>
              <w:pStyle w:val="TableParagraph"/>
              <w:rPr>
                <w:b/>
                <w:sz w:val="24"/>
                <w:lang w:val="cs-CZ"/>
              </w:rPr>
            </w:pPr>
            <w:r w:rsidRPr="00B123A5">
              <w:rPr>
                <w:b/>
                <w:sz w:val="24"/>
                <w:lang w:val="cs-CZ"/>
              </w:rPr>
              <w:t>Název zadavatele</w:t>
            </w:r>
          </w:p>
        </w:tc>
        <w:tc>
          <w:tcPr>
            <w:tcW w:w="6127" w:type="dxa"/>
            <w:tcBorders>
              <w:left w:val="single" w:sz="6" w:space="0" w:color="000000"/>
              <w:bottom w:val="single" w:sz="6" w:space="0" w:color="000000"/>
            </w:tcBorders>
          </w:tcPr>
          <w:p w14:paraId="21EA9A4E" w14:textId="77777777" w:rsidR="00A4680B" w:rsidRPr="00B123A5" w:rsidRDefault="00C9453D">
            <w:pPr>
              <w:pStyle w:val="TableParagraph"/>
              <w:ind w:left="98"/>
              <w:rPr>
                <w:b/>
                <w:sz w:val="24"/>
                <w:lang w:val="cs-CZ"/>
              </w:rPr>
            </w:pPr>
            <w:r w:rsidRPr="00B123A5">
              <w:rPr>
                <w:b/>
                <w:sz w:val="24"/>
                <w:lang w:val="cs-CZ"/>
              </w:rPr>
              <w:t>Česká republika – Ředitelství vodních cest ČR</w:t>
            </w:r>
          </w:p>
        </w:tc>
      </w:tr>
      <w:tr w:rsidR="00A4680B" w:rsidRPr="00B123A5" w14:paraId="20BCF5AE" w14:textId="77777777">
        <w:trPr>
          <w:trHeight w:hRule="exact" w:val="492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0186" w14:textId="77777777" w:rsidR="00A4680B" w:rsidRPr="00B123A5" w:rsidRDefault="00C9453D">
            <w:pPr>
              <w:pStyle w:val="TableParagraph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IČO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D050EA" w14:textId="77777777" w:rsidR="00A4680B" w:rsidRPr="00B123A5" w:rsidRDefault="00C9453D">
            <w:pPr>
              <w:pStyle w:val="TableParagraph"/>
              <w:ind w:left="98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679 81 801</w:t>
            </w:r>
          </w:p>
        </w:tc>
      </w:tr>
      <w:tr w:rsidR="00A4680B" w:rsidRPr="00B123A5" w14:paraId="27210BD9" w14:textId="77777777">
        <w:trPr>
          <w:trHeight w:hRule="exact" w:val="492"/>
        </w:trPr>
        <w:tc>
          <w:tcPr>
            <w:tcW w:w="3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D16E" w14:textId="77777777" w:rsidR="00A4680B" w:rsidRPr="00B123A5" w:rsidRDefault="00C9453D">
            <w:pPr>
              <w:pStyle w:val="TableParagraph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Adresa sídla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42BCC" w14:textId="77777777" w:rsidR="00A4680B" w:rsidRPr="00B123A5" w:rsidRDefault="00C9453D">
            <w:pPr>
              <w:pStyle w:val="TableParagraph"/>
              <w:ind w:left="98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nábř. L. Svobody 1222/12, 110 15 Praha 1</w:t>
            </w:r>
          </w:p>
        </w:tc>
      </w:tr>
      <w:tr w:rsidR="00A4680B" w:rsidRPr="00B123A5" w14:paraId="7C3D0CC7" w14:textId="77777777">
        <w:trPr>
          <w:trHeight w:hRule="exact" w:val="818"/>
        </w:trPr>
        <w:tc>
          <w:tcPr>
            <w:tcW w:w="3067" w:type="dxa"/>
            <w:tcBorders>
              <w:top w:val="single" w:sz="6" w:space="0" w:color="000000"/>
              <w:right w:val="single" w:sz="6" w:space="0" w:color="000000"/>
            </w:tcBorders>
          </w:tcPr>
          <w:p w14:paraId="39D05C66" w14:textId="77777777" w:rsidR="00A4680B" w:rsidRPr="00B123A5" w:rsidRDefault="00C9453D">
            <w:pPr>
              <w:pStyle w:val="TableParagraph"/>
              <w:spacing w:before="1" w:line="276" w:lineRule="auto"/>
              <w:ind w:right="173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Osoba oprávněná zastupovat zadavatele</w:t>
            </w:r>
          </w:p>
        </w:tc>
        <w:tc>
          <w:tcPr>
            <w:tcW w:w="6127" w:type="dxa"/>
            <w:tcBorders>
              <w:top w:val="single" w:sz="6" w:space="0" w:color="000000"/>
              <w:left w:val="single" w:sz="6" w:space="0" w:color="000000"/>
            </w:tcBorders>
          </w:tcPr>
          <w:p w14:paraId="0975835C" w14:textId="77777777" w:rsidR="00A4680B" w:rsidRPr="00B123A5" w:rsidRDefault="00C9453D">
            <w:pPr>
              <w:pStyle w:val="TableParagraph"/>
              <w:spacing w:before="160" w:line="240" w:lineRule="auto"/>
              <w:ind w:left="98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Ing. Lubomír Fojtů, ředitel</w:t>
            </w:r>
          </w:p>
        </w:tc>
      </w:tr>
    </w:tbl>
    <w:p w14:paraId="4D201C83" w14:textId="77777777" w:rsidR="00A4680B" w:rsidRPr="00B123A5" w:rsidRDefault="00A4680B">
      <w:pPr>
        <w:pStyle w:val="Zkladntext"/>
        <w:rPr>
          <w:b/>
          <w:sz w:val="20"/>
          <w:lang w:val="cs-CZ"/>
        </w:rPr>
      </w:pPr>
    </w:p>
    <w:p w14:paraId="63F2AEEB" w14:textId="77777777" w:rsidR="00A4680B" w:rsidRPr="00B123A5" w:rsidRDefault="00A4680B">
      <w:pPr>
        <w:pStyle w:val="Zkladntext"/>
        <w:spacing w:before="5"/>
        <w:rPr>
          <w:b/>
          <w:sz w:val="21"/>
          <w:lang w:val="cs-CZ"/>
        </w:rPr>
      </w:pPr>
    </w:p>
    <w:p w14:paraId="702D6BB3" w14:textId="77777777" w:rsidR="00A4680B" w:rsidRPr="00B123A5" w:rsidRDefault="00C9453D">
      <w:pPr>
        <w:ind w:left="138"/>
        <w:rPr>
          <w:b/>
          <w:sz w:val="24"/>
          <w:lang w:val="cs-CZ"/>
        </w:rPr>
      </w:pPr>
      <w:r w:rsidRPr="00B123A5">
        <w:rPr>
          <w:b/>
          <w:sz w:val="24"/>
          <w:lang w:val="cs-CZ"/>
        </w:rPr>
        <w:t>Identifikační údaje zakázky</w:t>
      </w:r>
    </w:p>
    <w:p w14:paraId="1989954F" w14:textId="77777777" w:rsidR="00A4680B" w:rsidRPr="00B123A5" w:rsidRDefault="00A4680B">
      <w:pPr>
        <w:pStyle w:val="Zkladntext"/>
        <w:spacing w:before="6" w:after="1"/>
        <w:rPr>
          <w:b/>
          <w:sz w:val="17"/>
          <w:lang w:val="cs-CZ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118"/>
      </w:tblGrid>
      <w:tr w:rsidR="00A4680B" w:rsidRPr="00B123A5" w14:paraId="08F24A61" w14:textId="77777777">
        <w:trPr>
          <w:trHeight w:hRule="exact" w:val="778"/>
        </w:trPr>
        <w:tc>
          <w:tcPr>
            <w:tcW w:w="3077" w:type="dxa"/>
            <w:tcBorders>
              <w:bottom w:val="single" w:sz="6" w:space="0" w:color="000000"/>
              <w:right w:val="single" w:sz="6" w:space="0" w:color="000000"/>
            </w:tcBorders>
          </w:tcPr>
          <w:p w14:paraId="4E31C519" w14:textId="77777777" w:rsidR="00A4680B" w:rsidRPr="00B123A5" w:rsidRDefault="00C9453D">
            <w:pPr>
              <w:pStyle w:val="TableParagraph"/>
              <w:spacing w:before="138" w:line="240" w:lineRule="auto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Název veřejné zakázky</w:t>
            </w:r>
          </w:p>
        </w:tc>
        <w:tc>
          <w:tcPr>
            <w:tcW w:w="6118" w:type="dxa"/>
            <w:tcBorders>
              <w:left w:val="single" w:sz="6" w:space="0" w:color="000000"/>
              <w:bottom w:val="single" w:sz="6" w:space="0" w:color="000000"/>
            </w:tcBorders>
          </w:tcPr>
          <w:p w14:paraId="66634245" w14:textId="77777777" w:rsidR="00A4680B" w:rsidRPr="00B123A5" w:rsidRDefault="00C9453D">
            <w:pPr>
              <w:pStyle w:val="TableParagraph"/>
              <w:spacing w:before="61" w:line="276" w:lineRule="auto"/>
              <w:ind w:left="100"/>
              <w:rPr>
                <w:b/>
                <w:sz w:val="24"/>
                <w:lang w:val="cs-CZ"/>
              </w:rPr>
            </w:pPr>
            <w:r w:rsidRPr="00B123A5">
              <w:rPr>
                <w:b/>
                <w:sz w:val="24"/>
                <w:lang w:val="cs-CZ"/>
              </w:rPr>
              <w:t>Plavební okruh Veselí nad Moravou – Vnorovy, část Přístav – správce stavby</w:t>
            </w:r>
          </w:p>
        </w:tc>
      </w:tr>
      <w:tr w:rsidR="00A4680B" w:rsidRPr="00B123A5" w14:paraId="5AD8E74B" w14:textId="77777777">
        <w:trPr>
          <w:trHeight w:hRule="exact" w:val="492"/>
        </w:trPr>
        <w:tc>
          <w:tcPr>
            <w:tcW w:w="30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21A3" w14:textId="77777777" w:rsidR="00A4680B" w:rsidRPr="00B123A5" w:rsidRDefault="00C9453D">
            <w:pPr>
              <w:pStyle w:val="TableParagraph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Ev. č. ve VVZ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33F1C" w14:textId="77777777" w:rsidR="00A4680B" w:rsidRPr="00B123A5" w:rsidRDefault="00C9453D">
            <w:pPr>
              <w:pStyle w:val="TableParagraph"/>
              <w:ind w:left="100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Z2023-059057</w:t>
            </w:r>
          </w:p>
        </w:tc>
      </w:tr>
      <w:tr w:rsidR="00A4680B" w:rsidRPr="00B123A5" w14:paraId="66E8F9C6" w14:textId="77777777">
        <w:trPr>
          <w:trHeight w:hRule="exact" w:val="818"/>
        </w:trPr>
        <w:tc>
          <w:tcPr>
            <w:tcW w:w="3077" w:type="dxa"/>
            <w:tcBorders>
              <w:top w:val="single" w:sz="6" w:space="0" w:color="000000"/>
              <w:right w:val="single" w:sz="6" w:space="0" w:color="000000"/>
            </w:tcBorders>
          </w:tcPr>
          <w:p w14:paraId="4E2E0515" w14:textId="77777777" w:rsidR="00A4680B" w:rsidRPr="00B123A5" w:rsidRDefault="00C9453D">
            <w:pPr>
              <w:pStyle w:val="TableParagraph"/>
              <w:spacing w:line="278" w:lineRule="auto"/>
              <w:ind w:right="770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Druh veřejné zakázky a zadávacího řízení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</w:tcBorders>
          </w:tcPr>
          <w:p w14:paraId="5685D27D" w14:textId="77777777" w:rsidR="00A4680B" w:rsidRPr="00B123A5" w:rsidRDefault="00C9453D">
            <w:pPr>
              <w:pStyle w:val="TableParagraph"/>
              <w:spacing w:line="278" w:lineRule="auto"/>
              <w:ind w:left="100" w:right="212"/>
              <w:rPr>
                <w:sz w:val="24"/>
                <w:lang w:val="cs-CZ"/>
              </w:rPr>
            </w:pPr>
            <w:r w:rsidRPr="00B123A5">
              <w:rPr>
                <w:sz w:val="24"/>
                <w:lang w:val="cs-CZ"/>
              </w:rPr>
              <w:t>nadlimitní veřejná zakázka na služby zadávaná v otevřeném nadlimitním řízení</w:t>
            </w:r>
          </w:p>
        </w:tc>
      </w:tr>
    </w:tbl>
    <w:p w14:paraId="12C2FE25" w14:textId="77777777" w:rsidR="00A4680B" w:rsidRPr="00B123A5" w:rsidRDefault="00A4680B">
      <w:pPr>
        <w:pStyle w:val="Zkladntext"/>
        <w:rPr>
          <w:b/>
          <w:sz w:val="20"/>
          <w:lang w:val="cs-CZ"/>
        </w:rPr>
      </w:pPr>
    </w:p>
    <w:p w14:paraId="5D9C836B" w14:textId="77777777" w:rsidR="00A4680B" w:rsidRPr="00B123A5" w:rsidRDefault="00A4680B">
      <w:pPr>
        <w:pStyle w:val="Zkladntext"/>
        <w:spacing w:before="5"/>
        <w:rPr>
          <w:b/>
          <w:sz w:val="21"/>
          <w:lang w:val="cs-CZ"/>
        </w:rPr>
      </w:pPr>
    </w:p>
    <w:p w14:paraId="586A7FA1" w14:textId="77777777" w:rsidR="00A4680B" w:rsidRPr="00B123A5" w:rsidRDefault="00C9453D">
      <w:pPr>
        <w:ind w:left="138"/>
        <w:jc w:val="both"/>
        <w:rPr>
          <w:b/>
          <w:sz w:val="24"/>
          <w:lang w:val="cs-CZ"/>
        </w:rPr>
      </w:pPr>
      <w:r w:rsidRPr="00B123A5">
        <w:rPr>
          <w:sz w:val="24"/>
          <w:lang w:val="cs-CZ"/>
        </w:rPr>
        <w:t xml:space="preserve">Zadavatel výše uvedené veřejné zakázky tímto </w:t>
      </w:r>
      <w:r w:rsidRPr="00B123A5">
        <w:rPr>
          <w:b/>
          <w:sz w:val="24"/>
          <w:lang w:val="cs-CZ"/>
        </w:rPr>
        <w:t>rozhoduje o výběru dodavatele</w:t>
      </w:r>
    </w:p>
    <w:p w14:paraId="08AF2293" w14:textId="77777777" w:rsidR="00A4680B" w:rsidRPr="00B123A5" w:rsidRDefault="00C9453D">
      <w:pPr>
        <w:pStyle w:val="Nadpis1"/>
        <w:spacing w:before="201"/>
        <w:ind w:left="1640" w:right="1757"/>
        <w:rPr>
          <w:lang w:val="cs-CZ"/>
        </w:rPr>
      </w:pPr>
      <w:r w:rsidRPr="00C9453D">
        <w:t>Garnets Consulting</w:t>
      </w:r>
      <w:r w:rsidRPr="00B123A5">
        <w:rPr>
          <w:lang w:val="cs-CZ"/>
        </w:rPr>
        <w:t xml:space="preserve"> a.s.</w:t>
      </w:r>
    </w:p>
    <w:p w14:paraId="41CE2823" w14:textId="77777777" w:rsidR="00A4680B" w:rsidRPr="00B123A5" w:rsidRDefault="00C9453D">
      <w:pPr>
        <w:pStyle w:val="Zkladntext"/>
        <w:spacing w:before="41" w:line="276" w:lineRule="auto"/>
        <w:ind w:left="1643" w:right="1757"/>
        <w:jc w:val="center"/>
        <w:rPr>
          <w:lang w:val="cs-CZ"/>
        </w:rPr>
      </w:pPr>
      <w:proofErr w:type="gramStart"/>
      <w:r w:rsidRPr="00B123A5">
        <w:rPr>
          <w:lang w:val="cs-CZ"/>
        </w:rPr>
        <w:t>Teplice - Trnovany</w:t>
      </w:r>
      <w:proofErr w:type="gramEnd"/>
      <w:r w:rsidRPr="00B123A5">
        <w:rPr>
          <w:lang w:val="cs-CZ"/>
        </w:rPr>
        <w:t>, Československých legií 445/4, PSČ 41501 IČO: 27349675</w:t>
      </w:r>
    </w:p>
    <w:p w14:paraId="1CE68C2D" w14:textId="77777777" w:rsidR="00A4680B" w:rsidRPr="00B123A5" w:rsidRDefault="00A4680B">
      <w:pPr>
        <w:pStyle w:val="Zkladntext"/>
        <w:spacing w:before="9"/>
        <w:rPr>
          <w:sz w:val="27"/>
          <w:lang w:val="cs-CZ"/>
        </w:rPr>
      </w:pPr>
    </w:p>
    <w:p w14:paraId="539C5C6F" w14:textId="77777777" w:rsidR="00A4680B" w:rsidRPr="00B123A5" w:rsidRDefault="00C9453D">
      <w:pPr>
        <w:pStyle w:val="Zkladntext"/>
        <w:spacing w:line="276" w:lineRule="auto"/>
        <w:ind w:left="138" w:right="253"/>
        <w:jc w:val="both"/>
        <w:rPr>
          <w:lang w:val="cs-CZ"/>
        </w:rPr>
      </w:pPr>
      <w:r w:rsidRPr="00B123A5">
        <w:rPr>
          <w:lang w:val="cs-CZ"/>
        </w:rPr>
        <w:t xml:space="preserve">Zadavatel tímto v souladu s </w:t>
      </w:r>
      <w:proofErr w:type="spellStart"/>
      <w:r w:rsidRPr="00B123A5">
        <w:rPr>
          <w:lang w:val="cs-CZ"/>
        </w:rPr>
        <w:t>ust</w:t>
      </w:r>
      <w:proofErr w:type="spellEnd"/>
      <w:r w:rsidRPr="00B123A5">
        <w:rPr>
          <w:lang w:val="cs-CZ"/>
        </w:rPr>
        <w:t>. § 123 ZZVZ tuto skutečnost oznamuje všem účastníkům zadávacího řízení na výše uvedenou část veřejné zakázky.</w:t>
      </w:r>
    </w:p>
    <w:p w14:paraId="3092F01B" w14:textId="77777777" w:rsidR="00A4680B" w:rsidRPr="00B123A5" w:rsidRDefault="00A4680B">
      <w:pPr>
        <w:pStyle w:val="Zkladntext"/>
        <w:rPr>
          <w:sz w:val="26"/>
          <w:lang w:val="cs-CZ"/>
        </w:rPr>
      </w:pPr>
    </w:p>
    <w:p w14:paraId="10121739" w14:textId="77777777" w:rsidR="00A4680B" w:rsidRPr="00B123A5" w:rsidRDefault="00C9453D">
      <w:pPr>
        <w:pStyle w:val="Nadpis1"/>
        <w:ind w:left="1643" w:right="1757"/>
        <w:rPr>
          <w:lang w:val="cs-CZ"/>
        </w:rPr>
      </w:pPr>
      <w:r w:rsidRPr="00B123A5">
        <w:rPr>
          <w:lang w:val="cs-CZ"/>
        </w:rPr>
        <w:t>Odůvodnění:</w:t>
      </w:r>
    </w:p>
    <w:p w14:paraId="2111B043" w14:textId="77777777" w:rsidR="00A4680B" w:rsidRPr="00B123A5" w:rsidRDefault="00C9453D">
      <w:pPr>
        <w:pStyle w:val="Zkladntext"/>
        <w:spacing w:before="201" w:line="276" w:lineRule="auto"/>
        <w:ind w:left="138" w:right="253"/>
        <w:jc w:val="both"/>
        <w:rPr>
          <w:lang w:val="cs-CZ"/>
        </w:rPr>
      </w:pPr>
      <w:r w:rsidRPr="00B123A5">
        <w:rPr>
          <w:lang w:val="cs-CZ"/>
        </w:rPr>
        <w:t>S ohledem na skutečnost, že ve výše veřejné zakázce byla podána pouze jedna nabídka, a to nabídka vybraného dodavatele, neprováděl zadavatel hodnocení nabídek, a tudíž nevyhotovil zprávu o hodnocení nabídek.</w:t>
      </w:r>
    </w:p>
    <w:p w14:paraId="3EA3C9EA" w14:textId="77777777" w:rsidR="00A4680B" w:rsidRPr="00B123A5" w:rsidRDefault="00A4680B">
      <w:pPr>
        <w:spacing w:line="276" w:lineRule="auto"/>
        <w:jc w:val="both"/>
        <w:rPr>
          <w:lang w:val="cs-CZ"/>
        </w:rPr>
        <w:sectPr w:rsidR="00A4680B" w:rsidRPr="00B123A5">
          <w:type w:val="continuous"/>
          <w:pgSz w:w="11910" w:h="16840"/>
          <w:pgMar w:top="980" w:right="1160" w:bottom="280" w:left="1280" w:header="708" w:footer="708" w:gutter="0"/>
          <w:cols w:space="708"/>
        </w:sectPr>
      </w:pPr>
    </w:p>
    <w:p w14:paraId="2C85EC1A" w14:textId="77777777" w:rsidR="00A4680B" w:rsidRPr="00B123A5" w:rsidRDefault="00C9453D">
      <w:pPr>
        <w:pStyle w:val="Zkladntext"/>
        <w:spacing w:before="60" w:line="276" w:lineRule="auto"/>
        <w:ind w:left="118" w:right="114"/>
        <w:jc w:val="both"/>
        <w:rPr>
          <w:lang w:val="cs-CZ"/>
        </w:rPr>
      </w:pPr>
      <w:r w:rsidRPr="00B123A5">
        <w:rPr>
          <w:lang w:val="cs-CZ"/>
        </w:rPr>
        <w:lastRenderedPageBreak/>
        <w:t>Vybraný dodavatel zároveň splnil všechny podmínky účasti, jak vyplývá z připojeného posouzení splnění podmínek účasti.</w:t>
      </w:r>
    </w:p>
    <w:p w14:paraId="28BF6FF9" w14:textId="77777777" w:rsidR="00A4680B" w:rsidRPr="00B123A5" w:rsidRDefault="00C9453D">
      <w:pPr>
        <w:pStyle w:val="Zkladntext"/>
        <w:spacing w:before="161" w:line="276" w:lineRule="auto"/>
        <w:ind w:left="118" w:right="116"/>
        <w:jc w:val="both"/>
        <w:rPr>
          <w:lang w:val="cs-CZ"/>
        </w:rPr>
      </w:pPr>
      <w:r w:rsidRPr="00B123A5">
        <w:rPr>
          <w:lang w:val="cs-CZ"/>
        </w:rPr>
        <w:t xml:space="preserve">S ohledem na tyto skutečnosti zadavatel dle </w:t>
      </w:r>
      <w:proofErr w:type="spellStart"/>
      <w:r w:rsidRPr="00B123A5">
        <w:rPr>
          <w:lang w:val="cs-CZ"/>
        </w:rPr>
        <w:t>ust</w:t>
      </w:r>
      <w:proofErr w:type="spellEnd"/>
      <w:r w:rsidRPr="00B123A5">
        <w:rPr>
          <w:lang w:val="cs-CZ"/>
        </w:rPr>
        <w:t>. § 122 odst. 2 ZZVZ rozhodl o výběru výše uvedeného dodavatele v rámci výše uvedené části veřejné zakázky.</w:t>
      </w:r>
    </w:p>
    <w:p w14:paraId="533764B8" w14:textId="77777777" w:rsidR="00A4680B" w:rsidRPr="00B123A5" w:rsidRDefault="00A4680B">
      <w:pPr>
        <w:pStyle w:val="Zkladntext"/>
        <w:rPr>
          <w:sz w:val="26"/>
          <w:lang w:val="cs-CZ"/>
        </w:rPr>
      </w:pPr>
    </w:p>
    <w:p w14:paraId="0F1FC8B4" w14:textId="77777777" w:rsidR="00A4680B" w:rsidRPr="00B123A5" w:rsidRDefault="00C9453D">
      <w:pPr>
        <w:pStyle w:val="Nadpis1"/>
        <w:ind w:left="4188" w:right="4188"/>
        <w:rPr>
          <w:lang w:val="cs-CZ"/>
        </w:rPr>
      </w:pPr>
      <w:r w:rsidRPr="00B123A5">
        <w:rPr>
          <w:lang w:val="cs-CZ"/>
        </w:rPr>
        <w:t>Poučení:</w:t>
      </w:r>
    </w:p>
    <w:p w14:paraId="51635D68" w14:textId="77777777" w:rsidR="00A4680B" w:rsidRPr="00B123A5" w:rsidRDefault="00C9453D">
      <w:pPr>
        <w:pStyle w:val="Zkladntext"/>
        <w:spacing w:before="201" w:line="276" w:lineRule="auto"/>
        <w:ind w:left="118" w:right="113"/>
        <w:jc w:val="both"/>
        <w:rPr>
          <w:lang w:val="cs-CZ"/>
        </w:rPr>
      </w:pPr>
      <w:r w:rsidRPr="00B123A5">
        <w:rPr>
          <w:lang w:val="cs-CZ"/>
        </w:rPr>
        <w:t xml:space="preserve">Proti rozhodnutí o výběru dodavatele lze podat námitky podle </w:t>
      </w:r>
      <w:proofErr w:type="spellStart"/>
      <w:r w:rsidRPr="00B123A5">
        <w:rPr>
          <w:lang w:val="cs-CZ"/>
        </w:rPr>
        <w:t>ust</w:t>
      </w:r>
      <w:proofErr w:type="spellEnd"/>
      <w:r w:rsidRPr="00B123A5">
        <w:rPr>
          <w:lang w:val="cs-CZ"/>
        </w:rPr>
        <w:t>. § 241 odst. 1 a 2 písm. a) ZZVZ.</w:t>
      </w:r>
      <w:r w:rsidRPr="00B123A5">
        <w:rPr>
          <w:spacing w:val="-16"/>
          <w:lang w:val="cs-CZ"/>
        </w:rPr>
        <w:t xml:space="preserve"> </w:t>
      </w:r>
      <w:r w:rsidRPr="00B123A5">
        <w:rPr>
          <w:lang w:val="cs-CZ"/>
        </w:rPr>
        <w:t>Námitky</w:t>
      </w:r>
      <w:r w:rsidRPr="00B123A5">
        <w:rPr>
          <w:spacing w:val="-15"/>
          <w:lang w:val="cs-CZ"/>
        </w:rPr>
        <w:t xml:space="preserve"> </w:t>
      </w:r>
      <w:r w:rsidRPr="00B123A5">
        <w:rPr>
          <w:lang w:val="cs-CZ"/>
        </w:rPr>
        <w:t>musí</w:t>
      </w:r>
      <w:r w:rsidRPr="00B123A5">
        <w:rPr>
          <w:spacing w:val="-14"/>
          <w:lang w:val="cs-CZ"/>
        </w:rPr>
        <w:t xml:space="preserve"> </w:t>
      </w:r>
      <w:r w:rsidRPr="00B123A5">
        <w:rPr>
          <w:lang w:val="cs-CZ"/>
        </w:rPr>
        <w:t>být</w:t>
      </w:r>
      <w:r w:rsidRPr="00B123A5">
        <w:rPr>
          <w:spacing w:val="-17"/>
          <w:lang w:val="cs-CZ"/>
        </w:rPr>
        <w:t xml:space="preserve"> </w:t>
      </w:r>
      <w:r w:rsidRPr="00B123A5">
        <w:rPr>
          <w:lang w:val="cs-CZ"/>
        </w:rPr>
        <w:t>zadavateli</w:t>
      </w:r>
      <w:r w:rsidRPr="00B123A5">
        <w:rPr>
          <w:spacing w:val="-14"/>
          <w:lang w:val="cs-CZ"/>
        </w:rPr>
        <w:t xml:space="preserve"> </w:t>
      </w:r>
      <w:r w:rsidRPr="00B123A5">
        <w:rPr>
          <w:lang w:val="cs-CZ"/>
        </w:rPr>
        <w:t>doručeny</w:t>
      </w:r>
      <w:r w:rsidRPr="00B123A5">
        <w:rPr>
          <w:spacing w:val="-15"/>
          <w:lang w:val="cs-CZ"/>
        </w:rPr>
        <w:t xml:space="preserve"> </w:t>
      </w:r>
      <w:r w:rsidRPr="00B123A5">
        <w:rPr>
          <w:lang w:val="cs-CZ"/>
        </w:rPr>
        <w:t>nejpozději</w:t>
      </w:r>
      <w:r w:rsidRPr="00B123A5">
        <w:rPr>
          <w:spacing w:val="-14"/>
          <w:lang w:val="cs-CZ"/>
        </w:rPr>
        <w:t xml:space="preserve"> </w:t>
      </w:r>
      <w:r w:rsidRPr="00B123A5">
        <w:rPr>
          <w:lang w:val="cs-CZ"/>
        </w:rPr>
        <w:t>do</w:t>
      </w:r>
      <w:r w:rsidRPr="00B123A5">
        <w:rPr>
          <w:spacing w:val="-15"/>
          <w:lang w:val="cs-CZ"/>
        </w:rPr>
        <w:t xml:space="preserve"> </w:t>
      </w:r>
      <w:r w:rsidRPr="00B123A5">
        <w:rPr>
          <w:lang w:val="cs-CZ"/>
        </w:rPr>
        <w:t>15</w:t>
      </w:r>
      <w:r w:rsidRPr="00B123A5">
        <w:rPr>
          <w:spacing w:val="-15"/>
          <w:lang w:val="cs-CZ"/>
        </w:rPr>
        <w:t xml:space="preserve"> </w:t>
      </w:r>
      <w:r w:rsidRPr="00B123A5">
        <w:rPr>
          <w:lang w:val="cs-CZ"/>
        </w:rPr>
        <w:t>dnů</w:t>
      </w:r>
      <w:r w:rsidRPr="00B123A5">
        <w:rPr>
          <w:spacing w:val="-15"/>
          <w:lang w:val="cs-CZ"/>
        </w:rPr>
        <w:t xml:space="preserve"> </w:t>
      </w:r>
      <w:r w:rsidRPr="00B123A5">
        <w:rPr>
          <w:lang w:val="cs-CZ"/>
        </w:rPr>
        <w:t>ode</w:t>
      </w:r>
      <w:r w:rsidRPr="00B123A5">
        <w:rPr>
          <w:spacing w:val="-16"/>
          <w:lang w:val="cs-CZ"/>
        </w:rPr>
        <w:t xml:space="preserve"> </w:t>
      </w:r>
      <w:r w:rsidRPr="00B123A5">
        <w:rPr>
          <w:lang w:val="cs-CZ"/>
        </w:rPr>
        <w:t>dne</w:t>
      </w:r>
      <w:r w:rsidRPr="00B123A5">
        <w:rPr>
          <w:spacing w:val="-18"/>
          <w:lang w:val="cs-CZ"/>
        </w:rPr>
        <w:t xml:space="preserve"> </w:t>
      </w:r>
      <w:r w:rsidRPr="00B123A5">
        <w:rPr>
          <w:lang w:val="cs-CZ"/>
        </w:rPr>
        <w:t>doručení</w:t>
      </w:r>
      <w:r w:rsidRPr="00B123A5">
        <w:rPr>
          <w:spacing w:val="-16"/>
          <w:lang w:val="cs-CZ"/>
        </w:rPr>
        <w:t xml:space="preserve"> </w:t>
      </w:r>
      <w:r w:rsidRPr="00B123A5">
        <w:rPr>
          <w:lang w:val="cs-CZ"/>
        </w:rPr>
        <w:t xml:space="preserve">oznámení o výběru dodavatele. Zadavatel nesmí před uplynutím lhůty pro podání námitek proti rozhodnutí o výběru dodavatele uzavřít smlouvu s dodavatelem, jehož nabídka byla vybrána podle </w:t>
      </w:r>
      <w:proofErr w:type="spellStart"/>
      <w:r w:rsidRPr="00B123A5">
        <w:rPr>
          <w:lang w:val="cs-CZ"/>
        </w:rPr>
        <w:t>ust</w:t>
      </w:r>
      <w:proofErr w:type="spellEnd"/>
      <w:r w:rsidRPr="00B123A5">
        <w:rPr>
          <w:lang w:val="cs-CZ"/>
        </w:rPr>
        <w:t>. § 122</w:t>
      </w:r>
      <w:r w:rsidRPr="00B123A5">
        <w:rPr>
          <w:spacing w:val="-5"/>
          <w:lang w:val="cs-CZ"/>
        </w:rPr>
        <w:t xml:space="preserve"> </w:t>
      </w:r>
      <w:r w:rsidRPr="00B123A5">
        <w:rPr>
          <w:lang w:val="cs-CZ"/>
        </w:rPr>
        <w:t>ZZVZ.</w:t>
      </w:r>
    </w:p>
    <w:p w14:paraId="6C034B93" w14:textId="77777777" w:rsidR="00A4680B" w:rsidRPr="00B123A5" w:rsidRDefault="00C9453D">
      <w:pPr>
        <w:pStyle w:val="Zkladntext"/>
        <w:spacing w:before="161"/>
        <w:ind w:left="118"/>
        <w:jc w:val="both"/>
        <w:rPr>
          <w:lang w:val="cs-CZ"/>
        </w:rPr>
      </w:pPr>
      <w:r w:rsidRPr="00B123A5">
        <w:rPr>
          <w:lang w:val="cs-CZ"/>
        </w:rPr>
        <w:t>V Praze</w:t>
      </w:r>
    </w:p>
    <w:p w14:paraId="55773CB7" w14:textId="77777777" w:rsidR="00A4680B" w:rsidRPr="00B123A5" w:rsidRDefault="00A4680B">
      <w:pPr>
        <w:pStyle w:val="Zkladntext"/>
        <w:rPr>
          <w:sz w:val="20"/>
          <w:lang w:val="cs-CZ"/>
        </w:rPr>
      </w:pPr>
    </w:p>
    <w:p w14:paraId="5A610B20" w14:textId="77777777" w:rsidR="00A4680B" w:rsidRPr="00B123A5" w:rsidRDefault="00A4680B">
      <w:pPr>
        <w:pStyle w:val="Zkladntext"/>
        <w:rPr>
          <w:sz w:val="20"/>
          <w:lang w:val="cs-CZ"/>
        </w:rPr>
      </w:pPr>
    </w:p>
    <w:p w14:paraId="57F4B1E0" w14:textId="77777777" w:rsidR="00A4680B" w:rsidRPr="00B123A5" w:rsidRDefault="00A4680B">
      <w:pPr>
        <w:pStyle w:val="Zkladntext"/>
        <w:rPr>
          <w:sz w:val="20"/>
          <w:lang w:val="cs-CZ"/>
        </w:rPr>
      </w:pPr>
    </w:p>
    <w:p w14:paraId="6158C3C0" w14:textId="77777777" w:rsidR="00A4680B" w:rsidRPr="00B123A5" w:rsidRDefault="00A4680B">
      <w:pPr>
        <w:pStyle w:val="Zkladntext"/>
        <w:rPr>
          <w:sz w:val="20"/>
          <w:lang w:val="cs-CZ"/>
        </w:rPr>
      </w:pPr>
    </w:p>
    <w:p w14:paraId="255A93BD" w14:textId="77777777" w:rsidR="00A4680B" w:rsidRPr="00B123A5" w:rsidRDefault="00A4680B">
      <w:pPr>
        <w:pStyle w:val="Zkladntext"/>
        <w:rPr>
          <w:sz w:val="20"/>
          <w:lang w:val="cs-CZ"/>
        </w:rPr>
      </w:pPr>
    </w:p>
    <w:p w14:paraId="1EE27E39" w14:textId="77777777" w:rsidR="00A4680B" w:rsidRPr="00B123A5" w:rsidRDefault="00C9453D">
      <w:pPr>
        <w:pStyle w:val="Zkladntext"/>
        <w:spacing w:before="4"/>
        <w:rPr>
          <w:sz w:val="20"/>
          <w:lang w:val="cs-CZ"/>
        </w:rPr>
      </w:pPr>
      <w:r w:rsidRPr="00B123A5">
        <w:rPr>
          <w:lang w:val="cs-CZ"/>
        </w:rPr>
        <w:pict w14:anchorId="3B2384E2">
          <v:line id="_x0000_s1026" style="position:absolute;z-index:251658752;mso-wrap-distance-left:0;mso-wrap-distance-right:0;mso-position-horizontal-relative:page" from="70.9pt,13.9pt" to="280.9pt,13.9pt" strokeweight=".48pt">
            <w10:wrap type="topAndBottom" anchorx="page"/>
          </v:line>
        </w:pict>
      </w:r>
    </w:p>
    <w:p w14:paraId="72110BE6" w14:textId="77777777" w:rsidR="00A4680B" w:rsidRPr="00B123A5" w:rsidRDefault="00A4680B">
      <w:pPr>
        <w:pStyle w:val="Zkladntext"/>
        <w:spacing w:before="2"/>
        <w:rPr>
          <w:sz w:val="7"/>
          <w:lang w:val="cs-CZ"/>
        </w:rPr>
      </w:pPr>
    </w:p>
    <w:p w14:paraId="1302636E" w14:textId="77777777" w:rsidR="00A4680B" w:rsidRPr="00B123A5" w:rsidRDefault="00C9453D">
      <w:pPr>
        <w:pStyle w:val="Zkladntext"/>
        <w:spacing w:before="90"/>
        <w:ind w:left="118"/>
        <w:rPr>
          <w:lang w:val="cs-CZ"/>
        </w:rPr>
      </w:pPr>
      <w:r w:rsidRPr="00B123A5">
        <w:rPr>
          <w:lang w:val="cs-CZ"/>
        </w:rPr>
        <w:t>Česká republika – Ředitelství vodních cest ČR</w:t>
      </w:r>
    </w:p>
    <w:p w14:paraId="5DAD2397" w14:textId="77777777" w:rsidR="00A4680B" w:rsidRPr="00B123A5" w:rsidRDefault="00C9453D">
      <w:pPr>
        <w:pStyle w:val="Zkladntext"/>
        <w:spacing w:before="201" w:line="276" w:lineRule="auto"/>
        <w:ind w:left="118" w:right="7325"/>
        <w:rPr>
          <w:lang w:val="cs-CZ"/>
        </w:rPr>
      </w:pPr>
      <w:r w:rsidRPr="00B123A5">
        <w:rPr>
          <w:lang w:val="cs-CZ"/>
        </w:rPr>
        <w:t>Ing. Lubomír Fojtů ředitel</w:t>
      </w:r>
    </w:p>
    <w:p w14:paraId="563B2D46" w14:textId="77777777" w:rsidR="00A4680B" w:rsidRPr="00B123A5" w:rsidRDefault="00A4680B">
      <w:pPr>
        <w:pStyle w:val="Zkladntext"/>
        <w:rPr>
          <w:sz w:val="26"/>
          <w:lang w:val="cs-CZ"/>
        </w:rPr>
      </w:pPr>
    </w:p>
    <w:p w14:paraId="3744B2F8" w14:textId="77777777" w:rsidR="00A4680B" w:rsidRPr="00B123A5" w:rsidRDefault="00C9453D">
      <w:pPr>
        <w:tabs>
          <w:tab w:val="left" w:pos="1536"/>
        </w:tabs>
        <w:spacing w:before="179"/>
        <w:ind w:left="118"/>
        <w:rPr>
          <w:i/>
          <w:sz w:val="24"/>
          <w:lang w:val="cs-CZ"/>
        </w:rPr>
      </w:pPr>
      <w:r w:rsidRPr="00B123A5">
        <w:rPr>
          <w:sz w:val="24"/>
          <w:lang w:val="cs-CZ"/>
        </w:rPr>
        <w:t>Přílohy:</w:t>
      </w:r>
      <w:r w:rsidRPr="00B123A5">
        <w:rPr>
          <w:sz w:val="24"/>
          <w:lang w:val="cs-CZ"/>
        </w:rPr>
        <w:tab/>
      </w:r>
      <w:r w:rsidRPr="00B123A5">
        <w:rPr>
          <w:i/>
          <w:sz w:val="24"/>
          <w:lang w:val="cs-CZ"/>
        </w:rPr>
        <w:t>Posouzení splnění podmínek účasti vybraného</w:t>
      </w:r>
      <w:r w:rsidRPr="00B123A5">
        <w:rPr>
          <w:i/>
          <w:spacing w:val="-15"/>
          <w:sz w:val="24"/>
          <w:lang w:val="cs-CZ"/>
        </w:rPr>
        <w:t xml:space="preserve"> </w:t>
      </w:r>
      <w:r w:rsidRPr="00B123A5">
        <w:rPr>
          <w:i/>
          <w:sz w:val="24"/>
          <w:lang w:val="cs-CZ"/>
        </w:rPr>
        <w:t>dodavatele</w:t>
      </w:r>
    </w:p>
    <w:p w14:paraId="61929415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4F47C81D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0FD4DC40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74124350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7BAD3983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3F8454B2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52B1FF1D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1194DC32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16D029C8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4ADF994D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7F08E8EC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13DCB0A8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1471C785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6BFFEC6A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541D9A10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0EAC45E3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0201C26D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188C827A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6176429C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10E645AC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6D0B99A5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711237B0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62EF58BE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132C49F7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251E5383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177686B5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391A977C" w14:textId="77777777" w:rsidR="00A4680B" w:rsidRPr="00B123A5" w:rsidRDefault="00A4680B">
      <w:pPr>
        <w:pStyle w:val="Zkladntext"/>
        <w:rPr>
          <w:i/>
          <w:sz w:val="20"/>
          <w:lang w:val="cs-CZ"/>
        </w:rPr>
      </w:pPr>
    </w:p>
    <w:p w14:paraId="4C323FB2" w14:textId="77777777" w:rsidR="00A4680B" w:rsidRPr="00B123A5" w:rsidRDefault="00A4680B">
      <w:pPr>
        <w:pStyle w:val="Zkladntext"/>
        <w:spacing w:before="10"/>
        <w:rPr>
          <w:i/>
          <w:sz w:val="19"/>
          <w:lang w:val="cs-CZ"/>
        </w:rPr>
      </w:pPr>
    </w:p>
    <w:p w14:paraId="3EC26CBA" w14:textId="77777777" w:rsidR="00A4680B" w:rsidRPr="00B123A5" w:rsidRDefault="00C9453D">
      <w:pPr>
        <w:spacing w:before="92"/>
        <w:ind w:right="1"/>
        <w:jc w:val="center"/>
        <w:rPr>
          <w:lang w:val="cs-CZ"/>
        </w:rPr>
      </w:pPr>
      <w:r w:rsidRPr="00B123A5">
        <w:rPr>
          <w:lang w:val="cs-CZ"/>
        </w:rPr>
        <w:t>2</w:t>
      </w:r>
    </w:p>
    <w:sectPr w:rsidR="00A4680B" w:rsidRPr="00B123A5"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80B"/>
    <w:rsid w:val="009C617D"/>
    <w:rsid w:val="00A4680B"/>
    <w:rsid w:val="00B123A5"/>
    <w:rsid w:val="00C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4B7BE6"/>
  <w15:docId w15:val="{3D8C8FE6-38B9-4E1D-84AC-E54BD170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79"/>
      <w:ind w:left="13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75" w:lineRule="exact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Mullerová</dc:creator>
  <cp:keywords>eObec PDF/A-3b</cp:keywords>
  <cp:lastModifiedBy>Jana Mullerová</cp:lastModifiedBy>
  <cp:revision>4</cp:revision>
  <dcterms:created xsi:type="dcterms:W3CDTF">2024-04-03T12:11:00Z</dcterms:created>
  <dcterms:modified xsi:type="dcterms:W3CDTF">2024-04-03T12:12:00Z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LastSaved">
    <vt:filetime>2024-04-03T00:00:00Z</vt:filetime>
  </property>
</Properties>
</file>