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25" w:rsidRDefault="00AF5A2D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5220300529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64D25" w:rsidRDefault="00AF5A2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64D25" w:rsidRDefault="00864D25">
      <w:pPr>
        <w:pStyle w:val="Zkladntext"/>
        <w:spacing w:before="0"/>
        <w:ind w:left="0" w:firstLine="0"/>
        <w:rPr>
          <w:sz w:val="60"/>
        </w:rPr>
      </w:pPr>
    </w:p>
    <w:p w:rsidR="00864D25" w:rsidRDefault="00AF5A2D">
      <w:pPr>
        <w:pStyle w:val="Zkladntext"/>
        <w:spacing w:before="0"/>
        <w:ind w:left="242" w:firstLine="0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64D25" w:rsidRDefault="00864D25">
      <w:pPr>
        <w:pStyle w:val="Zkladntext"/>
        <w:spacing w:before="1"/>
        <w:ind w:left="0" w:firstLine="0"/>
      </w:pPr>
    </w:p>
    <w:p w:rsidR="00864D25" w:rsidRDefault="00AF5A2D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64D25" w:rsidRDefault="00AF5A2D">
      <w:pPr>
        <w:pStyle w:val="Zkladntext"/>
        <w:tabs>
          <w:tab w:val="left" w:pos="3122"/>
        </w:tabs>
        <w:spacing w:before="0" w:line="265" w:lineRule="exact"/>
        <w:ind w:left="242" w:firstLine="0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64D25" w:rsidRDefault="00AF5A2D">
      <w:pPr>
        <w:pStyle w:val="Zkladntext"/>
        <w:tabs>
          <w:tab w:val="left" w:pos="3122"/>
        </w:tabs>
        <w:spacing w:before="0"/>
        <w:ind w:left="242" w:firstLine="0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64D25" w:rsidRDefault="00AF5A2D">
      <w:pPr>
        <w:pStyle w:val="Zkladntext"/>
        <w:tabs>
          <w:tab w:val="right" w:pos="3986"/>
        </w:tabs>
        <w:spacing w:before="1"/>
        <w:ind w:left="242" w:firstLine="0"/>
      </w:pPr>
      <w:r>
        <w:t>IČO:</w:t>
      </w:r>
      <w:r>
        <w:tab/>
        <w:t>00020729</w:t>
      </w:r>
    </w:p>
    <w:p w:rsidR="00864D25" w:rsidRDefault="00AF5A2D">
      <w:pPr>
        <w:pStyle w:val="Zkladntext"/>
        <w:tabs>
          <w:tab w:val="left" w:pos="3122"/>
        </w:tabs>
        <w:spacing w:before="0"/>
        <w:ind w:left="242" w:firstLine="0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64D25" w:rsidRDefault="00AF5A2D">
      <w:pPr>
        <w:pStyle w:val="Zkladntext"/>
        <w:tabs>
          <w:tab w:val="left" w:pos="3122"/>
        </w:tabs>
        <w:spacing w:before="0"/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64D25" w:rsidRDefault="00AF5A2D">
      <w:pPr>
        <w:pStyle w:val="Zkladntext"/>
        <w:tabs>
          <w:tab w:val="left" w:pos="3122"/>
        </w:tabs>
        <w:spacing w:before="4" w:line="237" w:lineRule="auto"/>
        <w:ind w:left="242" w:right="4643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64D25" w:rsidRDefault="00864D25">
      <w:pPr>
        <w:pStyle w:val="Zkladntext"/>
        <w:spacing w:before="1"/>
        <w:ind w:left="0" w:firstLine="0"/>
      </w:pPr>
    </w:p>
    <w:p w:rsidR="00864D25" w:rsidRDefault="00AF5A2D">
      <w:pPr>
        <w:pStyle w:val="Zkladntext"/>
        <w:spacing w:before="1"/>
        <w:ind w:left="242" w:firstLine="0"/>
      </w:pPr>
      <w:r>
        <w:rPr>
          <w:w w:val="99"/>
        </w:rPr>
        <w:t>a</w:t>
      </w:r>
    </w:p>
    <w:p w:rsidR="00864D25" w:rsidRDefault="00864D25">
      <w:pPr>
        <w:pStyle w:val="Zkladntext"/>
        <w:spacing w:before="0"/>
        <w:ind w:left="0" w:firstLine="0"/>
      </w:pPr>
    </w:p>
    <w:p w:rsidR="00864D25" w:rsidRDefault="00AF5A2D">
      <w:pPr>
        <w:pStyle w:val="Nadpis2"/>
        <w:ind w:right="0"/>
        <w:jc w:val="left"/>
      </w:pPr>
      <w:r>
        <w:t>Povodí</w:t>
      </w:r>
      <w:r>
        <w:rPr>
          <w:spacing w:val="-3"/>
        </w:rPr>
        <w:t xml:space="preserve"> </w:t>
      </w:r>
      <w:r>
        <w:t>Odry,</w:t>
      </w:r>
      <w:r>
        <w:rPr>
          <w:spacing w:val="-5"/>
        </w:rPr>
        <w:t xml:space="preserve"> </w:t>
      </w:r>
      <w:r>
        <w:t>státní</w:t>
      </w:r>
      <w:r>
        <w:rPr>
          <w:spacing w:val="-3"/>
        </w:rPr>
        <w:t xml:space="preserve"> </w:t>
      </w:r>
      <w:r>
        <w:t>podnik</w:t>
      </w:r>
    </w:p>
    <w:p w:rsidR="00864D25" w:rsidRDefault="00AF5A2D">
      <w:pPr>
        <w:pStyle w:val="Zkladntext"/>
        <w:tabs>
          <w:tab w:val="left" w:pos="3122"/>
        </w:tabs>
        <w:spacing w:before="1" w:line="265" w:lineRule="exact"/>
        <w:ind w:left="242" w:firstLine="0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Varenská</w:t>
      </w:r>
      <w:r>
        <w:rPr>
          <w:spacing w:val="-4"/>
        </w:rPr>
        <w:t xml:space="preserve"> </w:t>
      </w:r>
      <w:r>
        <w:t>3101/49,</w:t>
      </w:r>
      <w:r>
        <w:rPr>
          <w:spacing w:val="-3"/>
        </w:rPr>
        <w:t xml:space="preserve"> </w:t>
      </w:r>
      <w:r>
        <w:t>Moravská</w:t>
      </w:r>
      <w:r>
        <w:rPr>
          <w:spacing w:val="-4"/>
        </w:rPr>
        <w:t xml:space="preserve"> </w:t>
      </w:r>
      <w:r>
        <w:t>Ostrava,</w:t>
      </w:r>
      <w:r>
        <w:rPr>
          <w:spacing w:val="-3"/>
        </w:rPr>
        <w:t xml:space="preserve"> </w:t>
      </w:r>
      <w:r>
        <w:t>702 00</w:t>
      </w:r>
      <w:r>
        <w:rPr>
          <w:spacing w:val="-3"/>
        </w:rPr>
        <w:t xml:space="preserve"> </w:t>
      </w:r>
      <w:r>
        <w:t>Ostrava</w:t>
      </w:r>
    </w:p>
    <w:p w:rsidR="00864D25" w:rsidRDefault="00AF5A2D">
      <w:pPr>
        <w:pStyle w:val="Zkladntext"/>
        <w:tabs>
          <w:tab w:val="left" w:pos="3122"/>
        </w:tabs>
        <w:spacing w:before="0" w:line="265" w:lineRule="exact"/>
        <w:ind w:left="242" w:firstLine="0"/>
      </w:pPr>
      <w:r>
        <w:t>IČO:</w:t>
      </w:r>
      <w:r>
        <w:tab/>
        <w:t>708</w:t>
      </w:r>
      <w:r>
        <w:rPr>
          <w:spacing w:val="-1"/>
        </w:rPr>
        <w:t xml:space="preserve"> </w:t>
      </w:r>
      <w:r>
        <w:t>90 021</w:t>
      </w:r>
    </w:p>
    <w:p w:rsidR="00864D25" w:rsidRDefault="00AF5A2D">
      <w:pPr>
        <w:pStyle w:val="Zkladntext"/>
        <w:tabs>
          <w:tab w:val="left" w:pos="3122"/>
        </w:tabs>
        <w:spacing w:before="0"/>
        <w:ind w:left="242" w:firstLine="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 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generálním</w:t>
      </w:r>
      <w:r>
        <w:rPr>
          <w:spacing w:val="-4"/>
        </w:rPr>
        <w:t xml:space="preserve"> </w:t>
      </w:r>
      <w:r>
        <w:t>ředitelem</w:t>
      </w:r>
    </w:p>
    <w:p w:rsidR="00864D25" w:rsidRDefault="00AF5A2D">
      <w:pPr>
        <w:pStyle w:val="Zkladntext"/>
        <w:tabs>
          <w:tab w:val="left" w:pos="3122"/>
        </w:tabs>
        <w:spacing w:before="0"/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64D25" w:rsidRDefault="00AF5A2D">
      <w:pPr>
        <w:pStyle w:val="Zkladntext"/>
        <w:tabs>
          <w:tab w:val="left" w:pos="3122"/>
        </w:tabs>
        <w:spacing w:before="1"/>
        <w:ind w:left="242" w:right="4862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10006-608761/0710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64D25" w:rsidRDefault="00864D25">
      <w:pPr>
        <w:pStyle w:val="Zkladntext"/>
        <w:spacing w:before="1"/>
        <w:ind w:left="0" w:firstLine="0"/>
      </w:pPr>
    </w:p>
    <w:p w:rsidR="00864D25" w:rsidRDefault="00AF5A2D">
      <w:pPr>
        <w:pStyle w:val="Zkladntext"/>
        <w:spacing w:before="0"/>
        <w:ind w:left="242" w:firstLine="0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64D25" w:rsidRDefault="00864D25">
      <w:pPr>
        <w:pStyle w:val="Zkladntext"/>
        <w:spacing w:before="13"/>
        <w:ind w:left="0" w:firstLine="0"/>
        <w:rPr>
          <w:sz w:val="35"/>
        </w:rPr>
      </w:pPr>
    </w:p>
    <w:p w:rsidR="00864D25" w:rsidRDefault="00AF5A2D">
      <w:pPr>
        <w:pStyle w:val="Nadpis1"/>
      </w:pPr>
      <w:r>
        <w:t>I.</w:t>
      </w:r>
    </w:p>
    <w:p w:rsidR="00864D25" w:rsidRDefault="00AF5A2D">
      <w:pPr>
        <w:pStyle w:val="Nadpis2"/>
        <w:ind w:left="327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64D25" w:rsidRDefault="00864D25">
      <w:pPr>
        <w:pStyle w:val="Zkladntext"/>
        <w:spacing w:before="1"/>
        <w:ind w:left="0" w:firstLine="0"/>
        <w:rPr>
          <w:b/>
          <w:sz w:val="18"/>
        </w:rPr>
      </w:pPr>
    </w:p>
    <w:p w:rsidR="00864D25" w:rsidRDefault="00AF5A2D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64D25" w:rsidRDefault="00AF5A2D">
      <w:pPr>
        <w:pStyle w:val="Zkladntext"/>
        <w:spacing w:before="1"/>
        <w:ind w:right="110" w:firstLine="0"/>
        <w:jc w:val="both"/>
      </w:pPr>
      <w:r>
        <w:t>„Smlouva“) se uzavírá na základě Rozhodnutí ministra životního prostředí č. 5220300529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20. 12. 2023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864D25" w:rsidRDefault="00AF5A2D">
      <w:pPr>
        <w:pStyle w:val="Zkladntext"/>
        <w:spacing w:before="0" w:line="265" w:lineRule="exact"/>
        <w:ind w:firstLine="0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864D25" w:rsidRDefault="00AF5A2D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64D25" w:rsidRDefault="00864D25">
      <w:pPr>
        <w:jc w:val="both"/>
        <w:rPr>
          <w:sz w:val="20"/>
        </w:rPr>
        <w:sectPr w:rsidR="00864D25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864D25" w:rsidRDefault="00AF5A2D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64D25" w:rsidRDefault="00AF5A2D">
      <w:pPr>
        <w:pStyle w:val="Nadpis2"/>
        <w:spacing w:before="120"/>
        <w:ind w:left="1377" w:right="0"/>
        <w:jc w:val="left"/>
      </w:pPr>
      <w:r>
        <w:t>„Pořízení</w:t>
      </w:r>
      <w:r>
        <w:rPr>
          <w:spacing w:val="-3"/>
        </w:rPr>
        <w:t xml:space="preserve"> </w:t>
      </w:r>
      <w:r>
        <w:t>elektromobilu,</w:t>
      </w:r>
      <w:r>
        <w:rPr>
          <w:spacing w:val="-5"/>
        </w:rPr>
        <w:t xml:space="preserve"> </w:t>
      </w:r>
      <w:r>
        <w:t>závod</w:t>
      </w:r>
      <w:r>
        <w:rPr>
          <w:spacing w:val="-5"/>
        </w:rPr>
        <w:t xml:space="preserve"> </w:t>
      </w:r>
      <w:r>
        <w:t>Frýdek-Místek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Povodí</w:t>
      </w:r>
      <w:r>
        <w:rPr>
          <w:spacing w:val="-3"/>
        </w:rPr>
        <w:t xml:space="preserve"> </w:t>
      </w:r>
      <w:r>
        <w:t>Odry,</w:t>
      </w:r>
      <w:r>
        <w:rPr>
          <w:spacing w:val="-5"/>
        </w:rPr>
        <w:t xml:space="preserve"> </w:t>
      </w:r>
      <w:r>
        <w:t>státní</w:t>
      </w:r>
      <w:r>
        <w:rPr>
          <w:spacing w:val="1"/>
        </w:rPr>
        <w:t xml:space="preserve"> </w:t>
      </w:r>
      <w:r>
        <w:t>podnik“</w:t>
      </w:r>
    </w:p>
    <w:p w:rsidR="00864D25" w:rsidRDefault="00AF5A2D">
      <w:pPr>
        <w:pStyle w:val="Zkladntext"/>
        <w:ind w:firstLine="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864D25" w:rsidRDefault="00864D25">
      <w:pPr>
        <w:pStyle w:val="Zkladntext"/>
        <w:spacing w:before="1"/>
        <w:ind w:left="0" w:firstLine="0"/>
        <w:rPr>
          <w:sz w:val="36"/>
        </w:rPr>
      </w:pPr>
    </w:p>
    <w:p w:rsidR="00864D25" w:rsidRDefault="00AF5A2D">
      <w:pPr>
        <w:pStyle w:val="Nadpis1"/>
      </w:pPr>
      <w:r>
        <w:t>II.</w:t>
      </w:r>
    </w:p>
    <w:p w:rsidR="00864D25" w:rsidRDefault="00AF5A2D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64D25" w:rsidRDefault="00864D25">
      <w:pPr>
        <w:pStyle w:val="Zkladntext"/>
        <w:spacing w:before="3"/>
        <w:ind w:left="0" w:firstLine="0"/>
        <w:rPr>
          <w:b/>
          <w:sz w:val="18"/>
        </w:rPr>
      </w:pPr>
    </w:p>
    <w:p w:rsidR="00864D25" w:rsidRDefault="00AF5A2D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144,21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</w:t>
      </w:r>
      <w:r>
        <w:rPr>
          <w:spacing w:val="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864D25" w:rsidRDefault="00AF5A2D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864D25" w:rsidRDefault="00AF5A2D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864D25" w:rsidRDefault="00AF5A2D">
      <w:pPr>
        <w:pStyle w:val="Odstavecseseznamem"/>
        <w:numPr>
          <w:ilvl w:val="0"/>
          <w:numId w:val="6"/>
        </w:numPr>
        <w:tabs>
          <w:tab w:val="left" w:pos="526"/>
        </w:tabs>
        <w:spacing w:before="124" w:line="237" w:lineRule="auto"/>
        <w:ind w:right="11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 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2"/>
          <w:sz w:val="20"/>
        </w:rPr>
        <w:t xml:space="preserve"> </w:t>
      </w:r>
      <w:r>
        <w:rPr>
          <w:sz w:val="20"/>
        </w:rPr>
        <w:t>2020.</w:t>
      </w:r>
    </w:p>
    <w:p w:rsidR="00864D25" w:rsidRDefault="00AF5A2D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864D25" w:rsidRDefault="00AF5A2D">
      <w:pPr>
        <w:pStyle w:val="Odstavecseseznamem"/>
        <w:numPr>
          <w:ilvl w:val="0"/>
          <w:numId w:val="6"/>
        </w:numPr>
        <w:tabs>
          <w:tab w:val="left" w:pos="526"/>
        </w:tabs>
        <w:ind w:right="10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864D25" w:rsidRDefault="00864D25">
      <w:pPr>
        <w:pStyle w:val="Zkladntext"/>
        <w:spacing w:before="1"/>
        <w:ind w:left="0" w:firstLine="0"/>
        <w:rPr>
          <w:sz w:val="36"/>
        </w:rPr>
      </w:pPr>
    </w:p>
    <w:p w:rsidR="00864D25" w:rsidRDefault="00AF5A2D">
      <w:pPr>
        <w:pStyle w:val="Nadpis1"/>
        <w:spacing w:before="1"/>
        <w:ind w:left="3275"/>
      </w:pPr>
      <w:r>
        <w:t>III.</w:t>
      </w:r>
    </w:p>
    <w:p w:rsidR="00864D25" w:rsidRDefault="00AF5A2D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64D25" w:rsidRDefault="00864D25">
      <w:pPr>
        <w:pStyle w:val="Zkladntext"/>
        <w:spacing w:before="12"/>
        <w:ind w:left="0" w:firstLine="0"/>
        <w:rPr>
          <w:b/>
          <w:sz w:val="17"/>
        </w:rPr>
      </w:pP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64D25" w:rsidRDefault="00864D25">
      <w:pPr>
        <w:pStyle w:val="Zkladntext"/>
        <w:spacing w:before="0"/>
        <w:ind w:left="0" w:firstLine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64D25">
        <w:trPr>
          <w:trHeight w:val="506"/>
        </w:trPr>
        <w:tc>
          <w:tcPr>
            <w:tcW w:w="4532" w:type="dxa"/>
          </w:tcPr>
          <w:p w:rsidR="00864D25" w:rsidRDefault="00AF5A2D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64D25" w:rsidRDefault="00AF5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64D25">
        <w:trPr>
          <w:trHeight w:val="506"/>
        </w:trPr>
        <w:tc>
          <w:tcPr>
            <w:tcW w:w="4532" w:type="dxa"/>
          </w:tcPr>
          <w:p w:rsidR="00864D25" w:rsidRDefault="00AF5A2D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864D25" w:rsidRDefault="00AF5A2D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144,21</w:t>
            </w:r>
          </w:p>
        </w:tc>
      </w:tr>
    </w:tbl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64D25" w:rsidRDefault="00864D25">
      <w:pPr>
        <w:jc w:val="both"/>
        <w:rPr>
          <w:sz w:val="20"/>
        </w:rPr>
        <w:sectPr w:rsidR="00864D25">
          <w:pgSz w:w="12240" w:h="15840"/>
          <w:pgMar w:top="1060" w:right="1020" w:bottom="1660" w:left="1460" w:header="0" w:footer="1460" w:gutter="0"/>
          <w:cols w:space="708"/>
        </w:sectPr>
      </w:pP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64D25" w:rsidRDefault="00AF5A2D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64D25" w:rsidRDefault="00864D25">
      <w:pPr>
        <w:pStyle w:val="Zkladntext"/>
        <w:spacing w:before="8"/>
        <w:ind w:left="0" w:firstLine="0"/>
        <w:rPr>
          <w:sz w:val="28"/>
        </w:rPr>
      </w:pPr>
    </w:p>
    <w:p w:rsidR="00864D25" w:rsidRDefault="00AF5A2D">
      <w:pPr>
        <w:pStyle w:val="Nadpis1"/>
        <w:spacing w:before="99"/>
        <w:ind w:left="3279"/>
      </w:pPr>
      <w:r>
        <w:t>IV.</w:t>
      </w:r>
    </w:p>
    <w:p w:rsidR="00864D25" w:rsidRDefault="00AF5A2D">
      <w:pPr>
        <w:pStyle w:val="Nadpis2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64D25" w:rsidRDefault="00864D25">
      <w:pPr>
        <w:pStyle w:val="Zkladntext"/>
        <w:spacing w:before="1"/>
        <w:ind w:left="0" w:firstLine="0"/>
        <w:rPr>
          <w:b/>
          <w:sz w:val="18"/>
        </w:rPr>
      </w:pPr>
    </w:p>
    <w:p w:rsidR="00864D25" w:rsidRDefault="00AF5A2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18"/>
        <w:ind w:left="601" w:right="111"/>
        <w:jc w:val="left"/>
        <w:rPr>
          <w:sz w:val="20"/>
        </w:rPr>
      </w:pP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Pořízení</w:t>
      </w:r>
      <w:r>
        <w:rPr>
          <w:spacing w:val="64"/>
          <w:sz w:val="20"/>
        </w:rPr>
        <w:t xml:space="preserve"> </w:t>
      </w:r>
      <w:r>
        <w:rPr>
          <w:sz w:val="20"/>
        </w:rPr>
        <w:t>elektromobilu,</w:t>
      </w:r>
      <w:r>
        <w:rPr>
          <w:spacing w:val="62"/>
          <w:sz w:val="20"/>
        </w:rPr>
        <w:t xml:space="preserve"> </w:t>
      </w:r>
      <w:r>
        <w:rPr>
          <w:sz w:val="20"/>
        </w:rPr>
        <w:t>závod</w:t>
      </w:r>
      <w:r>
        <w:rPr>
          <w:spacing w:val="62"/>
          <w:sz w:val="20"/>
        </w:rPr>
        <w:t xml:space="preserve"> </w:t>
      </w:r>
      <w:r>
        <w:rPr>
          <w:sz w:val="20"/>
        </w:rPr>
        <w:t>Frýdek-Místek</w:t>
      </w:r>
      <w:r>
        <w:rPr>
          <w:spacing w:val="66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Povodí</w:t>
      </w:r>
      <w:r>
        <w:rPr>
          <w:spacing w:val="62"/>
          <w:sz w:val="20"/>
        </w:rPr>
        <w:t xml:space="preserve"> </w:t>
      </w:r>
      <w:r>
        <w:rPr>
          <w:sz w:val="20"/>
        </w:rPr>
        <w:t>Odry,</w:t>
      </w:r>
      <w:r>
        <w:rPr>
          <w:spacing w:val="65"/>
          <w:sz w:val="20"/>
        </w:rPr>
        <w:t xml:space="preserve"> </w:t>
      </w:r>
      <w:r>
        <w:rPr>
          <w:sz w:val="20"/>
        </w:rPr>
        <w:t>státní</w:t>
      </w:r>
      <w:r>
        <w:rPr>
          <w:spacing w:val="62"/>
          <w:sz w:val="20"/>
        </w:rPr>
        <w:t xml:space="preserve"> </w:t>
      </w:r>
      <w:r>
        <w:rPr>
          <w:sz w:val="20"/>
        </w:rPr>
        <w:t>podnik</w:t>
      </w:r>
      <w:r>
        <w:rPr>
          <w:spacing w:val="61"/>
          <w:sz w:val="20"/>
        </w:rPr>
        <w:t xml:space="preserve"> </w:t>
      </w:r>
      <w:r>
        <w:rPr>
          <w:sz w:val="20"/>
        </w:rPr>
        <w:t>byla</w:t>
      </w:r>
      <w:r>
        <w:rPr>
          <w:spacing w:val="65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2024 nakoupil</w:t>
      </w:r>
      <w:r>
        <w:rPr>
          <w:spacing w:val="-1"/>
          <w:sz w:val="20"/>
        </w:rPr>
        <w:t xml:space="preserve"> </w:t>
      </w:r>
      <w:r>
        <w:rPr>
          <w:sz w:val="20"/>
        </w:rPr>
        <w:t>1 ks</w:t>
      </w:r>
      <w:r>
        <w:rPr>
          <w:spacing w:val="-1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64D25" w:rsidRDefault="00AF5A2D">
      <w:pPr>
        <w:pStyle w:val="Zkladntext"/>
        <w:ind w:left="669" w:right="111" w:firstLine="0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ind w:left="601" w:right="10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ind w:left="601" w:right="117"/>
        <w:rPr>
          <w:sz w:val="20"/>
        </w:rPr>
      </w:pPr>
      <w:r>
        <w:rPr>
          <w:sz w:val="20"/>
        </w:rPr>
        <w:t>nebude č</w:t>
      </w:r>
      <w:r>
        <w:rPr>
          <w:sz w:val="20"/>
        </w:rPr>
        <w:t>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864D25" w:rsidRDefault="00864D25">
      <w:pPr>
        <w:jc w:val="both"/>
        <w:rPr>
          <w:sz w:val="20"/>
        </w:rPr>
        <w:sectPr w:rsidR="00864D25">
          <w:pgSz w:w="12240" w:h="15840"/>
          <w:pgMar w:top="1060" w:right="1020" w:bottom="1660" w:left="1460" w:header="0" w:footer="1460" w:gutter="0"/>
          <w:cols w:space="708"/>
        </w:sectPr>
      </w:pP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2"/>
        </w:tabs>
        <w:spacing w:before="73"/>
        <w:ind w:left="601" w:right="11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64D25" w:rsidRDefault="00AF5A2D">
      <w:pPr>
        <w:pStyle w:val="Odstavecseseznamem"/>
        <w:numPr>
          <w:ilvl w:val="0"/>
          <w:numId w:val="3"/>
        </w:numPr>
        <w:tabs>
          <w:tab w:val="left" w:pos="60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864D25" w:rsidRDefault="00AF5A2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864D25" w:rsidRDefault="00AF5A2D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64D25" w:rsidRDefault="00864D25">
      <w:pPr>
        <w:jc w:val="both"/>
        <w:rPr>
          <w:sz w:val="20"/>
        </w:rPr>
        <w:sectPr w:rsidR="00864D25">
          <w:pgSz w:w="12240" w:h="15840"/>
          <w:pgMar w:top="1060" w:right="1020" w:bottom="1660" w:left="1460" w:header="0" w:footer="1460" w:gutter="0"/>
          <w:cols w:space="708"/>
        </w:sectPr>
      </w:pPr>
    </w:p>
    <w:p w:rsidR="00864D25" w:rsidRDefault="00AF5A2D">
      <w:pPr>
        <w:pStyle w:val="Nadpis1"/>
        <w:spacing w:before="73"/>
        <w:ind w:left="3274"/>
      </w:pPr>
      <w:r>
        <w:lastRenderedPageBreak/>
        <w:t>V.</w:t>
      </w:r>
    </w:p>
    <w:p w:rsidR="00864D25" w:rsidRDefault="00AF5A2D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64D25" w:rsidRDefault="00864D25">
      <w:pPr>
        <w:pStyle w:val="Zkladntext"/>
        <w:spacing w:before="1"/>
        <w:ind w:left="0" w:firstLine="0"/>
        <w:rPr>
          <w:b/>
          <w:sz w:val="18"/>
        </w:rPr>
      </w:pPr>
    </w:p>
    <w:p w:rsidR="00864D25" w:rsidRDefault="00AF5A2D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64D25" w:rsidRDefault="00AF5A2D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864D25" w:rsidRDefault="00AF5A2D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2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64D25" w:rsidRDefault="00AF5A2D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64D25" w:rsidRDefault="00864D25">
      <w:pPr>
        <w:pStyle w:val="Zkladntext"/>
        <w:spacing w:before="2"/>
        <w:ind w:left="0" w:firstLine="0"/>
        <w:rPr>
          <w:sz w:val="36"/>
        </w:rPr>
      </w:pPr>
    </w:p>
    <w:p w:rsidR="00864D25" w:rsidRDefault="00AF5A2D">
      <w:pPr>
        <w:pStyle w:val="Nadpis1"/>
        <w:ind w:left="3277"/>
      </w:pPr>
      <w:r>
        <w:t>VI.</w:t>
      </w:r>
    </w:p>
    <w:p w:rsidR="00864D25" w:rsidRDefault="00AF5A2D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64D25" w:rsidRDefault="00864D25">
      <w:pPr>
        <w:pStyle w:val="Zkladntext"/>
        <w:spacing w:before="11"/>
        <w:ind w:left="0" w:firstLine="0"/>
        <w:rPr>
          <w:b/>
          <w:sz w:val="17"/>
        </w:rPr>
      </w:pP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64D25" w:rsidRDefault="00864D25">
      <w:pPr>
        <w:jc w:val="both"/>
        <w:rPr>
          <w:sz w:val="20"/>
        </w:rPr>
        <w:sectPr w:rsidR="00864D25">
          <w:pgSz w:w="12240" w:h="15840"/>
          <w:pgMar w:top="1060" w:right="1020" w:bottom="1660" w:left="1460" w:header="0" w:footer="1460" w:gutter="0"/>
          <w:cols w:space="708"/>
        </w:sectPr>
      </w:pPr>
    </w:p>
    <w:p w:rsidR="00864D25" w:rsidRDefault="00AF5A2D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64D25" w:rsidRDefault="00864D25">
      <w:pPr>
        <w:pStyle w:val="Zkladntext"/>
        <w:spacing w:before="3"/>
        <w:ind w:left="0" w:firstLine="0"/>
        <w:rPr>
          <w:sz w:val="36"/>
        </w:rPr>
      </w:pPr>
    </w:p>
    <w:p w:rsidR="00864D25" w:rsidRDefault="00AF5A2D">
      <w:pPr>
        <w:pStyle w:val="Zkladntext"/>
        <w:tabs>
          <w:tab w:val="left" w:pos="6713"/>
        </w:tabs>
        <w:spacing w:before="0"/>
        <w:ind w:left="242" w:firstLine="0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864D25" w:rsidRDefault="00864D25">
      <w:pPr>
        <w:pStyle w:val="Zkladntext"/>
        <w:spacing w:before="1"/>
        <w:ind w:left="0" w:firstLine="0"/>
        <w:rPr>
          <w:sz w:val="18"/>
        </w:rPr>
      </w:pPr>
    </w:p>
    <w:p w:rsidR="00864D25" w:rsidRDefault="00AF5A2D">
      <w:pPr>
        <w:pStyle w:val="Zkladntext"/>
        <w:spacing w:before="0"/>
        <w:ind w:left="242" w:firstLine="0"/>
      </w:pPr>
      <w:r>
        <w:t>dne:</w:t>
      </w:r>
    </w:p>
    <w:p w:rsidR="00864D25" w:rsidRDefault="00864D25">
      <w:pPr>
        <w:pStyle w:val="Zkladntext"/>
        <w:spacing w:before="0"/>
        <w:ind w:left="0" w:firstLine="0"/>
        <w:rPr>
          <w:sz w:val="26"/>
        </w:rPr>
      </w:pPr>
    </w:p>
    <w:p w:rsidR="00864D25" w:rsidRDefault="00864D25">
      <w:pPr>
        <w:pStyle w:val="Zkladntext"/>
        <w:spacing w:before="13"/>
        <w:ind w:left="0" w:firstLine="0"/>
        <w:rPr>
          <w:sz w:val="27"/>
        </w:rPr>
      </w:pPr>
    </w:p>
    <w:p w:rsidR="00864D25" w:rsidRDefault="00AF5A2D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64D25" w:rsidRDefault="00AF5A2D">
      <w:pPr>
        <w:pStyle w:val="Zkladntext"/>
        <w:tabs>
          <w:tab w:val="left" w:pos="6722"/>
        </w:tabs>
        <w:spacing w:before="0"/>
        <w:ind w:left="242" w:firstLine="0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64D25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2D" w:rsidRDefault="00AF5A2D">
      <w:r>
        <w:separator/>
      </w:r>
    </w:p>
  </w:endnote>
  <w:endnote w:type="continuationSeparator" w:id="0">
    <w:p w:rsidR="00AF5A2D" w:rsidRDefault="00AF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5" w:rsidRDefault="001A03C9">
    <w:pPr>
      <w:pStyle w:val="Zkladntext"/>
      <w:spacing w:before="0" w:line="14" w:lineRule="auto"/>
      <w:ind w:left="0"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D25" w:rsidRDefault="00AF5A2D">
                          <w:pPr>
                            <w:pStyle w:val="Zkladntext"/>
                            <w:spacing w:before="19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3C9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64D25" w:rsidRDefault="00AF5A2D">
                    <w:pPr>
                      <w:pStyle w:val="Zkladntext"/>
                      <w:spacing w:before="19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3C9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2D" w:rsidRDefault="00AF5A2D">
      <w:r>
        <w:separator/>
      </w:r>
    </w:p>
  </w:footnote>
  <w:footnote w:type="continuationSeparator" w:id="0">
    <w:p w:rsidR="00AF5A2D" w:rsidRDefault="00AF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CBB"/>
    <w:multiLevelType w:val="hybridMultilevel"/>
    <w:tmpl w:val="0F766A10"/>
    <w:lvl w:ilvl="0" w:tplc="73A852B4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10375E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6CBE33AC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9AEE1EE8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19A636CA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4E1E3D24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16FC4922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ECCCF07E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A1DE6E2A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7140629"/>
    <w:multiLevelType w:val="hybridMultilevel"/>
    <w:tmpl w:val="FCF00FCC"/>
    <w:lvl w:ilvl="0" w:tplc="41781D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DA4F1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EFAEA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74EDF2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4FC9EE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AA823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876013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DA8288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860321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9E1B82"/>
    <w:multiLevelType w:val="hybridMultilevel"/>
    <w:tmpl w:val="E97001DE"/>
    <w:lvl w:ilvl="0" w:tplc="089E01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EA647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3ACFBC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E6E60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D184BE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01CE5D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D64996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A685AF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8027ED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8245265"/>
    <w:multiLevelType w:val="hybridMultilevel"/>
    <w:tmpl w:val="4BD8EF3C"/>
    <w:lvl w:ilvl="0" w:tplc="76306A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3A1DA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C9E773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280239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59881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E42774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BA0A69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120308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1AA31F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B4367DD"/>
    <w:multiLevelType w:val="hybridMultilevel"/>
    <w:tmpl w:val="ADA6514C"/>
    <w:lvl w:ilvl="0" w:tplc="2708AA3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5A206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7CC2A9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F50A1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28C5C7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CC40C5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DA2C08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4C8B10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14C111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0794EBC"/>
    <w:multiLevelType w:val="hybridMultilevel"/>
    <w:tmpl w:val="8F227E48"/>
    <w:lvl w:ilvl="0" w:tplc="2AEAAF6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5889E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6ECAAD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AAA2B67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0260DA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08EF15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C2CF43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DD282C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C60A92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6C7406"/>
    <w:multiLevelType w:val="hybridMultilevel"/>
    <w:tmpl w:val="C9C8ABEA"/>
    <w:lvl w:ilvl="0" w:tplc="A86CD21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2473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63C4E1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CECEC2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494DF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E5C244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DF23B4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498C2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A3C9C0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5"/>
    <w:rsid w:val="001A03C9"/>
    <w:rsid w:val="00864D25"/>
    <w:rsid w:val="00A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4D381-C513-4683-AE42-D0633152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2024-04-17T09:36:00Z</dcterms:created>
  <dcterms:modified xsi:type="dcterms:W3CDTF">2024-04-17T09:36:00Z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