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1220900027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 w:before="0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382"/>
        <w:jc w:val="left"/>
      </w:pPr>
      <w:r>
        <w:rPr/>
        <w:t>obec</w:t>
      </w:r>
      <w:r>
        <w:rPr>
          <w:spacing w:val="-6"/>
        </w:rPr>
        <w:t> </w:t>
      </w:r>
      <w:r>
        <w:rPr/>
        <w:t>Víchová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>
          <w:spacing w:val="-2"/>
        </w:rPr>
        <w:t>Jizerou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Víchová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/>
        <w:t>Jizerou,</w:t>
      </w:r>
      <w:r>
        <w:rPr>
          <w:spacing w:val="-4"/>
        </w:rPr>
        <w:t> </w:t>
      </w:r>
      <w:r>
        <w:rPr/>
        <w:t>Víchová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/>
        <w:t>Jizerou</w:t>
      </w:r>
      <w:r>
        <w:rPr>
          <w:spacing w:val="-3"/>
        </w:rPr>
        <w:t> </w:t>
      </w:r>
      <w:r>
        <w:rPr>
          <w:spacing w:val="-5"/>
        </w:rPr>
        <w:t>8,</w:t>
      </w:r>
    </w:p>
    <w:p>
      <w:pPr>
        <w:pStyle w:val="BodyText"/>
        <w:spacing w:line="265" w:lineRule="exact"/>
        <w:ind w:left="3286"/>
        <w:jc w:val="left"/>
      </w:pPr>
      <w:r>
        <w:rPr/>
        <w:t>512</w:t>
      </w:r>
      <w:r>
        <w:rPr>
          <w:spacing w:val="-4"/>
        </w:rPr>
        <w:t> </w:t>
      </w:r>
      <w:r>
        <w:rPr/>
        <w:t>41</w:t>
      </w:r>
      <w:r>
        <w:rPr>
          <w:spacing w:val="-5"/>
        </w:rPr>
        <w:t> </w:t>
      </w:r>
      <w:r>
        <w:rPr/>
        <w:t>Víchová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Jizerou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00276251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6"/>
        </w:rPr>
        <w:t> </w:t>
      </w:r>
      <w:r>
        <w:rPr/>
        <w:t>Zbyňkem</w:t>
      </w:r>
      <w:r>
        <w:rPr>
          <w:spacing w:val="-4"/>
        </w:rPr>
        <w:t> </w:t>
      </w:r>
      <w:r>
        <w:rPr/>
        <w:t>H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b</w:t>
      </w:r>
      <w:r>
        <w:rPr>
          <w:spacing w:val="-14"/>
        </w:rPr>
        <w:t>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1526581/0710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0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0"/>
      </w:pPr>
      <w:r>
        <w:rPr/>
        <w:t>„Smlouva“) se uzavírá na základě Rozhodnutí ministra životního prostředí č. 1220900027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left="665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63"/>
        <w:jc w:val="left"/>
      </w:pPr>
      <w:r>
        <w:rPr/>
        <w:t>„Oprava</w:t>
      </w:r>
      <w:r>
        <w:rPr>
          <w:spacing w:val="-5"/>
        </w:rPr>
        <w:t> </w:t>
      </w:r>
      <w:r>
        <w:rPr/>
        <w:t>cest</w:t>
      </w:r>
      <w:r>
        <w:rPr>
          <w:spacing w:val="-5"/>
        </w:rPr>
        <w:t> </w:t>
      </w:r>
      <w:r>
        <w:rPr/>
        <w:t>ke</w:t>
      </w:r>
      <w:r>
        <w:rPr>
          <w:spacing w:val="-5"/>
        </w:rPr>
        <w:t> </w:t>
      </w:r>
      <w:r>
        <w:rPr/>
        <w:t>Zvoničce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ke</w:t>
      </w:r>
      <w:r>
        <w:rPr>
          <w:spacing w:val="-3"/>
        </w:rPr>
        <w:t> </w:t>
      </w:r>
      <w:r>
        <w:rPr/>
        <w:t>Křížku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Víchová</w:t>
      </w:r>
      <w:r>
        <w:rPr>
          <w:spacing w:val="-3"/>
        </w:rPr>
        <w:t> </w:t>
      </w:r>
      <w:r>
        <w:rPr/>
        <w:t>nad</w:t>
      </w:r>
      <w:r>
        <w:rPr>
          <w:spacing w:val="-4"/>
        </w:rPr>
        <w:t> </w:t>
      </w:r>
      <w:r>
        <w:rPr>
          <w:spacing w:val="-2"/>
        </w:rPr>
        <w:t>Jizerou“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085,62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8"/>
          <w:sz w:val="20"/>
        </w:rPr>
        <w:t> </w:t>
      </w:r>
      <w:r>
        <w:rPr>
          <w:sz w:val="20"/>
        </w:rPr>
        <w:t>tři</w:t>
      </w:r>
      <w:r>
        <w:rPr>
          <w:spacing w:val="-8"/>
          <w:sz w:val="20"/>
        </w:rPr>
        <w:t> </w:t>
      </w:r>
      <w:r>
        <w:rPr>
          <w:sz w:val="20"/>
        </w:rPr>
        <w:t>miliony</w:t>
      </w:r>
      <w:r>
        <w:rPr>
          <w:spacing w:val="-8"/>
          <w:sz w:val="20"/>
        </w:rPr>
        <w:t> </w:t>
      </w:r>
      <w:r>
        <w:rPr>
          <w:sz w:val="20"/>
        </w:rPr>
        <w:t>dvacet</w:t>
      </w:r>
      <w:r>
        <w:rPr>
          <w:spacing w:val="-8"/>
          <w:sz w:val="20"/>
        </w:rPr>
        <w:t> </w:t>
      </w:r>
      <w:r>
        <w:rPr>
          <w:sz w:val="20"/>
        </w:rPr>
        <w:t>jeden</w:t>
      </w:r>
      <w:r>
        <w:rPr>
          <w:spacing w:val="-8"/>
          <w:sz w:val="20"/>
        </w:rPr>
        <w:t> </w:t>
      </w:r>
      <w:r>
        <w:rPr>
          <w:sz w:val="20"/>
        </w:rPr>
        <w:t>tisíc</w:t>
      </w:r>
      <w:r>
        <w:rPr>
          <w:spacing w:val="-9"/>
          <w:sz w:val="20"/>
        </w:rPr>
        <w:t> </w:t>
      </w:r>
      <w:r>
        <w:rPr>
          <w:sz w:val="20"/>
        </w:rPr>
        <w:t>osmdesát</w:t>
      </w:r>
      <w:r>
        <w:rPr>
          <w:spacing w:val="-8"/>
          <w:sz w:val="20"/>
        </w:rPr>
        <w:t> </w:t>
      </w:r>
      <w:r>
        <w:rPr>
          <w:sz w:val="20"/>
        </w:rPr>
        <w:t>pět</w:t>
      </w:r>
      <w:r>
        <w:rPr>
          <w:spacing w:val="-8"/>
          <w:sz w:val="20"/>
        </w:rPr>
        <w:t> </w:t>
      </w:r>
      <w:r>
        <w:rPr>
          <w:sz w:val="20"/>
        </w:rPr>
        <w:t>korun</w:t>
      </w:r>
      <w:r>
        <w:rPr>
          <w:spacing w:val="-7"/>
          <w:sz w:val="20"/>
        </w:rPr>
        <w:t> </w:t>
      </w:r>
      <w:r>
        <w:rPr>
          <w:sz w:val="20"/>
        </w:rPr>
        <w:t>českých, šedesát dva haléře).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3 554 218,38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 podpory</w:t>
      </w:r>
      <w:r>
        <w:rPr>
          <w:spacing w:val="-1"/>
          <w:sz w:val="20"/>
        </w:rPr>
        <w:t> </w:t>
      </w:r>
      <w:r>
        <w:rPr>
          <w:sz w:val="20"/>
        </w:rPr>
        <w:t>předloží</w:t>
      </w:r>
      <w:r>
        <w:rPr>
          <w:spacing w:val="-1"/>
          <w:sz w:val="20"/>
        </w:rPr>
        <w:t> </w:t>
      </w:r>
      <w:r>
        <w:rPr>
          <w:sz w:val="20"/>
        </w:rPr>
        <w:t>Fondu neuhrazené</w:t>
      </w:r>
      <w:r>
        <w:rPr>
          <w:spacing w:val="-2"/>
          <w:sz w:val="20"/>
        </w:rPr>
        <w:t> </w:t>
      </w:r>
      <w:r>
        <w:rPr>
          <w:sz w:val="20"/>
        </w:rPr>
        <w:t>nebo částečně</w:t>
      </w:r>
      <w:r>
        <w:rPr>
          <w:spacing w:val="-2"/>
          <w:sz w:val="20"/>
        </w:rPr>
        <w:t> </w:t>
      </w:r>
      <w:r>
        <w:rPr>
          <w:sz w:val="20"/>
        </w:rPr>
        <w:t>uhrazené faktury,</w:t>
      </w:r>
      <w:r>
        <w:rPr>
          <w:spacing w:val="-1"/>
          <w:sz w:val="20"/>
        </w:rPr>
        <w:t> </w:t>
      </w:r>
      <w:r>
        <w:rPr>
          <w:sz w:val="20"/>
        </w:rPr>
        <w:t>doloží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Fondu nejpozději do 10 pracovních dnů od uvolnění finančních prostředků relevantní doklady prokazující uhrazení těchto faktur, včetně podílu vlastních zdrojů.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93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12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36" w:top="182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7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provedena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Fondem</w:t>
      </w:r>
      <w:r>
        <w:rPr>
          <w:spacing w:val="80"/>
          <w:sz w:val="20"/>
        </w:rPr>
        <w:t> </w:t>
      </w:r>
      <w:r>
        <w:rPr>
          <w:sz w:val="20"/>
        </w:rPr>
        <w:t>odsouhlasené</w:t>
      </w:r>
      <w:r>
        <w:rPr>
          <w:spacing w:val="80"/>
          <w:sz w:val="20"/>
        </w:rPr>
        <w:t> </w:t>
      </w:r>
      <w:r>
        <w:rPr>
          <w:sz w:val="20"/>
        </w:rPr>
        <w:t>projektové</w:t>
      </w:r>
      <w:r>
        <w:rPr>
          <w:spacing w:val="80"/>
          <w:sz w:val="20"/>
        </w:rPr>
        <w:t> </w:t>
      </w:r>
      <w:r>
        <w:rPr>
          <w:sz w:val="20"/>
        </w:rPr>
        <w:t>dokumentace</w:t>
      </w:r>
      <w:r>
        <w:rPr>
          <w:spacing w:val="80"/>
          <w:sz w:val="20"/>
        </w:rPr>
        <w:t> </w:t>
      </w:r>
      <w:r>
        <w:rPr>
          <w:sz w:val="20"/>
        </w:rPr>
        <w:t>vypracované Ing. arch. Jaromírem Jiroušem (12/2022), podle dokumentace</w:t>
      </w:r>
      <w:r>
        <w:rPr>
          <w:spacing w:val="-1"/>
          <w:sz w:val="20"/>
        </w:rPr>
        <w:t> </w:t>
      </w:r>
      <w:r>
        <w:rPr>
          <w:sz w:val="20"/>
        </w:rPr>
        <w:t>žádosti o poskytnutí podpory ze</w:t>
      </w:r>
      <w:r>
        <w:rPr>
          <w:spacing w:val="-1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1063" w:right="107"/>
      </w:pPr>
      <w:r>
        <w:rPr/>
        <w:t>24.</w:t>
      </w:r>
      <w:r>
        <w:rPr>
          <w:spacing w:val="80"/>
        </w:rPr>
        <w:t> </w:t>
      </w:r>
      <w:r>
        <w:rPr/>
        <w:t>1.</w:t>
      </w:r>
      <w:r>
        <w:rPr>
          <w:spacing w:val="80"/>
        </w:rPr>
        <w:t> </w:t>
      </w:r>
      <w:r>
        <w:rPr/>
        <w:t>2023,</w:t>
      </w:r>
      <w:r>
        <w:rPr>
          <w:spacing w:val="80"/>
        </w:rPr>
        <w:t> </w:t>
      </w:r>
      <w:r>
        <w:rPr/>
        <w:t>podle</w:t>
      </w:r>
      <w:r>
        <w:rPr>
          <w:spacing w:val="80"/>
        </w:rPr>
        <w:t> </w:t>
      </w:r>
      <w:r>
        <w:rPr/>
        <w:t>dokumentace</w:t>
      </w:r>
      <w:r>
        <w:rPr>
          <w:spacing w:val="80"/>
        </w:rPr>
        <w:t> </w:t>
      </w:r>
      <w:r>
        <w:rPr/>
        <w:t>výběrového</w:t>
      </w:r>
      <w:r>
        <w:rPr>
          <w:spacing w:val="80"/>
        </w:rPr>
        <w:t> </w:t>
      </w:r>
      <w:r>
        <w:rPr/>
        <w:t>řízení</w:t>
      </w:r>
      <w:r>
        <w:rPr>
          <w:spacing w:val="80"/>
        </w:rPr>
        <w:t> </w:t>
      </w:r>
      <w:r>
        <w:rPr/>
        <w:t>včetně</w:t>
      </w:r>
      <w:r>
        <w:rPr>
          <w:spacing w:val="80"/>
        </w:rPr>
        <w:t> </w:t>
      </w:r>
      <w:r>
        <w:rPr/>
        <w:t>smlouvy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dílo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společností M-SILNICE a.s. (Husova 1697, Bílé Předměstí, 530 03 Pardubice, IČ: 42196868) ze dne 26. 2. 2024, včetně případných 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-10"/>
          <w:sz w:val="20"/>
        </w:rPr>
        <w:t> </w:t>
      </w:r>
      <w:r>
        <w:rPr>
          <w:sz w:val="20"/>
        </w:rPr>
        <w:t>rekonstrukci</w:t>
      </w:r>
      <w:r>
        <w:rPr>
          <w:spacing w:val="-8"/>
          <w:sz w:val="20"/>
        </w:rPr>
        <w:t> </w:t>
      </w:r>
      <w:r>
        <w:rPr>
          <w:sz w:val="20"/>
        </w:rPr>
        <w:t>dvou</w:t>
      </w:r>
      <w:r>
        <w:rPr>
          <w:spacing w:val="-8"/>
          <w:sz w:val="20"/>
        </w:rPr>
        <w:t> </w:t>
      </w:r>
      <w:r>
        <w:rPr>
          <w:sz w:val="20"/>
        </w:rPr>
        <w:t>místních</w:t>
      </w:r>
      <w:r>
        <w:rPr>
          <w:spacing w:val="-8"/>
          <w:sz w:val="20"/>
        </w:rPr>
        <w:t> </w:t>
      </w:r>
      <w:r>
        <w:rPr>
          <w:sz w:val="20"/>
        </w:rPr>
        <w:t>komunikací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obci</w:t>
      </w:r>
      <w:r>
        <w:rPr>
          <w:spacing w:val="-8"/>
          <w:sz w:val="20"/>
        </w:rPr>
        <w:t> </w:t>
      </w:r>
      <w:r>
        <w:rPr>
          <w:sz w:val="20"/>
        </w:rPr>
        <w:t>Víchová</w:t>
      </w:r>
      <w:r>
        <w:rPr>
          <w:spacing w:val="-8"/>
          <w:sz w:val="20"/>
        </w:rPr>
        <w:t> </w:t>
      </w:r>
      <w:r>
        <w:rPr>
          <w:sz w:val="20"/>
        </w:rPr>
        <w:t>nad</w:t>
      </w:r>
      <w:r>
        <w:rPr>
          <w:spacing w:val="-8"/>
          <w:sz w:val="20"/>
        </w:rPr>
        <w:t> </w:t>
      </w:r>
      <w:r>
        <w:rPr>
          <w:sz w:val="20"/>
        </w:rPr>
        <w:t>Jizerou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celkové</w:t>
      </w:r>
      <w:r>
        <w:rPr>
          <w:spacing w:val="-9"/>
          <w:sz w:val="20"/>
        </w:rPr>
        <w:t> </w:t>
      </w:r>
      <w:r>
        <w:rPr>
          <w:sz w:val="20"/>
        </w:rPr>
        <w:t>délce</w:t>
      </w:r>
      <w:r>
        <w:rPr>
          <w:spacing w:val="-8"/>
          <w:sz w:val="20"/>
        </w:rPr>
        <w:t> </w:t>
      </w:r>
      <w:r>
        <w:rPr>
          <w:sz w:val="20"/>
        </w:rPr>
        <w:t>972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bm,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2"/>
          <w:sz w:val="20"/>
        </w:rPr>
        <w:t> </w:t>
      </w:r>
      <w:r>
        <w:rPr>
          <w:sz w:val="20"/>
        </w:rPr>
        <w:t>tzv.</w:t>
      </w:r>
      <w:r>
        <w:rPr>
          <w:spacing w:val="3"/>
          <w:sz w:val="20"/>
        </w:rPr>
        <w:t> </w:t>
      </w:r>
      <w:r>
        <w:rPr>
          <w:sz w:val="20"/>
        </w:rPr>
        <w:t>dvojímu</w:t>
      </w:r>
      <w:r>
        <w:rPr>
          <w:spacing w:val="2"/>
          <w:sz w:val="20"/>
        </w:rPr>
        <w:t> </w:t>
      </w:r>
      <w:r>
        <w:rPr>
          <w:sz w:val="20"/>
        </w:rPr>
        <w:t>financování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pokynů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m)</w:t>
      </w:r>
      <w:r>
        <w:rPr>
          <w:spacing w:val="2"/>
          <w:sz w:val="20"/>
        </w:rPr>
        <w:t> </w:t>
      </w:r>
      <w:r>
        <w:rPr>
          <w:sz w:val="20"/>
        </w:rPr>
        <w:t>Výzvy</w:t>
      </w:r>
      <w:r>
        <w:rPr>
          <w:spacing w:val="3"/>
          <w:sz w:val="20"/>
        </w:rPr>
        <w:t> </w:t>
      </w:r>
      <w:r>
        <w:rPr>
          <w:sz w:val="20"/>
        </w:rPr>
        <w:t>(a</w:t>
      </w:r>
      <w:r>
        <w:rPr>
          <w:spacing w:val="2"/>
          <w:sz w:val="20"/>
        </w:rPr>
        <w:t> </w:t>
      </w:r>
      <w:r>
        <w:rPr>
          <w:sz w:val="20"/>
        </w:rPr>
        <w:t>rovněž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pokynů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p)</w:t>
      </w:r>
      <w:r>
        <w:rPr>
          <w:spacing w:val="-6"/>
        </w:rPr>
        <w:t> </w:t>
      </w:r>
      <w:r>
        <w:rPr/>
        <w:t>Výzvy,</w:t>
      </w:r>
      <w:r>
        <w:rPr>
          <w:spacing w:val="-2"/>
        </w:rPr>
        <w:t> </w:t>
      </w:r>
      <w:r>
        <w:rPr/>
        <w:t>pokud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36" w:top="1060" w:bottom="162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10/2024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aktivit); přitom se konstatuje, že akce bude (byla) zahájena v 04/2024,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01/2025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pStyle w:val="BodyText"/>
        <w:spacing w:before="120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pacing w:val="40"/>
          <w:sz w:val="20"/>
        </w:rPr>
        <w:t> </w:t>
      </w:r>
      <w:r>
        <w:rPr>
          <w:sz w:val="20"/>
        </w:rPr>
        <w:t>vycházející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jím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40"/>
          <w:sz w:val="20"/>
        </w:rPr>
        <w:t> </w:t>
      </w:r>
      <w:r>
        <w:rPr>
          <w:sz w:val="20"/>
        </w:rPr>
        <w:t>informace)</w:t>
      </w:r>
      <w:r>
        <w:rPr>
          <w:spacing w:val="40"/>
          <w:sz w:val="20"/>
        </w:rPr>
        <w:t> </w:t>
      </w:r>
      <w:r>
        <w:rPr>
          <w:sz w:val="20"/>
        </w:rPr>
        <w:t>uvedené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není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4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jeho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stanovené</w:t>
      </w:r>
      <w:r>
        <w:rPr>
          <w:spacing w:val="-7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třetí</w:t>
      </w:r>
      <w:r>
        <w:rPr>
          <w:spacing w:val="-13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3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50-90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2"/>
          <w:sz w:val="20"/>
        </w:rPr>
        <w:t> </w:t>
      </w:r>
      <w:r>
        <w:rPr>
          <w:sz w:val="20"/>
        </w:rPr>
        <w:t>10-50</w:t>
      </w:r>
      <w:r>
        <w:rPr>
          <w:spacing w:val="-3"/>
          <w:sz w:val="20"/>
        </w:rPr>
        <w:t> </w:t>
      </w:r>
      <w:r>
        <w:rPr>
          <w:sz w:val="20"/>
        </w:rPr>
        <w:t>% z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míře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6"/>
          <w:sz w:val="20"/>
        </w:rPr>
        <w:t> </w:t>
      </w:r>
      <w:r>
        <w:rPr>
          <w:sz w:val="20"/>
        </w:rPr>
        <w:t>Smlouvy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2"/>
        </w:rPr>
      </w:pPr>
    </w:p>
    <w:p>
      <w:pPr>
        <w:pStyle w:val="Heading2"/>
        <w:spacing w:line="264" w:lineRule="auto" w:before="0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96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2024-04-17T05:20:36Z</dcterms:created>
  <dcterms:modified xsi:type="dcterms:W3CDTF">2024-04-17T05:20:36Z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2024-04-17T00:00:00Z</vt:filetime>
  </property>
</Properties>
</file>