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5220300250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line="264" w:lineRule="exact" w:before="1"/>
        <w:ind w:left="382"/>
        <w:jc w:val="left"/>
      </w:pPr>
      <w:r>
        <w:rPr/>
        <w:t>Statutární</w:t>
      </w:r>
      <w:r>
        <w:rPr>
          <w:spacing w:val="-9"/>
        </w:rPr>
        <w:t> </w:t>
      </w:r>
      <w:r>
        <w:rPr/>
        <w:t>město</w:t>
      </w:r>
      <w:r>
        <w:rPr>
          <w:spacing w:val="-8"/>
        </w:rPr>
        <w:t> </w:t>
      </w:r>
      <w:r>
        <w:rPr>
          <w:spacing w:val="-4"/>
        </w:rPr>
        <w:t>Brno</w:t>
      </w:r>
    </w:p>
    <w:p>
      <w:pPr>
        <w:pStyle w:val="BodyText"/>
        <w:spacing w:line="263" w:lineRule="exact"/>
        <w:ind w:left="382"/>
      </w:pPr>
      <w:r>
        <w:rPr/>
        <w:t>městská</w:t>
      </w:r>
      <w:r>
        <w:rPr>
          <w:spacing w:val="-9"/>
        </w:rPr>
        <w:t> </w:t>
      </w:r>
      <w:r>
        <w:rPr/>
        <w:t>část</w:t>
      </w:r>
      <w:r>
        <w:rPr>
          <w:spacing w:val="-9"/>
        </w:rPr>
        <w:t> </w:t>
      </w:r>
      <w:r>
        <w:rPr/>
        <w:t>Brno-</w:t>
      </w:r>
      <w:r>
        <w:rPr>
          <w:spacing w:val="-4"/>
        </w:rPr>
        <w:t>střed</w:t>
      </w:r>
    </w:p>
    <w:p>
      <w:pPr>
        <w:pStyle w:val="BodyText"/>
        <w:tabs>
          <w:tab w:pos="3221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Dominikánská</w:t>
      </w:r>
      <w:r>
        <w:rPr>
          <w:spacing w:val="-9"/>
        </w:rPr>
        <w:t> </w:t>
      </w:r>
      <w:r>
        <w:rPr/>
        <w:t>264/2,</w:t>
      </w:r>
      <w:r>
        <w:rPr>
          <w:spacing w:val="-9"/>
        </w:rPr>
        <w:t> </w:t>
      </w:r>
      <w:r>
        <w:rPr/>
        <w:t>601</w:t>
      </w:r>
      <w:r>
        <w:rPr>
          <w:spacing w:val="-7"/>
        </w:rPr>
        <w:t> </w:t>
      </w:r>
      <w:r>
        <w:rPr/>
        <w:t>69</w:t>
      </w:r>
      <w:r>
        <w:rPr>
          <w:spacing w:val="-8"/>
        </w:rPr>
        <w:t> </w:t>
      </w:r>
      <w:r>
        <w:rPr>
          <w:spacing w:val="-4"/>
        </w:rPr>
        <w:t>Brno</w:t>
      </w:r>
    </w:p>
    <w:p>
      <w:pPr>
        <w:pStyle w:val="BodyText"/>
        <w:tabs>
          <w:tab w:pos="3221" w:val="left" w:leader="none"/>
        </w:tabs>
        <w:spacing w:before="5"/>
        <w:ind w:left="38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44992785</w:t>
      </w:r>
    </w:p>
    <w:p>
      <w:pPr>
        <w:pStyle w:val="BodyText"/>
        <w:tabs>
          <w:tab w:pos="3250" w:val="left" w:leader="none"/>
        </w:tabs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5"/>
        </w:rPr>
        <w:t> </w:t>
      </w:r>
      <w:r>
        <w:rPr/>
        <w:t>arch.</w:t>
      </w:r>
      <w:r>
        <w:rPr>
          <w:spacing w:val="-4"/>
        </w:rPr>
        <w:t> </w:t>
      </w:r>
      <w:r>
        <w:rPr/>
        <w:t>Vojtěchem</w:t>
      </w:r>
      <w:r>
        <w:rPr>
          <w:spacing w:val="-1"/>
        </w:rPr>
        <w:t> </w:t>
      </w:r>
      <w:r>
        <w:rPr/>
        <w:t>M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c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m,</w:t>
      </w:r>
      <w:r>
        <w:rPr>
          <w:spacing w:val="-5"/>
        </w:rPr>
        <w:t> </w:t>
      </w:r>
      <w:r>
        <w:rPr/>
        <w:t>starostou</w:t>
      </w:r>
      <w:r>
        <w:rPr>
          <w:spacing w:val="-4"/>
        </w:rPr>
        <w:t> </w:t>
      </w:r>
      <w:r>
        <w:rPr/>
        <w:t>městské</w:t>
      </w:r>
      <w:r>
        <w:rPr>
          <w:spacing w:val="-5"/>
        </w:rPr>
        <w:t> </w:t>
      </w:r>
      <w:r>
        <w:rPr/>
        <w:t>části</w:t>
      </w:r>
      <w:r>
        <w:rPr>
          <w:spacing w:val="-5"/>
        </w:rPr>
        <w:t> </w:t>
      </w:r>
      <w:r>
        <w:rPr/>
        <w:t>Brno-</w:t>
      </w:r>
      <w:r>
        <w:rPr>
          <w:spacing w:val="-2"/>
        </w:rPr>
        <w:t>střed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313621/0710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5220300250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6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185"/>
        <w:jc w:val="left"/>
      </w:pPr>
      <w:r>
        <w:rPr/>
        <w:t>„Městská</w:t>
      </w:r>
      <w:r>
        <w:rPr>
          <w:spacing w:val="-7"/>
        </w:rPr>
        <w:t> </w:t>
      </w:r>
      <w:r>
        <w:rPr/>
        <w:t>část</w:t>
      </w:r>
      <w:r>
        <w:rPr>
          <w:spacing w:val="-5"/>
        </w:rPr>
        <w:t> </w:t>
      </w:r>
      <w:r>
        <w:rPr/>
        <w:t>Brno-střed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Ekomobilita“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zavazuje</w:t>
      </w:r>
      <w:r>
        <w:rPr>
          <w:spacing w:val="-13"/>
          <w:sz w:val="20"/>
        </w:rPr>
        <w:t> </w:t>
      </w:r>
      <w:r>
        <w:rPr>
          <w:sz w:val="20"/>
        </w:rPr>
        <w:t>poskytnout</w:t>
      </w:r>
      <w:r>
        <w:rPr>
          <w:spacing w:val="-12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formou</w:t>
      </w:r>
      <w:r>
        <w:rPr>
          <w:spacing w:val="-12"/>
          <w:sz w:val="20"/>
        </w:rPr>
        <w:t> </w:t>
      </w:r>
      <w:r>
        <w:rPr>
          <w:sz w:val="20"/>
        </w:rPr>
        <w:t>dotace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b/>
          <w:sz w:val="20"/>
        </w:rPr>
        <w:t>514 080,50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> </w:t>
      </w:r>
      <w:r>
        <w:rPr>
          <w:sz w:val="20"/>
        </w:rPr>
        <w:t>(slovy:</w:t>
      </w:r>
      <w:r>
        <w:rPr>
          <w:spacing w:val="-11"/>
          <w:sz w:val="20"/>
        </w:rPr>
        <w:t> </w:t>
      </w:r>
      <w:r>
        <w:rPr>
          <w:sz w:val="20"/>
        </w:rPr>
        <w:t>pět set čtrnáct tisíc osmdesát korun českých, padesát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 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</w:t>
      </w:r>
      <w:r>
        <w:rPr>
          <w:spacing w:val="-2"/>
          <w:sz w:val="20"/>
        </w:rPr>
        <w:t> </w:t>
      </w:r>
      <w:r>
        <w:rPr>
          <w:sz w:val="20"/>
        </w:rPr>
        <w:t>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4" w:hanging="284"/>
        <w:jc w:val="left"/>
        <w:rPr>
          <w:sz w:val="20"/>
        </w:rPr>
      </w:pPr>
      <w:r>
        <w:rPr>
          <w:sz w:val="20"/>
        </w:rPr>
        <w:t>Podpora bude poskytnuta bankovním převodem peněžních</w:t>
      </w:r>
      <w:r>
        <w:rPr>
          <w:spacing w:val="25"/>
          <w:sz w:val="20"/>
        </w:rPr>
        <w:t> </w:t>
      </w:r>
      <w:r>
        <w:rPr>
          <w:sz w:val="20"/>
        </w:rPr>
        <w:t>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96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514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080,50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2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5"/>
          <w:sz w:val="20"/>
        </w:rPr>
        <w:t> </w:t>
      </w:r>
      <w:r>
        <w:rPr>
          <w:w w:val="95"/>
          <w:sz w:val="20"/>
        </w:rPr>
        <w:t>a</w:t>
      </w:r>
      <w:r>
        <w:rPr>
          <w:spacing w:val="21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5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18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8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3"/>
          <w:sz w:val="20"/>
        </w:rPr>
        <w:t> </w:t>
      </w:r>
      <w:r>
        <w:rPr>
          <w:sz w:val="20"/>
        </w:rPr>
        <w:t>„Městská</w:t>
      </w:r>
      <w:r>
        <w:rPr>
          <w:spacing w:val="16"/>
          <w:sz w:val="20"/>
        </w:rPr>
        <w:t> </w:t>
      </w:r>
      <w:r>
        <w:rPr>
          <w:sz w:val="20"/>
        </w:rPr>
        <w:t>část</w:t>
      </w:r>
      <w:r>
        <w:rPr>
          <w:spacing w:val="13"/>
          <w:sz w:val="20"/>
        </w:rPr>
        <w:t> </w:t>
      </w:r>
      <w:r>
        <w:rPr>
          <w:sz w:val="20"/>
        </w:rPr>
        <w:t>Brno-střed</w:t>
      </w:r>
      <w:r>
        <w:rPr>
          <w:spacing w:val="14"/>
          <w:sz w:val="20"/>
        </w:rPr>
        <w:t> </w:t>
      </w:r>
      <w:r>
        <w:rPr>
          <w:sz w:val="20"/>
        </w:rPr>
        <w:t>–</w:t>
      </w:r>
      <w:r>
        <w:rPr>
          <w:spacing w:val="15"/>
          <w:sz w:val="20"/>
        </w:rPr>
        <w:t> </w:t>
      </w:r>
      <w:r>
        <w:rPr>
          <w:sz w:val="20"/>
        </w:rPr>
        <w:t>Ekomobilita“</w:t>
      </w:r>
      <w:r>
        <w:rPr>
          <w:spacing w:val="13"/>
          <w:sz w:val="20"/>
        </w:rPr>
        <w:t> </w:t>
      </w:r>
      <w:r>
        <w:rPr>
          <w:sz w:val="20"/>
        </w:rPr>
        <w:t>byla</w:t>
      </w:r>
      <w:r>
        <w:rPr>
          <w:spacing w:val="13"/>
          <w:sz w:val="20"/>
        </w:rPr>
        <w:t> </w:t>
      </w:r>
      <w:r>
        <w:rPr>
          <w:sz w:val="20"/>
        </w:rPr>
        <w:t>provedena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1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Výzvou,</w:t>
      </w:r>
      <w:r>
        <w:rPr>
          <w:spacing w:val="14"/>
          <w:sz w:val="20"/>
        </w:rPr>
        <w:t> </w:t>
      </w:r>
      <w:r>
        <w:rPr>
          <w:sz w:val="20"/>
        </w:rPr>
        <w:t>žádostí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2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4.</w:t>
      </w:r>
      <w:r>
        <w:rPr>
          <w:spacing w:val="-5"/>
          <w:sz w:val="20"/>
        </w:rPr>
        <w:t> </w:t>
      </w:r>
      <w:r>
        <w:rPr>
          <w:sz w:val="20"/>
        </w:rPr>
        <w:t>1.</w:t>
      </w:r>
      <w:r>
        <w:rPr>
          <w:spacing w:val="-5"/>
          <w:sz w:val="20"/>
        </w:rPr>
        <w:t> </w:t>
      </w:r>
      <w:r>
        <w:rPr>
          <w:sz w:val="20"/>
        </w:rPr>
        <w:t>2024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pořídil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neveřejné</w:t>
      </w:r>
      <w:r>
        <w:rPr>
          <w:spacing w:val="-6"/>
          <w:sz w:val="20"/>
        </w:rPr>
        <w:t> </w:t>
      </w:r>
      <w:r>
        <w:rPr>
          <w:sz w:val="20"/>
        </w:rPr>
        <w:t>dobíjecí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stanice,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right="113"/>
        <w:jc w:val="both"/>
      </w:pPr>
      <w:r>
        <w:rPr/>
        <w:t>Příjemce podpory bere na vědomí, že pokud toto prohlášení není pravdivé, bude přijetí podpory podle této</w:t>
      </w:r>
      <w:r>
        <w:rPr>
          <w:spacing w:val="-11"/>
        </w:rPr>
        <w:t> </w:t>
      </w:r>
      <w:r>
        <w:rPr/>
        <w:t>Smlouvy</w:t>
      </w:r>
      <w:r>
        <w:rPr>
          <w:spacing w:val="-12"/>
        </w:rPr>
        <w:t> </w:t>
      </w:r>
      <w:r>
        <w:rPr/>
        <w:t>považováno</w:t>
      </w:r>
      <w:r>
        <w:rPr>
          <w:spacing w:val="-10"/>
        </w:rPr>
        <w:t> </w:t>
      </w:r>
      <w:r>
        <w:rPr/>
        <w:t>za</w:t>
      </w:r>
      <w:r>
        <w:rPr>
          <w:spacing w:val="-12"/>
        </w:rPr>
        <w:t> </w:t>
      </w:r>
      <w:r>
        <w:rPr/>
        <w:t>neoprávněné</w:t>
      </w:r>
      <w:r>
        <w:rPr>
          <w:spacing w:val="-12"/>
        </w:rPr>
        <w:t> </w:t>
      </w:r>
      <w:r>
        <w:rPr/>
        <w:t>použití</w:t>
      </w:r>
      <w:r>
        <w:rPr>
          <w:spacing w:val="-12"/>
        </w:rPr>
        <w:t> </w:t>
      </w:r>
      <w:r>
        <w:rPr/>
        <w:t>finančních</w:t>
      </w:r>
      <w:r>
        <w:rPr>
          <w:spacing w:val="-11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poskytnutých</w:t>
      </w:r>
      <w:r>
        <w:rPr>
          <w:spacing w:val="-11"/>
        </w:rPr>
        <w:t> </w:t>
      </w:r>
      <w:r>
        <w:rPr/>
        <w:t>ze</w:t>
      </w:r>
      <w:r>
        <w:rPr>
          <w:spacing w:val="-12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 ve smyslu zákona č. 218/2000 Sb., o rozpočtových pravidlech a o změně</w:t>
      </w:r>
      <w:r>
        <w:rPr>
          <w:spacing w:val="-1"/>
        </w:rPr>
        <w:t> </w:t>
      </w:r>
      <w:r>
        <w:rPr/>
        <w:t>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5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dalších</w:t>
      </w:r>
      <w:r>
        <w:rPr>
          <w:spacing w:val="-5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576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2024-04-17T07:56:08Z</dcterms:created>
  <dcterms:modified xsi:type="dcterms:W3CDTF">2024-04-17T07:56:08Z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2024-04-17T00:00:00Z</vt:filetime>
  </property>
</Properties>
</file>