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876B" w14:textId="772418A3" w:rsidR="00813F8D" w:rsidRPr="0035287E" w:rsidRDefault="0017040C" w:rsidP="00813F8D">
      <w:pPr>
        <w:pStyle w:val="StylDoprava"/>
        <w:rPr>
          <w:rFonts w:cs="Arial"/>
          <w:sz w:val="18"/>
          <w:szCs w:val="18"/>
        </w:rPr>
      </w:pPr>
      <w:r w:rsidRPr="0035287E">
        <w:rPr>
          <w:rFonts w:cs="Arial"/>
          <w:sz w:val="18"/>
          <w:szCs w:val="18"/>
        </w:rPr>
        <w:t>Čj.: SPU 139115/2024/104/Mr</w:t>
      </w:r>
    </w:p>
    <w:p w14:paraId="1B8872EF" w14:textId="335358E1" w:rsidR="0017040C" w:rsidRDefault="0017040C" w:rsidP="00813F8D">
      <w:pPr>
        <w:pStyle w:val="StylDoprava"/>
        <w:rPr>
          <w:rFonts w:cs="Arial"/>
          <w:sz w:val="18"/>
          <w:szCs w:val="18"/>
        </w:rPr>
      </w:pPr>
      <w:r w:rsidRPr="0035287E">
        <w:rPr>
          <w:rFonts w:cs="Arial"/>
          <w:sz w:val="18"/>
          <w:szCs w:val="18"/>
        </w:rPr>
        <w:t xml:space="preserve">UID: </w:t>
      </w:r>
      <w:r w:rsidR="0035287E" w:rsidRPr="0035287E">
        <w:rPr>
          <w:rFonts w:cs="Arial"/>
          <w:sz w:val="18"/>
          <w:szCs w:val="18"/>
        </w:rPr>
        <w:t>spuess920a25db</w:t>
      </w:r>
    </w:p>
    <w:p w14:paraId="25C19065" w14:textId="77777777" w:rsidR="0035287E" w:rsidRPr="0035287E" w:rsidRDefault="0035287E" w:rsidP="00813F8D">
      <w:pPr>
        <w:pStyle w:val="StylDoprava"/>
        <w:rPr>
          <w:rFonts w:cs="Arial"/>
          <w:sz w:val="18"/>
          <w:szCs w:val="18"/>
        </w:rPr>
      </w:pPr>
    </w:p>
    <w:p w14:paraId="0458D6F0" w14:textId="77777777" w:rsidR="00CB4222" w:rsidRPr="0035287E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35287E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35287E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35287E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5F3A581A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5C52D002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14:paraId="7002D283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14:paraId="3752DA1C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00863B05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B196A">
        <w:rPr>
          <w:rFonts w:ascii="Arial" w:hAnsi="Arial" w:cs="Arial"/>
          <w:sz w:val="22"/>
          <w:szCs w:val="22"/>
        </w:rPr>
        <w:t>DIČ:  CZ</w:t>
      </w:r>
      <w:proofErr w:type="gramEnd"/>
      <w:r w:rsidRPr="00BB196A">
        <w:rPr>
          <w:rFonts w:ascii="Arial" w:hAnsi="Arial" w:cs="Arial"/>
          <w:sz w:val="22"/>
          <w:szCs w:val="22"/>
        </w:rPr>
        <w:t>01312774</w:t>
      </w:r>
    </w:p>
    <w:p w14:paraId="3892CFEF" w14:textId="77777777" w:rsidR="003F7C07" w:rsidRDefault="003F7C07" w:rsidP="003F7C07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33FE89A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75CB4D02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135649AE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1005932430</w:t>
      </w:r>
    </w:p>
    <w:p w14:paraId="705546BD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1287B926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BD69D46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735C88A7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3FF3632F" w14:textId="77777777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AGRO Staňkov a.s.</w:t>
      </w:r>
      <w:r w:rsidRPr="00BB196A">
        <w:rPr>
          <w:rFonts w:ascii="Arial" w:hAnsi="Arial" w:cs="Arial"/>
          <w:color w:val="000000"/>
          <w:sz w:val="22"/>
          <w:szCs w:val="22"/>
        </w:rPr>
        <w:t>, sídlo Plzeňská 350, Staňkov, PSČ 34561, IČO 00115746, DIČ CZ00115746, zapsán v obchodním rejstříku, vedeným Krajským soudem v Plzni, oddíl B, vložka 971</w:t>
      </w:r>
    </w:p>
    <w:p w14:paraId="6EDD3F89" w14:textId="184D884D" w:rsidR="00B07D09" w:rsidRPr="00BB196A" w:rsidRDefault="00B07D09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Zastupuje Ing. Hála Bohumil, člen představenstva</w:t>
      </w:r>
    </w:p>
    <w:p w14:paraId="7730C6EE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254C95E5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61F285E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745C5E22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16944334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50E2D75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96B057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1005932430</w:t>
      </w:r>
    </w:p>
    <w:p w14:paraId="09BD3AD7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B86FBB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44733209" w14:textId="77777777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Plzeňský kraj, Katastrální pracoviště Domažlice na LV 10 002:</w:t>
      </w:r>
    </w:p>
    <w:p w14:paraId="12535099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147C271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58FB401E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9D79B49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F6D17F0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Hlohová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Hlohová</w:t>
      </w:r>
      <w:proofErr w:type="spellEnd"/>
      <w:r w:rsidRPr="00BB196A">
        <w:rPr>
          <w:rFonts w:ascii="Arial" w:hAnsi="Arial" w:cs="Arial"/>
          <w:sz w:val="18"/>
          <w:szCs w:val="18"/>
        </w:rPr>
        <w:tab/>
        <w:t>19/2</w:t>
      </w:r>
      <w:r w:rsidRPr="00BB196A">
        <w:rPr>
          <w:rFonts w:ascii="Arial" w:hAnsi="Arial" w:cs="Arial"/>
          <w:sz w:val="18"/>
          <w:szCs w:val="18"/>
        </w:rPr>
        <w:tab/>
        <w:t>zastavěná plocha a nádvoří</w:t>
      </w:r>
    </w:p>
    <w:p w14:paraId="373C128D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748A68C" w14:textId="279FCB9C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292A0ACC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4CED07F4" w14:textId="454C852C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Tato smlouva se uzavírá podle</w:t>
      </w:r>
      <w:r w:rsidR="00B07D09">
        <w:rPr>
          <w:rFonts w:ascii="Arial" w:hAnsi="Arial" w:cs="Arial"/>
          <w:sz w:val="22"/>
          <w:szCs w:val="22"/>
        </w:rPr>
        <w:t xml:space="preserve">§ 10 odst. 3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3C56FF4C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08CD069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6524491F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3C162991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711C89F" w14:textId="239DC320" w:rsidR="00F95815" w:rsidRPr="0080603D" w:rsidRDefault="00746C63" w:rsidP="00B07D09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404A457E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5063CF57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8C26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7427864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7DC2A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06E8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015299E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62D6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Hlohová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7D84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19/2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E8ED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55 140,00 Kč</w:t>
            </w:r>
          </w:p>
        </w:tc>
      </w:tr>
    </w:tbl>
    <w:p w14:paraId="58E5EEAE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0221B172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6DE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941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55 140,00 Kč</w:t>
            </w:r>
          </w:p>
        </w:tc>
      </w:tr>
    </w:tbl>
    <w:p w14:paraId="61A10986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79F752D6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2031E7EF" w14:textId="77777777" w:rsidR="00B07D09" w:rsidRDefault="00B07D09">
      <w:pPr>
        <w:widowControl/>
        <w:tabs>
          <w:tab w:val="left" w:pos="426"/>
        </w:tabs>
      </w:pPr>
    </w:p>
    <w:p w14:paraId="359B8FF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2BEEF643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096A21AA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0010F473" w14:textId="4D91229B" w:rsidR="00746C63" w:rsidRPr="00BB196A" w:rsidRDefault="00746C63" w:rsidP="00B07D0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Užívací vztah k prodávanému pozemku je řešen: nájemní smlouvou č. 38N14/30, kterou s SPÚ, resp. dříve PF ČR uzavřel AGRO Staňkov a.s., jakožto nájemce.</w:t>
      </w:r>
    </w:p>
    <w:p w14:paraId="257E7E80" w14:textId="77777777" w:rsidR="00746C63" w:rsidRPr="00BB196A" w:rsidRDefault="00A37389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4946"/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 xml:space="preserve">Kupující nabývá pozemek ve smyslu § 1918 zákona č. 89/2012 Sb., Občanský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Sb., Občanský zákoník se pak kupující vzdává svého práva z vadného plnění a zavazuje se, že nebude po prodávajícím uplatňovat jakákoliv práva z vad předávaného pozemku.</w:t>
      </w:r>
      <w:bookmarkEnd w:id="0"/>
    </w:p>
    <w:p w14:paraId="00C7BA1D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FBC442B" w14:textId="697A0497" w:rsidR="00746C63" w:rsidRPr="00BB196A" w:rsidRDefault="00746C63" w:rsidP="00B07D09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048FF829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22FE01D" w14:textId="77777777" w:rsidR="00306105" w:rsidRDefault="00306105" w:rsidP="00306105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21B57A40" w14:textId="77777777" w:rsidR="00306105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4A1FA831" w14:textId="77777777" w:rsidR="00306105" w:rsidRPr="001D58B7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3B842975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837362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59268A41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3692D002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B196A">
        <w:rPr>
          <w:rFonts w:ascii="Arial" w:hAnsi="Arial" w:cs="Arial"/>
          <w:sz w:val="22"/>
          <w:szCs w:val="22"/>
        </w:rPr>
        <w:t>obdrží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1 stejnopis(y) a ostatní jsou určeny pro prodávajícího.</w:t>
      </w:r>
    </w:p>
    <w:p w14:paraId="3942A1E3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4C494E0B" w14:textId="77777777" w:rsidR="009A641A" w:rsidRPr="00410C86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3343C7E6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A589C78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4477803C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377F5311" w14:textId="50DC9BDC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B07D09">
        <w:rPr>
          <w:rFonts w:ascii="Arial" w:hAnsi="Arial" w:cs="Arial"/>
          <w:sz w:val="22"/>
          <w:szCs w:val="22"/>
        </w:rPr>
        <w:t>§ 10 odst. 3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14:paraId="2AA281C7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37597786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7E4B2D69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251A1E44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7607D9C3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2639FD7C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9BE4A6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439086B" w14:textId="0CE18B59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Plzni dne</w:t>
      </w:r>
      <w:r w:rsidR="006B1B4E">
        <w:rPr>
          <w:rFonts w:ascii="Arial" w:hAnsi="Arial" w:cs="Arial"/>
          <w:sz w:val="22"/>
          <w:szCs w:val="22"/>
        </w:rPr>
        <w:t xml:space="preserve"> 12.4.2024</w:t>
      </w:r>
      <w:r w:rsidRPr="00BB196A">
        <w:rPr>
          <w:rFonts w:ascii="Arial" w:hAnsi="Arial" w:cs="Arial"/>
          <w:sz w:val="22"/>
          <w:szCs w:val="22"/>
        </w:rPr>
        <w:tab/>
        <w:t>V ............................... dne</w:t>
      </w:r>
      <w:r w:rsidR="006B1B4E">
        <w:rPr>
          <w:rFonts w:ascii="Arial" w:hAnsi="Arial" w:cs="Arial"/>
          <w:sz w:val="22"/>
          <w:szCs w:val="22"/>
        </w:rPr>
        <w:t xml:space="preserve"> 12.4.2024</w:t>
      </w:r>
    </w:p>
    <w:p w14:paraId="0B04B0CA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DFEE68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6DEF59A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280FAFF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929F19C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926D9F2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AGRO Staňkov a.s.</w:t>
      </w:r>
    </w:p>
    <w:p w14:paraId="2283DE73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14:paraId="37F9AAD5" w14:textId="5EAC48BD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Plzeňský kraj</w:t>
      </w:r>
      <w:r w:rsidRPr="00BB196A">
        <w:rPr>
          <w:rFonts w:ascii="Arial" w:hAnsi="Arial" w:cs="Arial"/>
          <w:sz w:val="22"/>
          <w:szCs w:val="22"/>
        </w:rPr>
        <w:tab/>
      </w:r>
      <w:r w:rsidR="00B07D09">
        <w:rPr>
          <w:rFonts w:ascii="Arial" w:hAnsi="Arial" w:cs="Arial"/>
          <w:sz w:val="22"/>
          <w:szCs w:val="22"/>
        </w:rPr>
        <w:t>Ing. Hála Bohumil</w:t>
      </w:r>
    </w:p>
    <w:p w14:paraId="001B8B0B" w14:textId="61F16B4A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Jiří Papež</w:t>
      </w:r>
      <w:r w:rsidRPr="00BB196A">
        <w:rPr>
          <w:rFonts w:ascii="Arial" w:hAnsi="Arial" w:cs="Arial"/>
          <w:sz w:val="22"/>
          <w:szCs w:val="22"/>
        </w:rPr>
        <w:tab/>
      </w:r>
      <w:r w:rsidR="00E02678">
        <w:rPr>
          <w:rFonts w:ascii="Arial" w:hAnsi="Arial" w:cs="Arial"/>
          <w:sz w:val="22"/>
          <w:szCs w:val="22"/>
        </w:rPr>
        <w:t>člen představenstva</w:t>
      </w:r>
    </w:p>
    <w:p w14:paraId="3BB1DA6C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31152845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3B6A86D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61680A67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</w:t>
      </w:r>
      <w:r w:rsidR="00B837DC" w:rsidRPr="00BA0CC9">
        <w:rPr>
          <w:rFonts w:ascii="Arial" w:hAnsi="Arial" w:cs="Arial"/>
          <w:sz w:val="22"/>
          <w:szCs w:val="22"/>
        </w:rPr>
        <w:t>nabízené</w:t>
      </w:r>
      <w:r w:rsidR="00B837DC">
        <w:rPr>
          <w:rFonts w:ascii="Arial" w:hAnsi="Arial" w:cs="Arial"/>
          <w:sz w:val="22"/>
          <w:szCs w:val="22"/>
        </w:rPr>
        <w:t>ho majetku</w:t>
      </w:r>
      <w:r w:rsidR="00B837DC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6225830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6F640315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AD72B85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5BAD86EC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14:paraId="2B1E0472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Michal Dolejší</w:t>
      </w:r>
    </w:p>
    <w:p w14:paraId="399D54CB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63CABF3E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7417A302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49D57CBC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1E1F1FA0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Mrázková Miloslava</w:t>
      </w:r>
    </w:p>
    <w:p w14:paraId="2B0D031C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D3D15AD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1B7552C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7EF5A0B0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30227E91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365E599E" w14:textId="77777777" w:rsidR="00412D61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3E705B9" w14:textId="77777777" w:rsidR="00B07D09" w:rsidRDefault="00B07D09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A4A1FAB" w14:textId="77777777" w:rsidR="00B07D09" w:rsidRDefault="00B07D09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AB00CA1" w14:textId="77777777" w:rsidR="00B07D09" w:rsidRDefault="00B07D09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36F4091" w14:textId="77777777" w:rsidR="00B07D09" w:rsidRDefault="00B07D09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271A1F4" w14:textId="77777777" w:rsidR="00B07D09" w:rsidRDefault="00B07D09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D3FA9BF" w14:textId="77777777" w:rsidR="00B07D09" w:rsidRDefault="00B07D09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0361938" w14:textId="77777777" w:rsidR="00B07D09" w:rsidRDefault="00B07D09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1433AE1" w14:textId="77777777" w:rsidR="00B07D09" w:rsidRDefault="00B07D09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D89AFC5" w14:textId="77777777" w:rsidR="00B07D09" w:rsidRDefault="00B07D09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B27BA1F" w14:textId="77777777" w:rsidR="00B07D09" w:rsidRDefault="00B07D09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11A3A0D" w14:textId="77777777" w:rsidR="00B07D09" w:rsidRDefault="00B07D09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B353C8F" w14:textId="77777777" w:rsidR="00B07D09" w:rsidRDefault="00B07D09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6B7B24D" w14:textId="77777777" w:rsidR="00B07D09" w:rsidRDefault="00B07D09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697DCB4" w14:textId="77777777" w:rsidR="00B07D09" w:rsidRDefault="00B07D09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FF48115" w14:textId="77777777" w:rsidR="00B07D09" w:rsidRDefault="00B07D09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0B8605E" w14:textId="77777777" w:rsidR="00B07D09" w:rsidRDefault="00B07D09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EDD3F56" w14:textId="77777777" w:rsidR="00B07D09" w:rsidRDefault="00B07D09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C7CD71A" w14:textId="77777777" w:rsidR="00B07D09" w:rsidRPr="00BB196A" w:rsidRDefault="00B07D09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CA0CD2D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1FEC1BD4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3FF45DBF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1CBD380A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221B8E55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16301D49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4EE03B28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0B4A4BDF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3C4D516D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7D398AE6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392A4A0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4BC24665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77137A56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414939CA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313AE0A9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3AC98AE9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60E2EC7A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7C96EA5F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</w:t>
      </w:r>
      <w:proofErr w:type="gramStart"/>
      <w:r w:rsidRPr="00BB196A">
        <w:rPr>
          <w:rFonts w:ascii="Arial" w:hAnsi="Arial" w:cs="Arial"/>
          <w:sz w:val="22"/>
          <w:szCs w:val="22"/>
        </w:rPr>
        <w:t>…….</w:t>
      </w:r>
      <w:proofErr w:type="gramEnd"/>
      <w:r w:rsidRPr="00BB196A">
        <w:rPr>
          <w:rFonts w:ascii="Arial" w:hAnsi="Arial" w:cs="Arial"/>
          <w:sz w:val="22"/>
          <w:szCs w:val="22"/>
        </w:rPr>
        <w:t>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44AA277C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4EB9AC51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44148B53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B2569" w14:textId="77777777" w:rsidR="00B07D09" w:rsidRDefault="00B07D09">
      <w:r>
        <w:separator/>
      </w:r>
    </w:p>
  </w:endnote>
  <w:endnote w:type="continuationSeparator" w:id="0">
    <w:p w14:paraId="70CBE673" w14:textId="77777777" w:rsidR="00B07D09" w:rsidRDefault="00B0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B835" w14:textId="77777777" w:rsidR="00B07D09" w:rsidRDefault="00B07D09">
      <w:r>
        <w:separator/>
      </w:r>
    </w:p>
  </w:footnote>
  <w:footnote w:type="continuationSeparator" w:id="0">
    <w:p w14:paraId="67343ACB" w14:textId="77777777" w:rsidR="00B07D09" w:rsidRDefault="00B07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8088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35BE1"/>
    <w:rsid w:val="0005201B"/>
    <w:rsid w:val="000819CE"/>
    <w:rsid w:val="00091D88"/>
    <w:rsid w:val="000A2586"/>
    <w:rsid w:val="000D1989"/>
    <w:rsid w:val="000F3560"/>
    <w:rsid w:val="00105791"/>
    <w:rsid w:val="00110AFC"/>
    <w:rsid w:val="0011157B"/>
    <w:rsid w:val="0011459A"/>
    <w:rsid w:val="0015746A"/>
    <w:rsid w:val="0016544E"/>
    <w:rsid w:val="0017040C"/>
    <w:rsid w:val="001873DB"/>
    <w:rsid w:val="001A667F"/>
    <w:rsid w:val="001D0844"/>
    <w:rsid w:val="001D58B7"/>
    <w:rsid w:val="002055A2"/>
    <w:rsid w:val="00253C58"/>
    <w:rsid w:val="00271965"/>
    <w:rsid w:val="00273143"/>
    <w:rsid w:val="002750DE"/>
    <w:rsid w:val="00306105"/>
    <w:rsid w:val="0035287E"/>
    <w:rsid w:val="00371381"/>
    <w:rsid w:val="00391669"/>
    <w:rsid w:val="003916F3"/>
    <w:rsid w:val="003F7C07"/>
    <w:rsid w:val="00410C86"/>
    <w:rsid w:val="00412D61"/>
    <w:rsid w:val="0043604A"/>
    <w:rsid w:val="004C0CB6"/>
    <w:rsid w:val="004D056F"/>
    <w:rsid w:val="004F2747"/>
    <w:rsid w:val="00521DC2"/>
    <w:rsid w:val="0056566C"/>
    <w:rsid w:val="00572AE4"/>
    <w:rsid w:val="005F01A4"/>
    <w:rsid w:val="005F0FD7"/>
    <w:rsid w:val="00625710"/>
    <w:rsid w:val="00694205"/>
    <w:rsid w:val="006A1DC3"/>
    <w:rsid w:val="006B1B4E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37389"/>
    <w:rsid w:val="00A41998"/>
    <w:rsid w:val="00A723F9"/>
    <w:rsid w:val="00A807B7"/>
    <w:rsid w:val="00A92B9F"/>
    <w:rsid w:val="00AA7DF3"/>
    <w:rsid w:val="00AB397A"/>
    <w:rsid w:val="00AC09A0"/>
    <w:rsid w:val="00B07D09"/>
    <w:rsid w:val="00B56780"/>
    <w:rsid w:val="00B837DC"/>
    <w:rsid w:val="00B9483C"/>
    <w:rsid w:val="00BA0CC9"/>
    <w:rsid w:val="00BB196A"/>
    <w:rsid w:val="00BD69A7"/>
    <w:rsid w:val="00BE5AC3"/>
    <w:rsid w:val="00BF18A5"/>
    <w:rsid w:val="00C70A46"/>
    <w:rsid w:val="00C9419D"/>
    <w:rsid w:val="00CB4222"/>
    <w:rsid w:val="00CF17FD"/>
    <w:rsid w:val="00CF7B8B"/>
    <w:rsid w:val="00D04691"/>
    <w:rsid w:val="00DB23D0"/>
    <w:rsid w:val="00DE0D77"/>
    <w:rsid w:val="00E02678"/>
    <w:rsid w:val="00E643A3"/>
    <w:rsid w:val="00EC3E05"/>
    <w:rsid w:val="00F24B49"/>
    <w:rsid w:val="00F34F6C"/>
    <w:rsid w:val="00F37709"/>
    <w:rsid w:val="00F53E72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6BEA7"/>
  <w14:defaultImageDpi w14:val="0"/>
  <w15:docId w15:val="{416354CE-31D2-444D-9B36-E545C8B8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06105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1039</Words>
  <Characters>6471</Characters>
  <Application>Microsoft Office Word</Application>
  <DocSecurity>0</DocSecurity>
  <Lines>53</Lines>
  <Paragraphs>14</Paragraphs>
  <ScaleCrop>false</ScaleCrop>
  <Company>Pozemkový Fond ČR</Company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Mrázková Miloslava</dc:creator>
  <cp:keywords/>
  <dc:description/>
  <cp:lastModifiedBy>Mrázková Miloslava</cp:lastModifiedBy>
  <cp:revision>5</cp:revision>
  <cp:lastPrinted>2003-04-28T06:39:00Z</cp:lastPrinted>
  <dcterms:created xsi:type="dcterms:W3CDTF">2024-03-11T11:55:00Z</dcterms:created>
  <dcterms:modified xsi:type="dcterms:W3CDTF">2024-04-17T08:45:00Z</dcterms:modified>
</cp:coreProperties>
</file>