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D36" w14:textId="044CB2D0" w:rsidR="007772E2" w:rsidRPr="00815E1D" w:rsidRDefault="007772E2" w:rsidP="007772E2">
      <w:pPr>
        <w:pStyle w:val="Nzev"/>
        <w:rPr>
          <w:rFonts w:ascii="Arial" w:hAnsi="Arial"/>
          <w:sz w:val="24"/>
          <w:szCs w:val="24"/>
        </w:rPr>
      </w:pPr>
      <w:r w:rsidRPr="00815E1D">
        <w:rPr>
          <w:rFonts w:ascii="Arial" w:hAnsi="Arial"/>
          <w:sz w:val="24"/>
          <w:szCs w:val="24"/>
        </w:rPr>
        <w:t xml:space="preserve">DODATEK Č. </w:t>
      </w:r>
      <w:r w:rsidR="007634EE">
        <w:rPr>
          <w:rFonts w:ascii="Arial" w:hAnsi="Arial"/>
          <w:sz w:val="24"/>
          <w:szCs w:val="24"/>
        </w:rPr>
        <w:t>3</w:t>
      </w:r>
      <w:r w:rsidRPr="00815E1D">
        <w:rPr>
          <w:rFonts w:ascii="Arial" w:hAnsi="Arial"/>
          <w:sz w:val="24"/>
          <w:szCs w:val="24"/>
        </w:rPr>
        <w:t xml:space="preserve"> SMLOUVY O DÍLO</w:t>
      </w:r>
    </w:p>
    <w:p w14:paraId="63CF85BA" w14:textId="6D966163" w:rsidR="007772E2" w:rsidRPr="00815E1D" w:rsidRDefault="007772E2" w:rsidP="007772E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815E1D">
        <w:rPr>
          <w:rFonts w:ascii="Arial" w:hAnsi="Arial" w:cs="Arial"/>
          <w:b/>
          <w:bCs/>
        </w:rPr>
        <w:t xml:space="preserve">č. </w:t>
      </w:r>
      <w:r w:rsidRPr="007772E2">
        <w:rPr>
          <w:rFonts w:ascii="Arial" w:hAnsi="Arial" w:cs="Arial"/>
          <w:b/>
          <w:bCs/>
        </w:rPr>
        <w:t>1201-2022-505101</w:t>
      </w:r>
    </w:p>
    <w:p w14:paraId="2B4A2D2D" w14:textId="77777777" w:rsidR="007772E2" w:rsidRPr="00815E1D" w:rsidRDefault="007772E2" w:rsidP="007772E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815E1D">
        <w:rPr>
          <w:rFonts w:ascii="Arial" w:hAnsi="Arial" w:cs="Arial"/>
          <w:b/>
          <w:bCs/>
        </w:rPr>
        <w:t>(dále jen „Dodatek“)</w:t>
      </w:r>
    </w:p>
    <w:p w14:paraId="57B3F3CF" w14:textId="747779A0" w:rsidR="007772E2" w:rsidRDefault="00643A8D" w:rsidP="007772E2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>
        <w:rPr>
          <w:rFonts w:ascii="Arial" w:hAnsi="Arial" w:cs="Arial"/>
          <w:b/>
          <w:bCs/>
          <w:color w:val="auto"/>
          <w:lang w:val="cs-CZ" w:eastAsia="en-US"/>
        </w:rPr>
        <w:t>u</w:t>
      </w:r>
      <w:r w:rsidR="007772E2" w:rsidRPr="00815E1D">
        <w:rPr>
          <w:rFonts w:ascii="Arial" w:hAnsi="Arial" w:cs="Arial"/>
          <w:b/>
          <w:bCs/>
          <w:color w:val="auto"/>
          <w:lang w:val="cs-CZ" w:eastAsia="en-US"/>
        </w:rPr>
        <w:t>zavřený</w:t>
      </w:r>
    </w:p>
    <w:p w14:paraId="4C04C45F" w14:textId="77777777" w:rsidR="00643A8D" w:rsidRPr="00E9290A" w:rsidRDefault="00643A8D" w:rsidP="00643A8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77777777" w:rsidR="00E0086F" w:rsidRPr="00BF554C" w:rsidRDefault="00E0086F" w:rsidP="00FB1CD3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779FE9A3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>, 130 00 Praha 3 – Žižkov, IČO: 01312774, Krajský pozemkový úřad pro</w:t>
      </w:r>
      <w:r w:rsidR="00684752">
        <w:rPr>
          <w:rFonts w:ascii="Arial" w:hAnsi="Arial" w:cs="Arial"/>
        </w:rPr>
        <w:t xml:space="preserve"> </w:t>
      </w:r>
      <w:r w:rsidR="00684752" w:rsidRPr="00023AB7">
        <w:rPr>
          <w:rFonts w:ascii="Arial" w:hAnsi="Arial" w:cs="Arial"/>
        </w:rPr>
        <w:t>Jihočeský kraj, na adrese Rudolfovská 80, 370 01 České Budějovice.</w:t>
      </w:r>
    </w:p>
    <w:p w14:paraId="24D5D355" w14:textId="77777777" w:rsidR="003953F4" w:rsidRPr="00023AB7" w:rsidRDefault="003953F4" w:rsidP="003953F4">
      <w:pPr>
        <w:spacing w:after="60"/>
        <w:ind w:left="567"/>
        <w:jc w:val="both"/>
        <w:rPr>
          <w:rFonts w:ascii="Arial" w:hAnsi="Arial" w:cs="Arial"/>
        </w:rPr>
      </w:pPr>
      <w:r w:rsidRPr="40F02A98">
        <w:rPr>
          <w:rFonts w:ascii="Arial" w:hAnsi="Arial" w:cs="Arial"/>
        </w:rPr>
        <w:t xml:space="preserve">Zastoupená: </w:t>
      </w:r>
      <w:r>
        <w:tab/>
      </w:r>
      <w:r>
        <w:tab/>
      </w:r>
      <w:r>
        <w:tab/>
      </w:r>
      <w:r>
        <w:tab/>
      </w:r>
      <w:r>
        <w:tab/>
      </w:r>
      <w:r w:rsidRPr="40F02A98">
        <w:rPr>
          <w:rFonts w:ascii="Arial" w:hAnsi="Arial" w:cs="Arial"/>
        </w:rPr>
        <w:t xml:space="preserve">Ing. Evou </w:t>
      </w:r>
      <w:proofErr w:type="spellStart"/>
      <w:r w:rsidRPr="40F02A98">
        <w:rPr>
          <w:rFonts w:ascii="Arial" w:hAnsi="Arial" w:cs="Arial"/>
        </w:rPr>
        <w:t>Schmidtmajerovou</w:t>
      </w:r>
      <w:proofErr w:type="spellEnd"/>
      <w:r w:rsidRPr="40F02A98">
        <w:rPr>
          <w:rFonts w:ascii="Arial" w:hAnsi="Arial" w:cs="Arial"/>
        </w:rPr>
        <w:t xml:space="preserve">, CSc., ředitelkou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0F02A98">
        <w:rPr>
          <w:rFonts w:ascii="Arial" w:hAnsi="Arial" w:cs="Arial"/>
        </w:rPr>
        <w:t>Krajského pozemkového úřadu pro Jihočeský kraj</w:t>
      </w:r>
    </w:p>
    <w:p w14:paraId="3A19225F" w14:textId="77777777" w:rsidR="003953F4" w:rsidRPr="00023AB7" w:rsidRDefault="003953F4" w:rsidP="003953F4">
      <w:pPr>
        <w:spacing w:after="60"/>
        <w:ind w:left="567"/>
        <w:jc w:val="both"/>
        <w:rPr>
          <w:rFonts w:ascii="Arial" w:hAnsi="Arial" w:cs="Arial"/>
        </w:rPr>
      </w:pPr>
      <w:r w:rsidRPr="00023AB7">
        <w:rPr>
          <w:rFonts w:ascii="Arial" w:hAnsi="Arial" w:cs="Arial"/>
        </w:rPr>
        <w:t xml:space="preserve">Ve smluvních záležitostech zastoupená: </w:t>
      </w:r>
      <w:r w:rsidRPr="00023AB7">
        <w:rPr>
          <w:rFonts w:ascii="Arial" w:hAnsi="Arial" w:cs="Arial"/>
        </w:rPr>
        <w:tab/>
        <w:t xml:space="preserve">Ing. Evou </w:t>
      </w:r>
      <w:proofErr w:type="spellStart"/>
      <w:r w:rsidRPr="00023AB7">
        <w:rPr>
          <w:rFonts w:ascii="Arial" w:hAnsi="Arial" w:cs="Arial"/>
        </w:rPr>
        <w:t>Schmidtmajerovou</w:t>
      </w:r>
      <w:proofErr w:type="spellEnd"/>
      <w:r w:rsidRPr="00023AB7">
        <w:rPr>
          <w:rFonts w:ascii="Arial" w:hAnsi="Arial" w:cs="Arial"/>
        </w:rPr>
        <w:t xml:space="preserve">, CSc., ředitelkou </w:t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  <w:t>Krajského pozemkového úřadu pro Jihočeský kraj</w:t>
      </w:r>
    </w:p>
    <w:p w14:paraId="71485CB8" w14:textId="77777777" w:rsidR="003953F4" w:rsidRDefault="003953F4" w:rsidP="003953F4">
      <w:pPr>
        <w:spacing w:after="0"/>
        <w:ind w:left="4962" w:hanging="4395"/>
        <w:jc w:val="both"/>
        <w:rPr>
          <w:rFonts w:ascii="Arial" w:hAnsi="Arial" w:cs="Arial"/>
        </w:rPr>
      </w:pPr>
      <w:r w:rsidRPr="00023AB7">
        <w:rPr>
          <w:rFonts w:ascii="Arial" w:hAnsi="Arial" w:cs="Arial"/>
        </w:rPr>
        <w:t xml:space="preserve">V technických záležitostech zastoupená: </w:t>
      </w:r>
      <w:r w:rsidRPr="00023AB7">
        <w:rPr>
          <w:rFonts w:ascii="Arial" w:hAnsi="Arial" w:cs="Arial"/>
        </w:rPr>
        <w:tab/>
      </w:r>
      <w:r w:rsidRPr="0025376F">
        <w:rPr>
          <w:rFonts w:ascii="Arial" w:hAnsi="Arial" w:cs="Arial"/>
        </w:rPr>
        <w:t>Ing. Jaroslav</w:t>
      </w:r>
      <w:r>
        <w:rPr>
          <w:rFonts w:ascii="Arial" w:hAnsi="Arial" w:cs="Arial"/>
        </w:rPr>
        <w:t>ou</w:t>
      </w:r>
      <w:r w:rsidRPr="0025376F">
        <w:rPr>
          <w:rFonts w:ascii="Arial" w:hAnsi="Arial" w:cs="Arial"/>
        </w:rPr>
        <w:t xml:space="preserve"> </w:t>
      </w:r>
      <w:proofErr w:type="spellStart"/>
      <w:r w:rsidRPr="0025376F">
        <w:rPr>
          <w:rFonts w:ascii="Arial" w:hAnsi="Arial" w:cs="Arial"/>
        </w:rPr>
        <w:t>Khekov</w:t>
      </w:r>
      <w:r>
        <w:rPr>
          <w:rFonts w:ascii="Arial" w:hAnsi="Arial" w:cs="Arial"/>
        </w:rPr>
        <w:t>ou</w:t>
      </w:r>
      <w:proofErr w:type="spellEnd"/>
      <w:r w:rsidRPr="00023AB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ab/>
        <w:t xml:space="preserve">Pobočky             Písek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339D613C" w14:textId="77777777" w:rsidR="000A5559" w:rsidRPr="00023AB7" w:rsidRDefault="000A5559" w:rsidP="000A5559">
      <w:pPr>
        <w:spacing w:after="0"/>
        <w:ind w:left="567"/>
        <w:jc w:val="both"/>
        <w:rPr>
          <w:rFonts w:ascii="Arial" w:hAnsi="Arial" w:cs="Arial"/>
        </w:rPr>
      </w:pPr>
      <w:r w:rsidRPr="00023AB7">
        <w:rPr>
          <w:rFonts w:ascii="Arial" w:hAnsi="Arial" w:cs="Arial"/>
        </w:rPr>
        <w:t>Adresa:</w:t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0786">
        <w:rPr>
          <w:rFonts w:ascii="Arial" w:hAnsi="Arial" w:cs="Arial"/>
        </w:rPr>
        <w:t>Nádražní 1988</w:t>
      </w:r>
      <w:r>
        <w:rPr>
          <w:rFonts w:ascii="Arial" w:hAnsi="Arial" w:cs="Arial"/>
        </w:rPr>
        <w:t xml:space="preserve">, </w:t>
      </w:r>
      <w:r w:rsidRPr="00400786">
        <w:rPr>
          <w:rFonts w:ascii="Arial" w:hAnsi="Arial" w:cs="Arial"/>
        </w:rPr>
        <w:t>397</w:t>
      </w:r>
      <w:r>
        <w:rPr>
          <w:rFonts w:ascii="Arial" w:hAnsi="Arial" w:cs="Arial"/>
        </w:rPr>
        <w:t xml:space="preserve"> </w:t>
      </w:r>
      <w:r w:rsidRPr="00400786">
        <w:rPr>
          <w:rFonts w:ascii="Arial" w:hAnsi="Arial" w:cs="Arial"/>
        </w:rPr>
        <w:t>01 Písek</w:t>
      </w:r>
    </w:p>
    <w:p w14:paraId="37A81144" w14:textId="77777777" w:rsidR="000A5559" w:rsidRPr="00023AB7" w:rsidRDefault="000A5559" w:rsidP="000A5559">
      <w:pPr>
        <w:spacing w:after="0"/>
        <w:ind w:left="567"/>
        <w:jc w:val="both"/>
        <w:rPr>
          <w:rFonts w:ascii="Arial" w:hAnsi="Arial" w:cs="Arial"/>
        </w:rPr>
      </w:pPr>
      <w:r w:rsidRPr="00023AB7">
        <w:rPr>
          <w:rFonts w:ascii="Arial" w:hAnsi="Arial" w:cs="Arial"/>
        </w:rPr>
        <w:t xml:space="preserve">Tel.: </w:t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3AB7">
        <w:rPr>
          <w:rFonts w:ascii="Arial" w:hAnsi="Arial" w:cs="Arial"/>
        </w:rPr>
        <w:t xml:space="preserve">+ </w:t>
      </w:r>
      <w:r w:rsidRPr="00400786">
        <w:rPr>
          <w:rFonts w:ascii="Arial" w:hAnsi="Arial" w:cs="Arial"/>
        </w:rPr>
        <w:t xml:space="preserve">420 </w:t>
      </w:r>
      <w:hyperlink r:id="rId13" w:history="1">
        <w:r w:rsidRPr="00400786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725 919 787</w:t>
        </w:r>
      </w:hyperlink>
    </w:p>
    <w:p w14:paraId="45AB28B5" w14:textId="77777777" w:rsidR="000A5559" w:rsidRPr="00023AB7" w:rsidRDefault="000A5559" w:rsidP="000A5559">
      <w:pPr>
        <w:spacing w:after="0"/>
        <w:ind w:left="567"/>
        <w:jc w:val="both"/>
        <w:rPr>
          <w:rFonts w:ascii="Arial" w:hAnsi="Arial" w:cs="Arial"/>
        </w:rPr>
      </w:pPr>
      <w:r w:rsidRPr="00023AB7">
        <w:rPr>
          <w:rFonts w:ascii="Arial" w:hAnsi="Arial" w:cs="Arial"/>
        </w:rPr>
        <w:t>E-mail:</w:t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pisek</w:t>
      </w:r>
      <w:r w:rsidRPr="00023AB7">
        <w:rPr>
          <w:rFonts w:ascii="Arial" w:hAnsi="Arial" w:cs="Arial"/>
        </w:rPr>
        <w:t xml:space="preserve">.pk@spucr.cz </w:t>
      </w:r>
    </w:p>
    <w:p w14:paraId="52457AC6" w14:textId="77777777" w:rsidR="000A5559" w:rsidRPr="00023AB7" w:rsidRDefault="000A5559" w:rsidP="000A5559">
      <w:pPr>
        <w:spacing w:after="0"/>
        <w:ind w:left="567"/>
        <w:jc w:val="both"/>
        <w:rPr>
          <w:rFonts w:ascii="Arial" w:hAnsi="Arial" w:cs="Arial"/>
        </w:rPr>
      </w:pPr>
      <w:r w:rsidRPr="00023AB7">
        <w:rPr>
          <w:rFonts w:ascii="Arial" w:hAnsi="Arial" w:cs="Arial"/>
        </w:rPr>
        <w:t xml:space="preserve">ID datové schránky: </w:t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3AB7">
        <w:rPr>
          <w:rFonts w:ascii="Arial" w:hAnsi="Arial" w:cs="Arial"/>
        </w:rPr>
        <w:t>z49per3</w:t>
      </w:r>
    </w:p>
    <w:p w14:paraId="14F6A5D5" w14:textId="77777777" w:rsidR="000A5559" w:rsidRDefault="000A5559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</w:p>
    <w:p w14:paraId="7341B31E" w14:textId="4B62F5F5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 w:rsidR="004D6EEF">
        <w:rPr>
          <w:rFonts w:ascii="Arial" w:hAnsi="Arial" w:cs="Arial"/>
        </w:rPr>
        <w:tab/>
      </w:r>
      <w:r w:rsidR="004D6EEF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8E9586A" w14:textId="77777777" w:rsidR="004D6EEF" w:rsidRPr="00023AB7" w:rsidRDefault="004D6EEF" w:rsidP="004D6EEF">
      <w:pPr>
        <w:spacing w:after="0"/>
        <w:ind w:left="567"/>
        <w:jc w:val="both"/>
        <w:rPr>
          <w:rFonts w:ascii="Arial" w:hAnsi="Arial" w:cs="Arial"/>
        </w:rPr>
      </w:pPr>
      <w:r w:rsidRPr="00023AB7">
        <w:rPr>
          <w:rFonts w:ascii="Arial" w:hAnsi="Arial" w:cs="Arial"/>
        </w:rPr>
        <w:t xml:space="preserve">Číslo účtu: </w:t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3AB7">
        <w:rPr>
          <w:rFonts w:ascii="Arial" w:hAnsi="Arial" w:cs="Arial"/>
        </w:rPr>
        <w:t>3723001/0710</w:t>
      </w:r>
    </w:p>
    <w:p w14:paraId="6AF1A702" w14:textId="77777777" w:rsidR="004D6EEF" w:rsidRPr="00023AB7" w:rsidRDefault="004D6EEF" w:rsidP="004D6EEF">
      <w:pPr>
        <w:spacing w:after="0"/>
        <w:ind w:left="567"/>
        <w:jc w:val="both"/>
        <w:rPr>
          <w:rFonts w:ascii="Arial" w:hAnsi="Arial" w:cs="Arial"/>
        </w:rPr>
      </w:pPr>
      <w:r w:rsidRPr="00023AB7">
        <w:rPr>
          <w:rFonts w:ascii="Arial" w:hAnsi="Arial" w:cs="Arial"/>
        </w:rPr>
        <w:t xml:space="preserve">DIČ: </w:t>
      </w:r>
      <w:r w:rsidRPr="00023AB7">
        <w:rPr>
          <w:rFonts w:ascii="Arial" w:hAnsi="Arial" w:cs="Arial"/>
        </w:rPr>
        <w:tab/>
      </w:r>
      <w:r w:rsidRPr="00023A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3AB7">
        <w:rPr>
          <w:rFonts w:ascii="Arial" w:hAnsi="Arial" w:cs="Arial"/>
        </w:rPr>
        <w:t>CZ01312774 (není plátce DPH)</w:t>
      </w:r>
    </w:p>
    <w:p w14:paraId="2C7E241C" w14:textId="77777777" w:rsidR="00E0086F" w:rsidRPr="00BF554C" w:rsidRDefault="00E0086F" w:rsidP="004D6EEF">
      <w:pPr>
        <w:spacing w:before="120" w:after="120"/>
        <w:ind w:left="4536" w:right="1418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74FFBBCC" w:rsidR="00E0086F" w:rsidRPr="00542856" w:rsidRDefault="00542856" w:rsidP="00542856">
      <w:pPr>
        <w:pStyle w:val="Odstavecseseznamem"/>
        <w:numPr>
          <w:ilvl w:val="0"/>
          <w:numId w:val="13"/>
        </w:numPr>
        <w:ind w:left="567" w:hanging="567"/>
        <w:rPr>
          <w:rFonts w:ascii="Arial" w:hAnsi="Arial" w:cs="Arial"/>
          <w:b/>
        </w:rPr>
      </w:pPr>
      <w:r w:rsidRPr="0071485A">
        <w:rPr>
          <w:rFonts w:ascii="Arial" w:hAnsi="Arial" w:cs="Arial"/>
          <w:b/>
        </w:rPr>
        <w:t>POZEMKOVÉ ÚPRAVY K+V s.r.o.</w:t>
      </w:r>
    </w:p>
    <w:p w14:paraId="1AD2C506" w14:textId="6E0FC726" w:rsidR="009B2F12" w:rsidRPr="00CF096D" w:rsidRDefault="00E0086F" w:rsidP="009B2F12">
      <w:pPr>
        <w:spacing w:after="6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</w:t>
      </w:r>
      <w:r w:rsidR="00D04D66" w:rsidRPr="00742C62">
        <w:rPr>
          <w:rFonts w:ascii="Arial" w:hAnsi="Arial" w:cs="Arial"/>
        </w:rPr>
        <w:t>[České republiky],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Cs/>
        </w:rPr>
        <w:t>se sídlem</w:t>
      </w:r>
      <w:r w:rsidR="00EA799B">
        <w:rPr>
          <w:rFonts w:ascii="Arial" w:hAnsi="Arial" w:cs="Arial"/>
          <w:snapToGrid w:val="0"/>
        </w:rPr>
        <w:t xml:space="preserve"> </w:t>
      </w:r>
      <w:r w:rsidR="00EA799B" w:rsidRPr="003E311C">
        <w:rPr>
          <w:rFonts w:ascii="Arial" w:hAnsi="Arial" w:cs="Arial"/>
          <w:bCs/>
        </w:rPr>
        <w:t>Plachého 40, 301 00 Plzeň,</w:t>
      </w:r>
      <w:r w:rsidR="00EA799B" w:rsidRPr="003E311C">
        <w:rPr>
          <w:rFonts w:ascii="Arial" w:hAnsi="Arial" w:cs="Arial"/>
          <w:snapToGrid w:val="0"/>
        </w:rPr>
        <w:t xml:space="preserve"> IČO: 29099323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9B2F12" w:rsidRPr="003E311C">
        <w:rPr>
          <w:rFonts w:ascii="Arial" w:hAnsi="Arial" w:cs="Arial"/>
          <w:snapToGrid w:val="0"/>
        </w:rPr>
        <w:t>Krajského soudu v Plzni, oddíl C, vložka 24674.</w:t>
      </w:r>
    </w:p>
    <w:p w14:paraId="505F1E4B" w14:textId="77777777" w:rsidR="005C6F9E" w:rsidRPr="0066054E" w:rsidRDefault="005C6F9E" w:rsidP="005C6F9E">
      <w:pPr>
        <w:spacing w:after="60"/>
        <w:ind w:left="567"/>
        <w:rPr>
          <w:rFonts w:ascii="Arial" w:hAnsi="Arial" w:cs="Arial"/>
          <w:bCs/>
        </w:rPr>
      </w:pPr>
      <w:r w:rsidRPr="0066054E">
        <w:rPr>
          <w:rFonts w:ascii="Arial" w:hAnsi="Arial" w:cs="Arial"/>
          <w:snapToGrid w:val="0"/>
        </w:rPr>
        <w:t xml:space="preserve">Zastoupená: </w:t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  <w:snapToGrid w:val="0"/>
        </w:rPr>
        <w:tab/>
        <w:t>Mgr. Barborou Salátovou, jednatelkou</w:t>
      </w:r>
    </w:p>
    <w:p w14:paraId="6C1A08C6" w14:textId="77777777" w:rsidR="005C6F9E" w:rsidRDefault="005C6F9E" w:rsidP="005C6F9E">
      <w:pPr>
        <w:spacing w:after="0"/>
        <w:ind w:left="567"/>
        <w:jc w:val="both"/>
        <w:rPr>
          <w:rFonts w:ascii="Arial" w:hAnsi="Arial" w:cs="Arial"/>
          <w:bCs/>
        </w:rPr>
      </w:pPr>
      <w:r w:rsidRPr="0066054E">
        <w:rPr>
          <w:rFonts w:ascii="Arial" w:hAnsi="Arial" w:cs="Arial"/>
        </w:rPr>
        <w:t>Ve smluvních záležitostech zastoupená</w:t>
      </w:r>
      <w:r w:rsidRPr="0066054E">
        <w:rPr>
          <w:rFonts w:ascii="Arial" w:hAnsi="Arial" w:cs="Arial"/>
          <w:bCs/>
        </w:rPr>
        <w:t xml:space="preserve">: </w:t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  <w:bCs/>
        </w:rPr>
        <w:t>Mgr. Barbor</w:t>
      </w:r>
      <w:r>
        <w:rPr>
          <w:rFonts w:ascii="Arial" w:hAnsi="Arial" w:cs="Arial"/>
          <w:bCs/>
        </w:rPr>
        <w:t>ou</w:t>
      </w:r>
      <w:r w:rsidRPr="0066054E">
        <w:rPr>
          <w:rFonts w:ascii="Arial" w:hAnsi="Arial" w:cs="Arial"/>
          <w:bCs/>
        </w:rPr>
        <w:t xml:space="preserve"> Saláto</w:t>
      </w:r>
      <w:r>
        <w:rPr>
          <w:rFonts w:ascii="Arial" w:hAnsi="Arial" w:cs="Arial"/>
          <w:bCs/>
        </w:rPr>
        <w:t>vou</w:t>
      </w:r>
      <w:r w:rsidRPr="0066054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66054E">
        <w:rPr>
          <w:rFonts w:ascii="Arial" w:hAnsi="Arial" w:cs="Arial"/>
          <w:snapToGrid w:val="0"/>
        </w:rPr>
        <w:t>jednatelkou</w:t>
      </w:r>
      <w:r w:rsidRPr="0066054E">
        <w:rPr>
          <w:rFonts w:ascii="Arial" w:hAnsi="Arial" w:cs="Arial"/>
          <w:bCs/>
        </w:rPr>
        <w:t xml:space="preserve"> </w:t>
      </w:r>
    </w:p>
    <w:p w14:paraId="3DCF727D" w14:textId="77777777" w:rsidR="005C6F9E" w:rsidRPr="0066054E" w:rsidRDefault="005C6F9E" w:rsidP="005C6F9E">
      <w:pPr>
        <w:spacing w:after="60"/>
        <w:ind w:left="4820" w:firstLine="142"/>
        <w:jc w:val="both"/>
        <w:rPr>
          <w:rFonts w:ascii="Arial" w:hAnsi="Arial" w:cs="Arial"/>
        </w:rPr>
      </w:pPr>
      <w:r w:rsidRPr="0066054E">
        <w:rPr>
          <w:rFonts w:ascii="Arial" w:hAnsi="Arial" w:cs="Arial"/>
          <w:bCs/>
        </w:rPr>
        <w:t>Ing. Helen</w:t>
      </w:r>
      <w:r>
        <w:rPr>
          <w:rFonts w:ascii="Arial" w:hAnsi="Arial" w:cs="Arial"/>
          <w:bCs/>
        </w:rPr>
        <w:t>ou</w:t>
      </w:r>
      <w:r w:rsidRPr="0066054E">
        <w:rPr>
          <w:rFonts w:ascii="Arial" w:hAnsi="Arial" w:cs="Arial"/>
          <w:bCs/>
        </w:rPr>
        <w:t xml:space="preserve"> Krauso</w:t>
      </w:r>
      <w:r>
        <w:rPr>
          <w:rFonts w:ascii="Arial" w:hAnsi="Arial" w:cs="Arial"/>
          <w:bCs/>
        </w:rPr>
        <w:t xml:space="preserve">vou, </w:t>
      </w:r>
      <w:r w:rsidRPr="0066054E">
        <w:rPr>
          <w:rFonts w:ascii="Arial" w:hAnsi="Arial" w:cs="Arial"/>
          <w:snapToGrid w:val="0"/>
        </w:rPr>
        <w:t>jednatelkou</w:t>
      </w:r>
    </w:p>
    <w:p w14:paraId="5A68083D" w14:textId="6563E64A" w:rsidR="005C6F9E" w:rsidRDefault="005C6F9E" w:rsidP="005C6F9E">
      <w:pPr>
        <w:tabs>
          <w:tab w:val="left" w:pos="4536"/>
        </w:tabs>
        <w:spacing w:after="0"/>
        <w:ind w:left="4961" w:hanging="4394"/>
        <w:rPr>
          <w:rFonts w:ascii="Arial" w:hAnsi="Arial" w:cs="Arial"/>
        </w:rPr>
      </w:pPr>
      <w:r w:rsidRPr="0066054E">
        <w:rPr>
          <w:rFonts w:ascii="Arial" w:hAnsi="Arial" w:cs="Arial"/>
        </w:rPr>
        <w:t xml:space="preserve">V technických záležitostech zastoupená: </w:t>
      </w:r>
      <w:r w:rsidRPr="0066054E">
        <w:rPr>
          <w:rFonts w:ascii="Arial" w:hAnsi="Arial" w:cs="Arial"/>
          <w:snapToGrid w:val="0"/>
        </w:rPr>
        <w:tab/>
      </w:r>
      <w:proofErr w:type="spellStart"/>
      <w:r w:rsidR="002258F2">
        <w:rPr>
          <w:rFonts w:ascii="Arial" w:hAnsi="Arial" w:cs="Arial"/>
        </w:rPr>
        <w:t>xxxx</w:t>
      </w:r>
      <w:proofErr w:type="spellEnd"/>
      <w:r w:rsidRPr="0066054E">
        <w:rPr>
          <w:rFonts w:ascii="Arial" w:hAnsi="Arial" w:cs="Arial"/>
        </w:rPr>
        <w:t xml:space="preserve"> </w:t>
      </w:r>
    </w:p>
    <w:p w14:paraId="6410FC67" w14:textId="489A61A2" w:rsidR="005C6F9E" w:rsidRDefault="005C6F9E" w:rsidP="005C6F9E">
      <w:pPr>
        <w:tabs>
          <w:tab w:val="left" w:pos="4536"/>
        </w:tabs>
        <w:spacing w:after="0"/>
        <w:ind w:left="4961" w:hanging="439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258F2">
        <w:rPr>
          <w:rFonts w:ascii="Arial" w:hAnsi="Arial" w:cs="Arial"/>
        </w:rPr>
        <w:t>xxxx</w:t>
      </w:r>
      <w:proofErr w:type="spellEnd"/>
      <w:r w:rsidRPr="0066054E">
        <w:rPr>
          <w:rFonts w:ascii="Arial" w:hAnsi="Arial" w:cs="Arial"/>
        </w:rPr>
        <w:t xml:space="preserve"> </w:t>
      </w:r>
      <w:r w:rsidRPr="0066054E">
        <w:rPr>
          <w:rFonts w:ascii="Arial" w:hAnsi="Arial" w:cs="Arial"/>
        </w:rPr>
        <w:tab/>
      </w:r>
      <w:r w:rsidRPr="0066054E">
        <w:rPr>
          <w:rFonts w:ascii="Arial" w:hAnsi="Arial" w:cs="Arial"/>
        </w:rPr>
        <w:tab/>
      </w:r>
    </w:p>
    <w:p w14:paraId="7AAFD900" w14:textId="52B648BE" w:rsidR="005C6F9E" w:rsidRDefault="005C6F9E" w:rsidP="005C6F9E">
      <w:pPr>
        <w:tabs>
          <w:tab w:val="left" w:pos="4536"/>
        </w:tabs>
        <w:spacing w:after="0"/>
        <w:ind w:left="4961" w:hanging="439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258F2">
        <w:rPr>
          <w:rFonts w:ascii="Arial" w:hAnsi="Arial" w:cs="Arial"/>
        </w:rPr>
        <w:t>xxxx</w:t>
      </w:r>
      <w:proofErr w:type="spellEnd"/>
      <w:r w:rsidRPr="0066054E">
        <w:rPr>
          <w:rFonts w:ascii="Arial" w:hAnsi="Arial" w:cs="Arial"/>
        </w:rPr>
        <w:t xml:space="preserve"> </w:t>
      </w:r>
    </w:p>
    <w:p w14:paraId="4724D02F" w14:textId="40B86C46" w:rsidR="005C6F9E" w:rsidRPr="0066054E" w:rsidRDefault="005C6F9E" w:rsidP="005C6F9E">
      <w:pPr>
        <w:tabs>
          <w:tab w:val="left" w:pos="4536"/>
        </w:tabs>
        <w:spacing w:after="0"/>
        <w:ind w:left="4961" w:hanging="439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258F2">
        <w:rPr>
          <w:rFonts w:ascii="Arial" w:hAnsi="Arial" w:cs="Arial"/>
        </w:rPr>
        <w:t>xxxx</w:t>
      </w:r>
      <w:proofErr w:type="spellEnd"/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3713C8EC" w14:textId="6FBA527B" w:rsidR="000A0F70" w:rsidRPr="0066054E" w:rsidRDefault="000A0F70" w:rsidP="000A0F7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6054E">
        <w:rPr>
          <w:rFonts w:ascii="Arial" w:hAnsi="Arial" w:cs="Arial"/>
        </w:rPr>
        <w:t xml:space="preserve">Tel.: </w:t>
      </w:r>
      <w:r w:rsidRPr="0066054E">
        <w:rPr>
          <w:rFonts w:ascii="Arial" w:hAnsi="Arial" w:cs="Arial"/>
        </w:rPr>
        <w:tab/>
      </w:r>
      <w:r w:rsidRPr="0066054E">
        <w:rPr>
          <w:rFonts w:ascii="Arial" w:hAnsi="Arial" w:cs="Arial"/>
        </w:rPr>
        <w:tab/>
      </w:r>
      <w:proofErr w:type="spellStart"/>
      <w:r w:rsidR="002258F2">
        <w:rPr>
          <w:rFonts w:ascii="Arial" w:hAnsi="Arial" w:cs="Arial"/>
        </w:rPr>
        <w:t>xxxx</w:t>
      </w:r>
      <w:proofErr w:type="spellEnd"/>
    </w:p>
    <w:p w14:paraId="0D0FCBDF" w14:textId="70C94C4D" w:rsidR="000A0F70" w:rsidRPr="0066054E" w:rsidRDefault="000A0F70" w:rsidP="000A0F7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6054E">
        <w:rPr>
          <w:rFonts w:ascii="Arial" w:hAnsi="Arial" w:cs="Arial"/>
        </w:rPr>
        <w:t>E-mail:</w:t>
      </w:r>
      <w:r w:rsidRPr="0066054E">
        <w:rPr>
          <w:rFonts w:ascii="Arial" w:hAnsi="Arial" w:cs="Arial"/>
          <w:snapToGrid w:val="0"/>
        </w:rPr>
        <w:t xml:space="preserve"> </w:t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  <w:snapToGrid w:val="0"/>
        </w:rPr>
        <w:tab/>
      </w:r>
      <w:proofErr w:type="spellStart"/>
      <w:r w:rsidR="002258F2">
        <w:rPr>
          <w:rFonts w:ascii="Arial" w:hAnsi="Arial" w:cs="Arial"/>
        </w:rPr>
        <w:t>xxxx</w:t>
      </w:r>
      <w:proofErr w:type="spellEnd"/>
    </w:p>
    <w:p w14:paraId="320CDE17" w14:textId="77777777" w:rsidR="000A0F70" w:rsidRPr="0066054E" w:rsidRDefault="000A0F70" w:rsidP="000A0F70">
      <w:pPr>
        <w:spacing w:after="120"/>
        <w:ind w:left="567"/>
        <w:jc w:val="both"/>
        <w:rPr>
          <w:rFonts w:ascii="Arial" w:hAnsi="Arial" w:cs="Arial"/>
        </w:rPr>
      </w:pPr>
      <w:r w:rsidRPr="0066054E">
        <w:rPr>
          <w:rFonts w:ascii="Arial" w:hAnsi="Arial" w:cs="Arial"/>
        </w:rPr>
        <w:t>ID datové schránky:</w:t>
      </w:r>
      <w:r w:rsidRPr="0066054E">
        <w:rPr>
          <w:rFonts w:ascii="Arial" w:hAnsi="Arial" w:cs="Arial"/>
          <w:snapToGrid w:val="0"/>
        </w:rPr>
        <w:t xml:space="preserve"> </w:t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</w:rPr>
        <w:t>qzhp5bf</w:t>
      </w:r>
    </w:p>
    <w:p w14:paraId="7DA99D36" w14:textId="2FA33E8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431C0E">
        <w:rPr>
          <w:rFonts w:ascii="Arial" w:hAnsi="Arial" w:cs="Arial"/>
          <w:snapToGrid w:val="0"/>
        </w:rPr>
        <w:tab/>
      </w:r>
      <w:r w:rsidR="00431C0E">
        <w:rPr>
          <w:rFonts w:ascii="Arial" w:hAnsi="Arial" w:cs="Arial"/>
          <w:snapToGrid w:val="0"/>
        </w:rPr>
        <w:tab/>
      </w:r>
      <w:r w:rsidR="00431C0E" w:rsidRPr="0066054E">
        <w:rPr>
          <w:rFonts w:ascii="Arial" w:hAnsi="Arial" w:cs="Arial"/>
          <w:snapToGrid w:val="0"/>
        </w:rPr>
        <w:t>Raiffeisenbank a.s.</w:t>
      </w:r>
    </w:p>
    <w:p w14:paraId="108FE7DD" w14:textId="77777777" w:rsidR="003A09D6" w:rsidRPr="0066054E" w:rsidRDefault="003A09D6" w:rsidP="003A09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6054E">
        <w:rPr>
          <w:rFonts w:ascii="Arial" w:hAnsi="Arial" w:cs="Arial"/>
        </w:rPr>
        <w:lastRenderedPageBreak/>
        <w:t xml:space="preserve">Číslo účtu: </w:t>
      </w:r>
      <w:r w:rsidRPr="0066054E">
        <w:rPr>
          <w:rFonts w:ascii="Arial" w:hAnsi="Arial" w:cs="Arial"/>
        </w:rPr>
        <w:tab/>
      </w:r>
      <w:r w:rsidRPr="0066054E">
        <w:rPr>
          <w:rFonts w:ascii="Arial" w:hAnsi="Arial" w:cs="Arial"/>
        </w:rPr>
        <w:tab/>
        <w:t>5279999001/5500</w:t>
      </w:r>
    </w:p>
    <w:p w14:paraId="7BBEB437" w14:textId="77777777" w:rsidR="003A09D6" w:rsidRPr="00ED6435" w:rsidRDefault="003A09D6" w:rsidP="003A09D6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proofErr w:type="gramStart"/>
      <w:r w:rsidRPr="0066054E">
        <w:rPr>
          <w:rFonts w:ascii="Arial" w:hAnsi="Arial" w:cs="Arial"/>
        </w:rPr>
        <w:t xml:space="preserve">DIČ: </w:t>
      </w:r>
      <w:r w:rsidRPr="0066054E">
        <w:rPr>
          <w:rFonts w:ascii="Arial" w:hAnsi="Arial" w:cs="Arial"/>
          <w:snapToGrid w:val="0"/>
        </w:rPr>
        <w:t xml:space="preserve"> </w:t>
      </w:r>
      <w:r w:rsidRPr="0066054E">
        <w:rPr>
          <w:rFonts w:ascii="Arial" w:hAnsi="Arial" w:cs="Arial"/>
          <w:snapToGrid w:val="0"/>
        </w:rPr>
        <w:tab/>
      </w:r>
      <w:proofErr w:type="gramEnd"/>
      <w:r w:rsidRPr="0066054E">
        <w:rPr>
          <w:rFonts w:ascii="Arial" w:hAnsi="Arial" w:cs="Arial"/>
          <w:snapToGrid w:val="0"/>
        </w:rPr>
        <w:tab/>
      </w:r>
      <w:r w:rsidRPr="0066054E">
        <w:rPr>
          <w:rFonts w:ascii="Arial" w:hAnsi="Arial" w:cs="Arial"/>
        </w:rPr>
        <w:t>CZ29099323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16D84FDF" w14:textId="77777777" w:rsidR="00B57043" w:rsidRDefault="00B57043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77CBA188" w14:textId="77777777" w:rsidR="00780DCF" w:rsidRPr="001A67EA" w:rsidRDefault="00780DCF" w:rsidP="00780DCF">
      <w:pPr>
        <w:spacing w:after="120"/>
        <w:ind w:right="34"/>
        <w:jc w:val="center"/>
        <w:rPr>
          <w:rFonts w:ascii="Arial" w:hAnsi="Arial" w:cs="Arial"/>
          <w:b/>
        </w:rPr>
      </w:pPr>
      <w:r w:rsidRPr="001A67EA">
        <w:rPr>
          <w:rFonts w:ascii="Arial" w:hAnsi="Arial" w:cs="Arial"/>
          <w:b/>
        </w:rPr>
        <w:t xml:space="preserve">Článek I. </w:t>
      </w:r>
    </w:p>
    <w:p w14:paraId="5A00C967" w14:textId="77777777" w:rsidR="00780DCF" w:rsidRPr="001A67EA" w:rsidRDefault="00780DCF" w:rsidP="00780DCF">
      <w:pPr>
        <w:spacing w:after="195"/>
        <w:ind w:right="35"/>
        <w:jc w:val="center"/>
        <w:rPr>
          <w:rFonts w:ascii="Arial" w:hAnsi="Arial" w:cs="Arial"/>
        </w:rPr>
      </w:pPr>
      <w:r w:rsidRPr="001A67EA">
        <w:rPr>
          <w:rFonts w:ascii="Arial" w:hAnsi="Arial" w:cs="Arial"/>
          <w:b/>
        </w:rPr>
        <w:t>Úvodní ustanovení</w:t>
      </w:r>
    </w:p>
    <w:p w14:paraId="6B3B5CF1" w14:textId="2E3F4662" w:rsidR="00780DCF" w:rsidRDefault="00780DCF" w:rsidP="00780DC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Arial" w:hAnsi="Arial" w:cs="Arial"/>
        </w:rPr>
      </w:pPr>
      <w:r w:rsidRPr="00600E8A">
        <w:rPr>
          <w:rFonts w:ascii="Arial" w:hAnsi="Arial" w:cs="Arial"/>
        </w:rPr>
        <w:t xml:space="preserve">Smluvní strany shodně konstatují a činí nesporným, že uzavřely dne </w:t>
      </w:r>
      <w:r w:rsidR="0067683D">
        <w:rPr>
          <w:rFonts w:ascii="Arial" w:hAnsi="Arial" w:cs="Arial"/>
        </w:rPr>
        <w:t>24</w:t>
      </w:r>
      <w:r w:rsidRPr="00600E8A">
        <w:rPr>
          <w:rFonts w:ascii="Arial" w:hAnsi="Arial" w:cs="Arial"/>
        </w:rPr>
        <w:t>.</w:t>
      </w:r>
      <w:r w:rsidR="0067683D">
        <w:rPr>
          <w:rFonts w:ascii="Arial" w:hAnsi="Arial" w:cs="Arial"/>
        </w:rPr>
        <w:t>11</w:t>
      </w:r>
      <w:r w:rsidRPr="00600E8A">
        <w:rPr>
          <w:rFonts w:ascii="Arial" w:hAnsi="Arial" w:cs="Arial"/>
        </w:rPr>
        <w:t xml:space="preserve">.2022 Smlouvu o dílo (dále jen „Smlouva“), kterou se Zhotovitel zavázal k provedení díla s názvem </w:t>
      </w:r>
      <w:r w:rsidRPr="00600E8A">
        <w:rPr>
          <w:rFonts w:ascii="Arial" w:hAnsi="Arial" w:cs="Arial"/>
          <w:b/>
          <w:bCs/>
        </w:rPr>
        <w:t>„</w:t>
      </w:r>
      <w:r w:rsidR="00061659" w:rsidRPr="00061659">
        <w:rPr>
          <w:rFonts w:ascii="Arial" w:hAnsi="Arial" w:cs="Arial"/>
          <w:b/>
          <w:bCs/>
        </w:rPr>
        <w:t xml:space="preserve">Komplexní pozemkové úpravy v k. </w:t>
      </w:r>
      <w:proofErr w:type="spellStart"/>
      <w:r w:rsidR="00061659" w:rsidRPr="00061659">
        <w:rPr>
          <w:rFonts w:ascii="Arial" w:hAnsi="Arial" w:cs="Arial"/>
          <w:b/>
          <w:bCs/>
        </w:rPr>
        <w:t>ú.</w:t>
      </w:r>
      <w:proofErr w:type="spellEnd"/>
      <w:r w:rsidR="00061659" w:rsidRPr="00061659">
        <w:rPr>
          <w:rFonts w:ascii="Arial" w:hAnsi="Arial" w:cs="Arial"/>
          <w:b/>
          <w:bCs/>
        </w:rPr>
        <w:t xml:space="preserve"> Protivín</w:t>
      </w:r>
      <w:r w:rsidRPr="00600E8A">
        <w:rPr>
          <w:rFonts w:ascii="Arial" w:hAnsi="Arial" w:cs="Arial"/>
          <w:b/>
          <w:bCs/>
        </w:rPr>
        <w:t>“</w:t>
      </w:r>
      <w:r w:rsidRPr="00600E8A">
        <w:rPr>
          <w:rFonts w:ascii="Arial" w:hAnsi="Arial" w:cs="Arial"/>
        </w:rPr>
        <w:t>,</w:t>
      </w:r>
      <w:r w:rsidRPr="00600E8A">
        <w:rPr>
          <w:rFonts w:ascii="Arial" w:hAnsi="Arial" w:cs="Arial"/>
          <w:b/>
          <w:bCs/>
        </w:rPr>
        <w:t xml:space="preserve"> </w:t>
      </w:r>
      <w:r w:rsidRPr="00600E8A">
        <w:rPr>
          <w:rFonts w:ascii="Arial" w:hAnsi="Arial" w:cs="Arial"/>
        </w:rPr>
        <w:t>a Objednatel se zavázal k převzetí díla a zaplacení ceny za jeho provedení, a to vše v rozsahu a za podmínek ujednaných v této Smlouvě a Dodat</w:t>
      </w:r>
      <w:r w:rsidR="00061659">
        <w:rPr>
          <w:rFonts w:ascii="Arial" w:hAnsi="Arial" w:cs="Arial"/>
        </w:rPr>
        <w:t>ku</w:t>
      </w:r>
      <w:r w:rsidRPr="00600E8A">
        <w:rPr>
          <w:rFonts w:ascii="Arial" w:hAnsi="Arial" w:cs="Arial"/>
        </w:rPr>
        <w:t xml:space="preserve"> č. 1</w:t>
      </w:r>
      <w:r w:rsidR="00670849">
        <w:rPr>
          <w:rFonts w:ascii="Arial" w:hAnsi="Arial" w:cs="Arial"/>
        </w:rPr>
        <w:t xml:space="preserve"> a č. 2</w:t>
      </w:r>
      <w:r w:rsidRPr="00600E8A">
        <w:rPr>
          <w:rFonts w:ascii="Arial" w:hAnsi="Arial" w:cs="Arial"/>
        </w:rPr>
        <w:t>.</w:t>
      </w:r>
    </w:p>
    <w:p w14:paraId="66695AFC" w14:textId="241511E6" w:rsidR="00B57043" w:rsidRDefault="00B57043" w:rsidP="00B57043">
      <w:pPr>
        <w:pStyle w:val="Odstavecseseznamem"/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Arial" w:hAnsi="Arial" w:cs="Arial"/>
        </w:rPr>
      </w:pPr>
    </w:p>
    <w:p w14:paraId="6B52CB69" w14:textId="77777777" w:rsidR="00780DCF" w:rsidRPr="001A67EA" w:rsidRDefault="00780DCF" w:rsidP="00780DCF">
      <w:pPr>
        <w:spacing w:after="120"/>
        <w:jc w:val="center"/>
        <w:rPr>
          <w:rFonts w:ascii="Arial" w:hAnsi="Arial" w:cs="Arial"/>
          <w:b/>
        </w:rPr>
      </w:pPr>
      <w:r w:rsidRPr="001A67EA">
        <w:rPr>
          <w:rFonts w:ascii="Arial" w:hAnsi="Arial" w:cs="Arial"/>
          <w:b/>
        </w:rPr>
        <w:t>Článek II.</w:t>
      </w:r>
    </w:p>
    <w:p w14:paraId="62527A5F" w14:textId="77777777" w:rsidR="00780DCF" w:rsidRPr="001A67EA" w:rsidRDefault="00780DCF" w:rsidP="00780DCF">
      <w:pPr>
        <w:jc w:val="center"/>
        <w:rPr>
          <w:rFonts w:ascii="Arial" w:hAnsi="Arial" w:cs="Arial"/>
          <w:b/>
        </w:rPr>
      </w:pPr>
      <w:r w:rsidRPr="001A67EA">
        <w:rPr>
          <w:rFonts w:ascii="Arial" w:hAnsi="Arial" w:cs="Arial"/>
          <w:b/>
        </w:rPr>
        <w:t>Předmět a účel Dodatku</w:t>
      </w:r>
    </w:p>
    <w:p w14:paraId="3C6E8C93" w14:textId="302202A7" w:rsidR="005E7765" w:rsidRDefault="005E7765" w:rsidP="005E7765">
      <w:pPr>
        <w:pStyle w:val="Odstavecseseznamem"/>
        <w:numPr>
          <w:ilvl w:val="0"/>
          <w:numId w:val="30"/>
        </w:numPr>
        <w:spacing w:after="0"/>
        <w:ind w:left="425" w:hanging="357"/>
        <w:jc w:val="both"/>
        <w:rPr>
          <w:rFonts w:ascii="Arial" w:hAnsi="Arial" w:cs="Arial"/>
        </w:rPr>
      </w:pPr>
      <w:r w:rsidRPr="00D50424">
        <w:rPr>
          <w:rFonts w:ascii="Arial" w:hAnsi="Arial" w:cs="Arial"/>
        </w:rPr>
        <w:t>Zhotovitel požádal dopisem ze dne</w:t>
      </w:r>
      <w:r w:rsidR="00FE12F8">
        <w:rPr>
          <w:rFonts w:ascii="Arial" w:hAnsi="Arial" w:cs="Arial"/>
        </w:rPr>
        <w:t xml:space="preserve"> 04</w:t>
      </w:r>
      <w:r w:rsidRPr="00D50424">
        <w:rPr>
          <w:rFonts w:ascii="Arial" w:hAnsi="Arial" w:cs="Arial"/>
        </w:rPr>
        <w:t>.</w:t>
      </w:r>
      <w:r w:rsidR="00FE12F8">
        <w:rPr>
          <w:rFonts w:ascii="Arial" w:hAnsi="Arial" w:cs="Arial"/>
        </w:rPr>
        <w:t>04.</w:t>
      </w:r>
      <w:r w:rsidRPr="00D50424">
        <w:rPr>
          <w:rFonts w:ascii="Arial" w:hAnsi="Arial" w:cs="Arial"/>
        </w:rPr>
        <w:t>2024 v souladu s čl. 3</w:t>
      </w:r>
      <w:r>
        <w:rPr>
          <w:rFonts w:ascii="Arial" w:hAnsi="Arial" w:cs="Arial"/>
        </w:rPr>
        <w:t>.,</w:t>
      </w:r>
      <w:r w:rsidRPr="00D50424">
        <w:rPr>
          <w:rFonts w:ascii="Arial" w:hAnsi="Arial" w:cs="Arial"/>
        </w:rPr>
        <w:t xml:space="preserve"> bodem 3.6 Smlouvy o navýšení jednotkových položkových cen (</w:t>
      </w:r>
      <w:r>
        <w:rPr>
          <w:rFonts w:ascii="Arial" w:hAnsi="Arial" w:cs="Arial"/>
        </w:rPr>
        <w:t>m</w:t>
      </w:r>
      <w:r w:rsidRPr="00D50424">
        <w:rPr>
          <w:rFonts w:ascii="Arial" w:hAnsi="Arial" w:cs="Arial"/>
        </w:rPr>
        <w:t xml:space="preserve">ěrných jednotek) za použití ročního indexu průměrné meziroční míry inflace vyjádřené přírůstkem průměrného ročního indexu spotřebitelských cen uveřejňovaného Českým statistickým úřadem </w:t>
      </w:r>
      <w:r>
        <w:rPr>
          <w:rFonts w:ascii="Arial" w:hAnsi="Arial" w:cs="Arial"/>
        </w:rPr>
        <w:t xml:space="preserve">pro uplynulý kalendářní rok (dále jen „Průměrná roční míra inflace“) </w:t>
      </w:r>
      <w:r w:rsidRPr="00D50424">
        <w:rPr>
          <w:rFonts w:ascii="Arial" w:hAnsi="Arial" w:cs="Arial"/>
        </w:rPr>
        <w:t xml:space="preserve">pro části díla, které dosud nebyly provedeny a s jejichž provedením není Zhotovitel v prodlení. Zhotovitel je oprávněn požádat o navýšení jednotkových položkových cen (měrných jednotek), pokud </w:t>
      </w:r>
      <w:r>
        <w:rPr>
          <w:rFonts w:ascii="Arial" w:hAnsi="Arial" w:cs="Arial"/>
        </w:rPr>
        <w:t>P</w:t>
      </w:r>
      <w:r w:rsidRPr="00D50424">
        <w:rPr>
          <w:rFonts w:ascii="Arial" w:hAnsi="Arial" w:cs="Arial"/>
        </w:rPr>
        <w:t xml:space="preserve">růměrná roční míra inflace přesáhne 3 % za předchozí rok. Navýšení jednotkových položkových cen (měrných jednotek) provedené dle čl. 3.6 Smlouvy může v každém kalendářním roce činit až 10 %. Průměrná roční míra inflace </w:t>
      </w:r>
      <w:r w:rsidRPr="00F37FE7">
        <w:rPr>
          <w:rFonts w:ascii="Arial" w:eastAsia="ArialMT" w:hAnsi="Arial" w:cs="ArialMT"/>
        </w:rPr>
        <w:t>uveřejněn</w:t>
      </w:r>
      <w:r>
        <w:rPr>
          <w:rFonts w:ascii="Arial" w:eastAsia="ArialMT" w:hAnsi="Arial" w:cs="ArialMT"/>
        </w:rPr>
        <w:t>á</w:t>
      </w:r>
      <w:r w:rsidRPr="00F37FE7">
        <w:rPr>
          <w:rFonts w:ascii="Arial" w:eastAsia="ArialMT" w:hAnsi="Arial" w:cs="ArialMT"/>
        </w:rPr>
        <w:t xml:space="preserve"> Českým statistickým úřadem </w:t>
      </w:r>
      <w:r>
        <w:rPr>
          <w:rFonts w:ascii="Arial" w:eastAsia="ArialMT" w:hAnsi="Arial" w:cs="ArialMT"/>
        </w:rPr>
        <w:t>za</w:t>
      </w:r>
      <w:r w:rsidRPr="00F37FE7">
        <w:rPr>
          <w:rFonts w:ascii="Arial" w:eastAsia="ArialMT" w:hAnsi="Arial" w:cs="ArialMT"/>
        </w:rPr>
        <w:t xml:space="preserve"> rok 2023</w:t>
      </w:r>
      <w:r w:rsidRPr="00D50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činí</w:t>
      </w:r>
      <w:r w:rsidRPr="00D50424">
        <w:rPr>
          <w:rFonts w:ascii="Arial" w:hAnsi="Arial" w:cs="Arial"/>
        </w:rPr>
        <w:t xml:space="preserve"> 10,7 %. V souladu se smluvním ujednáním dojde k navýšení jednotkových položkových cen (měrných jednotek) o 10 %. Objednatel žádost schválil a s navýšením jednotkových položkových cen (měrných jednotek) u dílčích částí </w:t>
      </w:r>
      <w:r w:rsidR="00FE12F8">
        <w:rPr>
          <w:rFonts w:ascii="Arial" w:hAnsi="Arial" w:cs="Arial"/>
        </w:rPr>
        <w:t>6.2.1,</w:t>
      </w:r>
      <w:r w:rsidR="00424108">
        <w:rPr>
          <w:rFonts w:ascii="Arial" w:hAnsi="Arial" w:cs="Arial"/>
        </w:rPr>
        <w:t xml:space="preserve"> 6.2.2, 6.2.4, 6.2.5, 6.2.6, </w:t>
      </w:r>
      <w:r w:rsidRPr="00D50424">
        <w:rPr>
          <w:rFonts w:ascii="Arial" w:hAnsi="Arial" w:cs="Arial"/>
        </w:rPr>
        <w:t xml:space="preserve">6.2.7, 6.2.8, 6.3.1, 6.3.1 i) a), 6.3.1 i) b), 6.3.1 i) c), 6.3.2 h) i), 6.3.2 h) </w:t>
      </w:r>
      <w:proofErr w:type="spellStart"/>
      <w:r w:rsidRPr="00D50424">
        <w:rPr>
          <w:rFonts w:ascii="Arial" w:hAnsi="Arial" w:cs="Arial"/>
        </w:rPr>
        <w:t>ii</w:t>
      </w:r>
      <w:proofErr w:type="spellEnd"/>
      <w:r w:rsidRPr="00D50424">
        <w:rPr>
          <w:rFonts w:ascii="Arial" w:hAnsi="Arial" w:cs="Arial"/>
        </w:rPr>
        <w:t xml:space="preserve">), 6.3.2 h) </w:t>
      </w:r>
      <w:proofErr w:type="spellStart"/>
      <w:r w:rsidRPr="00D50424">
        <w:rPr>
          <w:rFonts w:ascii="Arial" w:hAnsi="Arial" w:cs="Arial"/>
        </w:rPr>
        <w:t>iii</w:t>
      </w:r>
      <w:proofErr w:type="spellEnd"/>
      <w:r w:rsidRPr="00D50424">
        <w:rPr>
          <w:rFonts w:ascii="Arial" w:hAnsi="Arial" w:cs="Arial"/>
        </w:rPr>
        <w:t xml:space="preserve">), 6.3.2, 6.3.3, 6.3.4, 6.3.5 i), 6.3.5 </w:t>
      </w:r>
      <w:proofErr w:type="spellStart"/>
      <w:r w:rsidRPr="00D50424">
        <w:rPr>
          <w:rFonts w:ascii="Arial" w:hAnsi="Arial" w:cs="Arial"/>
        </w:rPr>
        <w:t>ii</w:t>
      </w:r>
      <w:proofErr w:type="spellEnd"/>
      <w:r w:rsidRPr="00D50424">
        <w:rPr>
          <w:rFonts w:ascii="Arial" w:hAnsi="Arial" w:cs="Arial"/>
        </w:rPr>
        <w:t xml:space="preserve">), 6.3.5 </w:t>
      </w:r>
      <w:proofErr w:type="spellStart"/>
      <w:r w:rsidRPr="00D50424">
        <w:rPr>
          <w:rFonts w:ascii="Arial" w:hAnsi="Arial" w:cs="Arial"/>
        </w:rPr>
        <w:t>iii</w:t>
      </w:r>
      <w:proofErr w:type="spellEnd"/>
      <w:r w:rsidRPr="00D50424">
        <w:rPr>
          <w:rFonts w:ascii="Arial" w:hAnsi="Arial" w:cs="Arial"/>
        </w:rPr>
        <w:t>)</w:t>
      </w:r>
      <w:r w:rsidR="004E42BD">
        <w:rPr>
          <w:rFonts w:ascii="Arial" w:hAnsi="Arial" w:cs="Arial"/>
        </w:rPr>
        <w:t xml:space="preserve"> </w:t>
      </w:r>
      <w:r w:rsidRPr="00D50424">
        <w:rPr>
          <w:rFonts w:ascii="Arial" w:hAnsi="Arial" w:cs="Arial"/>
        </w:rPr>
        <w:t xml:space="preserve">a 6.4 souhlasí. </w:t>
      </w:r>
    </w:p>
    <w:p w14:paraId="188179EB" w14:textId="77777777" w:rsidR="00780DCF" w:rsidRPr="00670849" w:rsidRDefault="00780DCF" w:rsidP="00780DCF">
      <w:pPr>
        <w:pStyle w:val="Odstavecseseznamem"/>
        <w:tabs>
          <w:tab w:val="right" w:pos="8931"/>
        </w:tabs>
        <w:spacing w:before="240" w:after="240" w:line="276" w:lineRule="auto"/>
        <w:ind w:left="426"/>
        <w:jc w:val="both"/>
        <w:rPr>
          <w:rFonts w:ascii="Arial" w:eastAsia="Calibri" w:hAnsi="Arial" w:cs="Arial"/>
          <w:highlight w:val="yellow"/>
        </w:rPr>
      </w:pPr>
    </w:p>
    <w:p w14:paraId="3A2EED7C" w14:textId="29803D27" w:rsidR="00780DCF" w:rsidRPr="00CF1948" w:rsidRDefault="00780DCF" w:rsidP="008F07B4">
      <w:pPr>
        <w:pStyle w:val="Odstavecseseznamem"/>
        <w:tabs>
          <w:tab w:val="right" w:pos="8931"/>
        </w:tabs>
        <w:spacing w:before="240" w:after="240" w:line="276" w:lineRule="auto"/>
        <w:ind w:left="426"/>
        <w:jc w:val="both"/>
        <w:rPr>
          <w:rFonts w:ascii="Arial" w:eastAsia="Calibri" w:hAnsi="Arial" w:cs="Arial"/>
        </w:rPr>
      </w:pPr>
      <w:r w:rsidRPr="005969B8">
        <w:rPr>
          <w:rFonts w:ascii="Arial" w:hAnsi="Arial" w:cs="Arial"/>
        </w:rPr>
        <w:t>Z výše uvedeného důvodu se</w:t>
      </w:r>
      <w:r w:rsidRPr="005969B8">
        <w:rPr>
          <w:rFonts w:ascii="Arial" w:hAnsi="Arial" w:cs="Arial"/>
          <w:b/>
          <w:bCs/>
        </w:rPr>
        <w:t xml:space="preserve"> celková cena díla</w:t>
      </w:r>
      <w:r w:rsidRPr="005969B8">
        <w:rPr>
          <w:rFonts w:ascii="Arial" w:hAnsi="Arial" w:cs="Arial"/>
        </w:rPr>
        <w:t xml:space="preserve"> </w:t>
      </w:r>
      <w:r w:rsidRPr="005969B8">
        <w:rPr>
          <w:rFonts w:ascii="Arial" w:hAnsi="Arial" w:cs="Arial"/>
          <w:b/>
          <w:bCs/>
        </w:rPr>
        <w:t xml:space="preserve">navyšuje o </w:t>
      </w:r>
      <w:r w:rsidR="005969B8" w:rsidRPr="005969B8">
        <w:rPr>
          <w:rFonts w:ascii="Arial" w:hAnsi="Arial" w:cs="Arial"/>
          <w:b/>
          <w:bCs/>
        </w:rPr>
        <w:t>428 120</w:t>
      </w:r>
      <w:r w:rsidR="005D5D29" w:rsidRPr="005969B8">
        <w:rPr>
          <w:rFonts w:ascii="Arial" w:hAnsi="Arial" w:cs="Arial"/>
          <w:b/>
          <w:bCs/>
        </w:rPr>
        <w:t>,00</w:t>
      </w:r>
      <w:r w:rsidRPr="005969B8">
        <w:rPr>
          <w:rFonts w:ascii="Arial" w:hAnsi="Arial" w:cs="Arial"/>
          <w:b/>
          <w:bCs/>
        </w:rPr>
        <w:t xml:space="preserve"> Kč bez DPH</w:t>
      </w:r>
      <w:r w:rsidR="00341AE9" w:rsidRPr="005969B8">
        <w:rPr>
          <w:rFonts w:ascii="Arial" w:hAnsi="Arial" w:cs="Arial"/>
          <w:b/>
          <w:bCs/>
        </w:rPr>
        <w:t>.</w:t>
      </w:r>
    </w:p>
    <w:p w14:paraId="371F7E32" w14:textId="423699DF" w:rsidR="00060772" w:rsidRDefault="00780DCF" w:rsidP="00060772">
      <w:pPr>
        <w:spacing w:after="240"/>
        <w:ind w:firstLine="425"/>
        <w:jc w:val="both"/>
        <w:rPr>
          <w:rFonts w:ascii="Arial" w:hAnsi="Arial" w:cs="Arial"/>
        </w:rPr>
      </w:pPr>
      <w:r w:rsidRPr="002E52F6">
        <w:rPr>
          <w:rFonts w:ascii="Arial" w:hAnsi="Arial" w:cs="Arial"/>
        </w:rPr>
        <w:t>Nové znění Položkového výkazu činností je nedílnou součástí tohoto Dodatku.</w:t>
      </w:r>
    </w:p>
    <w:p w14:paraId="2A79D2E5" w14:textId="77777777" w:rsidR="002F3F42" w:rsidRDefault="002F3F42" w:rsidP="00060772">
      <w:pPr>
        <w:spacing w:after="240"/>
        <w:ind w:firstLine="425"/>
        <w:jc w:val="both"/>
        <w:rPr>
          <w:rFonts w:ascii="Arial" w:hAnsi="Arial" w:cs="Arial"/>
        </w:rPr>
      </w:pPr>
    </w:p>
    <w:p w14:paraId="52CFA785" w14:textId="77777777" w:rsidR="00780DCF" w:rsidRPr="00155080" w:rsidRDefault="00780DCF" w:rsidP="00780DCF">
      <w:pPr>
        <w:spacing w:after="120"/>
        <w:jc w:val="center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Článek III.</w:t>
      </w:r>
    </w:p>
    <w:p w14:paraId="035A7B40" w14:textId="77777777" w:rsidR="00780DCF" w:rsidRDefault="00780DCF" w:rsidP="00780DCF">
      <w:pPr>
        <w:spacing w:after="120"/>
        <w:jc w:val="center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Rozsah a specifikace změn Smlouvy</w:t>
      </w:r>
    </w:p>
    <w:p w14:paraId="4137093C" w14:textId="77777777" w:rsidR="00780DCF" w:rsidRPr="00155080" w:rsidRDefault="00780DCF" w:rsidP="004B684C">
      <w:pPr>
        <w:pStyle w:val="Odstavecseseznamem"/>
        <w:numPr>
          <w:ilvl w:val="0"/>
          <w:numId w:val="24"/>
        </w:numPr>
        <w:spacing w:before="240"/>
        <w:ind w:left="425" w:hanging="357"/>
        <w:rPr>
          <w:rFonts w:ascii="Arial" w:hAnsi="Arial" w:cs="Arial"/>
        </w:rPr>
      </w:pPr>
      <w:r w:rsidRPr="00155080">
        <w:rPr>
          <w:rFonts w:ascii="Arial" w:hAnsi="Arial" w:cs="Arial"/>
        </w:rPr>
        <w:t xml:space="preserve">Vzhledem ke změně, uvedené v článku II. odst. 1 tohoto Dodatku, </w:t>
      </w:r>
      <w:r w:rsidRPr="00155080">
        <w:rPr>
          <w:rFonts w:ascii="Arial" w:hAnsi="Arial" w:cs="Arial"/>
          <w:b/>
        </w:rPr>
        <w:t>se mění i rekapitulace ceny za provedení díla, uvedená v článku 3., bodě 3.1. Smlouvy,</w:t>
      </w:r>
      <w:r w:rsidRPr="00155080">
        <w:rPr>
          <w:rFonts w:ascii="Arial" w:hAnsi="Arial" w:cs="Arial"/>
        </w:rPr>
        <w:t xml:space="preserve"> </w:t>
      </w:r>
      <w:r w:rsidRPr="00155080">
        <w:rPr>
          <w:rFonts w:ascii="Arial" w:hAnsi="Arial" w:cs="Arial"/>
          <w:b/>
        </w:rPr>
        <w:t>takto</w:t>
      </w:r>
      <w:r w:rsidRPr="00155080">
        <w:rPr>
          <w:rFonts w:ascii="Arial" w:hAnsi="Arial" w:cs="Arial"/>
        </w:rPr>
        <w:t>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D21BB2" w:rsidRPr="00155080" w14:paraId="5CFE2AEE" w14:textId="77777777" w:rsidTr="00470BC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9148" w14:textId="77777777" w:rsidR="00D21BB2" w:rsidRPr="00155080" w:rsidRDefault="00D21BB2" w:rsidP="00D21BB2">
            <w:pPr>
              <w:spacing w:after="0"/>
              <w:ind w:left="709" w:hanging="709"/>
              <w:jc w:val="both"/>
              <w:rPr>
                <w:rFonts w:ascii="Arial" w:hAnsi="Arial" w:cs="Arial"/>
              </w:rPr>
            </w:pPr>
            <w:r w:rsidRPr="00155080">
              <w:rPr>
                <w:rFonts w:ascii="Arial" w:hAnsi="Arial" w:cs="Arial"/>
              </w:rPr>
              <w:t xml:space="preserve">Hlavní celek </w:t>
            </w:r>
            <w:r w:rsidRPr="00155080">
              <w:rPr>
                <w:rFonts w:ascii="Arial" w:hAnsi="Arial" w:cs="Arial"/>
                <w:snapToGrid w:val="0"/>
              </w:rPr>
              <w:t xml:space="preserve">1 </w:t>
            </w:r>
            <w:r w:rsidRPr="00155080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4635" w14:textId="60B18AAF" w:rsidR="00D21BB2" w:rsidRPr="00670849" w:rsidRDefault="00D21BB2" w:rsidP="00D21BB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2 006 180,00</w:t>
            </w:r>
          </w:p>
        </w:tc>
      </w:tr>
      <w:tr w:rsidR="00D21BB2" w:rsidRPr="00155080" w14:paraId="032FE2C0" w14:textId="77777777" w:rsidTr="00470BC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D7D6" w14:textId="77777777" w:rsidR="00D21BB2" w:rsidRPr="00155080" w:rsidRDefault="00D21BB2" w:rsidP="00D21BB2">
            <w:pPr>
              <w:spacing w:after="0"/>
              <w:ind w:left="709" w:hanging="709"/>
              <w:jc w:val="both"/>
              <w:rPr>
                <w:rFonts w:ascii="Arial" w:hAnsi="Arial" w:cs="Arial"/>
              </w:rPr>
            </w:pPr>
            <w:r w:rsidRPr="00155080">
              <w:rPr>
                <w:rFonts w:ascii="Arial" w:hAnsi="Arial" w:cs="Arial"/>
              </w:rPr>
              <w:t xml:space="preserve">Hlavní celek </w:t>
            </w:r>
            <w:r w:rsidRPr="00155080">
              <w:rPr>
                <w:rFonts w:ascii="Arial" w:hAnsi="Arial" w:cs="Arial"/>
                <w:snapToGrid w:val="0"/>
              </w:rPr>
              <w:t xml:space="preserve">2 </w:t>
            </w:r>
            <w:r w:rsidRPr="00155080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EB62" w14:textId="3A08EDF0" w:rsidR="00D21BB2" w:rsidRPr="00670849" w:rsidRDefault="00D21BB2" w:rsidP="00D21BB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2 200 990,00</w:t>
            </w:r>
          </w:p>
        </w:tc>
      </w:tr>
      <w:tr w:rsidR="00D21BB2" w:rsidRPr="00155080" w14:paraId="3A305567" w14:textId="77777777" w:rsidTr="00470BC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928D" w14:textId="77777777" w:rsidR="00D21BB2" w:rsidRPr="00155080" w:rsidRDefault="00D21BB2" w:rsidP="00D21BB2">
            <w:pPr>
              <w:spacing w:after="0"/>
              <w:ind w:left="709" w:hanging="709"/>
              <w:jc w:val="both"/>
              <w:rPr>
                <w:rFonts w:ascii="Arial" w:hAnsi="Arial" w:cs="Arial"/>
              </w:rPr>
            </w:pPr>
            <w:r w:rsidRPr="00155080">
              <w:rPr>
                <w:rFonts w:ascii="Arial" w:hAnsi="Arial" w:cs="Arial"/>
              </w:rPr>
              <w:lastRenderedPageBreak/>
              <w:t xml:space="preserve">Hlavní celek </w:t>
            </w:r>
            <w:r w:rsidRPr="00155080">
              <w:rPr>
                <w:rFonts w:ascii="Arial" w:hAnsi="Arial" w:cs="Arial"/>
                <w:snapToGrid w:val="0"/>
              </w:rPr>
              <w:t xml:space="preserve">3 </w:t>
            </w:r>
            <w:r w:rsidRPr="00155080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0AE9" w14:textId="35A2A207" w:rsidR="00D21BB2" w:rsidRPr="00670849" w:rsidRDefault="00D21BB2" w:rsidP="00D21BB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502 150,00</w:t>
            </w:r>
          </w:p>
        </w:tc>
      </w:tr>
      <w:tr w:rsidR="00D21BB2" w:rsidRPr="00155080" w14:paraId="216CADDE" w14:textId="77777777" w:rsidTr="00470BC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491234" w14:textId="77777777" w:rsidR="00D21BB2" w:rsidRPr="00155080" w:rsidRDefault="00D21BB2" w:rsidP="00D21BB2">
            <w:pPr>
              <w:spacing w:after="0"/>
              <w:ind w:left="709" w:hanging="709"/>
              <w:jc w:val="both"/>
              <w:rPr>
                <w:rFonts w:ascii="Arial" w:hAnsi="Arial" w:cs="Arial"/>
              </w:rPr>
            </w:pPr>
            <w:r w:rsidRPr="00155080">
              <w:rPr>
                <w:rFonts w:ascii="Arial" w:hAnsi="Arial" w:cs="Arial"/>
              </w:rPr>
              <w:t xml:space="preserve">Celková cena </w:t>
            </w:r>
            <w:r w:rsidRPr="00155080">
              <w:rPr>
                <w:rFonts w:ascii="Arial" w:hAnsi="Arial" w:cs="Arial"/>
                <w:snapToGrid w:val="0"/>
              </w:rPr>
              <w:t>Díla</w:t>
            </w:r>
            <w:r w:rsidRPr="00155080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C4129" w14:textId="08ABE2E7" w:rsidR="00D21BB2" w:rsidRPr="00670849" w:rsidRDefault="00D21BB2" w:rsidP="00D21BB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4 709 320,00</w:t>
            </w:r>
          </w:p>
        </w:tc>
      </w:tr>
      <w:tr w:rsidR="00D21BB2" w:rsidRPr="00155080" w14:paraId="0F55613C" w14:textId="77777777" w:rsidTr="00470BC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EDBF" w14:textId="77777777" w:rsidR="00D21BB2" w:rsidRPr="00155080" w:rsidRDefault="00D21BB2" w:rsidP="00D21BB2">
            <w:pPr>
              <w:spacing w:after="0"/>
              <w:ind w:left="709" w:hanging="709"/>
              <w:jc w:val="both"/>
              <w:rPr>
                <w:rFonts w:ascii="Arial" w:hAnsi="Arial" w:cs="Arial"/>
              </w:rPr>
            </w:pPr>
            <w:r w:rsidRPr="00155080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98E5" w14:textId="53A818CB" w:rsidR="00D21BB2" w:rsidRPr="00670849" w:rsidRDefault="00D21BB2" w:rsidP="00D21BB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988 957,20</w:t>
            </w:r>
          </w:p>
        </w:tc>
      </w:tr>
      <w:tr w:rsidR="00D21BB2" w:rsidRPr="00155080" w14:paraId="08A6E5E5" w14:textId="77777777" w:rsidTr="00470BC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FFEAE" w14:textId="77777777" w:rsidR="00D21BB2" w:rsidRPr="00155080" w:rsidRDefault="00D21BB2" w:rsidP="00D21BB2">
            <w:pPr>
              <w:spacing w:after="0"/>
              <w:ind w:left="709" w:hanging="709"/>
              <w:jc w:val="both"/>
              <w:rPr>
                <w:rFonts w:ascii="Arial" w:hAnsi="Arial" w:cs="Arial"/>
              </w:rPr>
            </w:pPr>
            <w:r w:rsidRPr="00155080">
              <w:rPr>
                <w:rFonts w:ascii="Arial" w:hAnsi="Arial" w:cs="Arial"/>
              </w:rPr>
              <w:t xml:space="preserve">Celková cena </w:t>
            </w:r>
            <w:r w:rsidRPr="00155080">
              <w:rPr>
                <w:rFonts w:ascii="Arial" w:hAnsi="Arial" w:cs="Arial"/>
                <w:snapToGrid w:val="0"/>
              </w:rPr>
              <w:t>Díla</w:t>
            </w:r>
            <w:r w:rsidRPr="00155080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5A48C8" w14:textId="19AC140F" w:rsidR="00D21BB2" w:rsidRPr="00670849" w:rsidRDefault="00D21BB2" w:rsidP="00D21BB2">
            <w:pPr>
              <w:tabs>
                <w:tab w:val="right" w:pos="990"/>
              </w:tabs>
              <w:spacing w:after="0"/>
              <w:ind w:left="641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5 698 277,20</w:t>
            </w:r>
          </w:p>
        </w:tc>
      </w:tr>
    </w:tbl>
    <w:p w14:paraId="6519A3FF" w14:textId="77777777" w:rsidR="00060772" w:rsidRDefault="00060772" w:rsidP="00780DCF">
      <w:pPr>
        <w:spacing w:after="120"/>
        <w:jc w:val="center"/>
        <w:rPr>
          <w:rFonts w:ascii="Arial" w:hAnsi="Arial" w:cs="Arial"/>
          <w:b/>
        </w:rPr>
      </w:pPr>
    </w:p>
    <w:p w14:paraId="30BF1DFB" w14:textId="77777777" w:rsidR="002F3F42" w:rsidRDefault="002F3F42" w:rsidP="00780DCF">
      <w:pPr>
        <w:spacing w:after="120"/>
        <w:jc w:val="center"/>
        <w:rPr>
          <w:rFonts w:ascii="Arial" w:hAnsi="Arial" w:cs="Arial"/>
          <w:b/>
        </w:rPr>
      </w:pPr>
    </w:p>
    <w:p w14:paraId="51FC3DA8" w14:textId="165AB42F" w:rsidR="00780DCF" w:rsidRPr="001A67EA" w:rsidRDefault="00780DCF" w:rsidP="00780DCF">
      <w:pPr>
        <w:spacing w:after="120"/>
        <w:jc w:val="center"/>
        <w:rPr>
          <w:rFonts w:ascii="Arial" w:hAnsi="Arial" w:cs="Arial"/>
          <w:b/>
        </w:rPr>
      </w:pPr>
      <w:r w:rsidRPr="001A67EA">
        <w:rPr>
          <w:rFonts w:ascii="Arial" w:hAnsi="Arial" w:cs="Arial"/>
          <w:b/>
        </w:rPr>
        <w:t>Článek IV.</w:t>
      </w:r>
    </w:p>
    <w:p w14:paraId="38088EE9" w14:textId="2F59FB15" w:rsidR="00780DCF" w:rsidRPr="00972B9D" w:rsidRDefault="00780DCF" w:rsidP="00780DCF">
      <w:pPr>
        <w:jc w:val="center"/>
        <w:rPr>
          <w:rFonts w:ascii="Arial" w:hAnsi="Arial" w:cs="Arial"/>
          <w:b/>
        </w:rPr>
      </w:pPr>
      <w:r w:rsidRPr="001A67EA">
        <w:rPr>
          <w:rFonts w:ascii="Arial" w:hAnsi="Arial" w:cs="Arial"/>
          <w:b/>
        </w:rPr>
        <w:t>Závěrečná ustanovení</w:t>
      </w:r>
    </w:p>
    <w:p w14:paraId="5059442C" w14:textId="1C80DCD2" w:rsidR="00780DCF" w:rsidRPr="00780DCF" w:rsidRDefault="00780DCF" w:rsidP="00780DCF">
      <w:pPr>
        <w:pStyle w:val="Odstavecseseznamem"/>
        <w:numPr>
          <w:ilvl w:val="0"/>
          <w:numId w:val="2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972B9D">
        <w:rPr>
          <w:rFonts w:ascii="Arial" w:hAnsi="Arial" w:cs="Arial"/>
        </w:rPr>
        <w:t>Ostatní ustanovení Smlouvy a Dodatk</w:t>
      </w:r>
      <w:r>
        <w:rPr>
          <w:rFonts w:ascii="Arial" w:hAnsi="Arial" w:cs="Arial"/>
        </w:rPr>
        <w:t>u</w:t>
      </w:r>
      <w:r w:rsidRPr="00972B9D">
        <w:rPr>
          <w:rFonts w:ascii="Arial" w:hAnsi="Arial" w:cs="Arial"/>
        </w:rPr>
        <w:t xml:space="preserve"> č. 1 </w:t>
      </w:r>
      <w:r w:rsidR="00670849">
        <w:rPr>
          <w:rFonts w:ascii="Arial" w:hAnsi="Arial" w:cs="Arial"/>
        </w:rPr>
        <w:t xml:space="preserve">a č. 2 </w:t>
      </w:r>
      <w:r w:rsidRPr="00972B9D">
        <w:rPr>
          <w:rFonts w:ascii="Arial" w:hAnsi="Arial" w:cs="Arial"/>
        </w:rPr>
        <w:t>zůstávají nedotčena.</w:t>
      </w:r>
    </w:p>
    <w:p w14:paraId="0DC59BE5" w14:textId="0C2127C9" w:rsidR="00780DCF" w:rsidRPr="00780DCF" w:rsidRDefault="00780DCF" w:rsidP="00780DC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bookmarkStart w:id="0" w:name="_Ref50762777"/>
      <w:r w:rsidRPr="00972B9D">
        <w:rPr>
          <w:rFonts w:ascii="Arial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972B9D">
        <w:rPr>
          <w:rFonts w:ascii="Arial" w:hAnsi="Arial" w:cs="Arial"/>
        </w:rPr>
        <w:t>ruší</w:t>
      </w:r>
      <w:proofErr w:type="gramEnd"/>
      <w:r w:rsidRPr="00972B9D">
        <w:rPr>
          <w:rFonts w:ascii="Arial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38D76A9C" w14:textId="3A962F43" w:rsidR="00780DCF" w:rsidRPr="00780DCF" w:rsidRDefault="00780DCF" w:rsidP="00780DC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221734">
        <w:rPr>
          <w:rFonts w:ascii="Arial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0"/>
    </w:p>
    <w:p w14:paraId="3B21A728" w14:textId="77777777" w:rsidR="00780DCF" w:rsidRPr="006D582A" w:rsidRDefault="00780DCF" w:rsidP="00780DCF">
      <w:pPr>
        <w:pStyle w:val="Odstavecseseznamem"/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6D582A">
        <w:rPr>
          <w:rFonts w:ascii="Arial" w:eastAsia="Calibri" w:hAnsi="Arial" w:cs="Arial"/>
          <w:bCs/>
        </w:rPr>
        <w:t>Nedílnou součástí tohoto Dodatku je příloha:</w:t>
      </w:r>
    </w:p>
    <w:p w14:paraId="1516841F" w14:textId="5CED3470" w:rsidR="00780DCF" w:rsidRPr="006D582A" w:rsidRDefault="00780DCF" w:rsidP="00780DCF">
      <w:pPr>
        <w:spacing w:before="120"/>
        <w:ind w:left="425"/>
        <w:jc w:val="both"/>
        <w:rPr>
          <w:rFonts w:ascii="Arial" w:eastAsia="Calibri" w:hAnsi="Arial" w:cs="Arial"/>
          <w:bCs/>
        </w:rPr>
      </w:pPr>
      <w:r w:rsidRPr="006D582A">
        <w:rPr>
          <w:rFonts w:ascii="Arial" w:eastAsia="Calibri" w:hAnsi="Arial" w:cs="Arial"/>
          <w:bCs/>
        </w:rPr>
        <w:t xml:space="preserve">Položkový výkaz činností – Příloha ke Smlouvě – Komplexní pozemkové úpravy v k.ú. </w:t>
      </w:r>
      <w:proofErr w:type="gramStart"/>
      <w:r w:rsidRPr="00780DCF">
        <w:rPr>
          <w:rFonts w:ascii="Arial" w:eastAsia="Calibri" w:hAnsi="Arial" w:cs="Arial"/>
          <w:bCs/>
        </w:rPr>
        <w:t xml:space="preserve">Protivín </w:t>
      </w:r>
      <w:r w:rsidRPr="006D582A">
        <w:rPr>
          <w:rFonts w:ascii="Arial" w:eastAsia="Calibri" w:hAnsi="Arial" w:cs="Arial"/>
          <w:bCs/>
        </w:rPr>
        <w:t>- Dodatek</w:t>
      </w:r>
      <w:proofErr w:type="gramEnd"/>
      <w:r w:rsidRPr="006D582A">
        <w:rPr>
          <w:rFonts w:ascii="Arial" w:eastAsia="Calibri" w:hAnsi="Arial" w:cs="Arial"/>
          <w:bCs/>
        </w:rPr>
        <w:t xml:space="preserve"> č. </w:t>
      </w:r>
      <w:r w:rsidR="00670849">
        <w:rPr>
          <w:rFonts w:ascii="Arial" w:eastAsia="Calibri" w:hAnsi="Arial" w:cs="Arial"/>
          <w:bCs/>
        </w:rPr>
        <w:t>3</w:t>
      </w:r>
    </w:p>
    <w:p w14:paraId="1BD763E5" w14:textId="77777777" w:rsidR="00780DCF" w:rsidRPr="00937C10" w:rsidRDefault="00780DCF" w:rsidP="00780DCF">
      <w:pPr>
        <w:jc w:val="both"/>
        <w:rPr>
          <w:rFonts w:ascii="Arial" w:eastAsia="Calibri" w:hAnsi="Arial" w:cs="Arial"/>
          <w:b/>
          <w:highlight w:val="yellow"/>
        </w:rPr>
      </w:pPr>
    </w:p>
    <w:p w14:paraId="311FF85F" w14:textId="77777777" w:rsidR="00780DCF" w:rsidRDefault="00780DCF" w:rsidP="00780DCF">
      <w:pPr>
        <w:jc w:val="both"/>
        <w:rPr>
          <w:rFonts w:ascii="Arial" w:eastAsia="Calibri" w:hAnsi="Arial" w:cs="Arial"/>
          <w:b/>
          <w:highlight w:val="yellow"/>
        </w:rPr>
      </w:pPr>
    </w:p>
    <w:p w14:paraId="3288267C" w14:textId="77777777" w:rsidR="00780DCF" w:rsidRDefault="00780DCF" w:rsidP="00780DCF">
      <w:pPr>
        <w:jc w:val="both"/>
        <w:rPr>
          <w:rFonts w:ascii="Arial" w:eastAsia="Calibri" w:hAnsi="Arial" w:cs="Arial"/>
          <w:b/>
          <w:highlight w:val="yellow"/>
        </w:rPr>
      </w:pP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4CBBEAD1" w14:textId="77777777" w:rsidR="0046294F" w:rsidRPr="00ED6435" w:rsidRDefault="0046294F" w:rsidP="0046294F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BE81684" w14:textId="77777777" w:rsidR="003F5E3F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3F5E3F" w:rsidRPr="003F5E3F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0B53CB4E" w14:textId="77777777" w:rsidR="003C1942" w:rsidRDefault="003C194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7B8D190" w14:textId="0204F915" w:rsidR="009B00C2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A45CC4">
        <w:rPr>
          <w:rFonts w:ascii="Arial" w:eastAsia="Times New Roman" w:hAnsi="Arial" w:cs="Arial"/>
          <w:bCs/>
          <w:lang w:eastAsia="cs-CZ"/>
        </w:rPr>
        <w:t>České Budějovice</w:t>
      </w:r>
      <w:r w:rsidR="00940D51" w:rsidRPr="00940D51">
        <w:rPr>
          <w:rFonts w:ascii="Arial" w:eastAsia="Times New Roman" w:hAnsi="Arial" w:cs="Arial"/>
          <w:bCs/>
          <w:lang w:eastAsia="cs-CZ"/>
        </w:rPr>
        <w:t xml:space="preserve"> </w:t>
      </w:r>
      <w:r w:rsidR="00940D51"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940D51">
        <w:rPr>
          <w:rFonts w:ascii="Arial" w:eastAsia="Times New Roman" w:hAnsi="Arial" w:cs="Arial"/>
          <w:bCs/>
          <w:lang w:eastAsia="cs-CZ"/>
        </w:rPr>
        <w:t>Plzeň</w:t>
      </w:r>
    </w:p>
    <w:p w14:paraId="58996297" w14:textId="7D849794" w:rsidR="002C5371" w:rsidRPr="00ED6435" w:rsidRDefault="009B00C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56DBF">
        <w:rPr>
          <w:rFonts w:ascii="Arial" w:eastAsia="Times New Roman" w:hAnsi="Arial" w:cs="Arial"/>
          <w:bCs/>
          <w:lang w:eastAsia="cs-CZ"/>
        </w:rPr>
        <w:t>Datum:</w:t>
      </w:r>
      <w:r w:rsidR="00940D51" w:rsidRPr="00456DBF">
        <w:rPr>
          <w:rFonts w:ascii="Arial" w:eastAsia="Times New Roman" w:hAnsi="Arial" w:cs="Arial"/>
          <w:bCs/>
          <w:lang w:eastAsia="cs-CZ"/>
        </w:rPr>
        <w:t xml:space="preserve"> 1</w:t>
      </w:r>
      <w:r w:rsidR="00201679" w:rsidRPr="00456DBF">
        <w:rPr>
          <w:rFonts w:ascii="Arial" w:eastAsia="Times New Roman" w:hAnsi="Arial" w:cs="Arial"/>
          <w:bCs/>
          <w:lang w:eastAsia="cs-CZ"/>
        </w:rPr>
        <w:t>7</w:t>
      </w:r>
      <w:r w:rsidR="00940D51" w:rsidRPr="00456DBF">
        <w:rPr>
          <w:rFonts w:ascii="Arial" w:eastAsia="Times New Roman" w:hAnsi="Arial" w:cs="Arial"/>
          <w:bCs/>
          <w:lang w:eastAsia="cs-CZ"/>
        </w:rPr>
        <w:t>.04.2024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940D51" w:rsidRPr="00456DBF">
        <w:rPr>
          <w:rFonts w:ascii="Arial" w:eastAsia="Times New Roman" w:hAnsi="Arial" w:cs="Arial"/>
          <w:bCs/>
          <w:lang w:eastAsia="cs-CZ"/>
        </w:rPr>
        <w:t>Datum: 1</w:t>
      </w:r>
      <w:r w:rsidR="00456DBF" w:rsidRPr="00456DBF">
        <w:rPr>
          <w:rFonts w:ascii="Arial" w:eastAsia="Times New Roman" w:hAnsi="Arial" w:cs="Arial"/>
          <w:bCs/>
          <w:lang w:eastAsia="cs-CZ"/>
        </w:rPr>
        <w:t>6</w:t>
      </w:r>
      <w:r w:rsidR="00940D51" w:rsidRPr="00456DBF">
        <w:rPr>
          <w:rFonts w:ascii="Arial" w:eastAsia="Times New Roman" w:hAnsi="Arial" w:cs="Arial"/>
          <w:bCs/>
          <w:lang w:eastAsia="cs-CZ"/>
        </w:rPr>
        <w:t>.04.2024</w:t>
      </w:r>
    </w:p>
    <w:p w14:paraId="0F681167" w14:textId="61C3C2F6" w:rsidR="002C5371" w:rsidRPr="00940D5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3C880371" w14:textId="0DCDC94A" w:rsidR="002C5371" w:rsidRPr="00670849" w:rsidRDefault="00670849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70849">
        <w:rPr>
          <w:rFonts w:ascii="Arial" w:eastAsia="Times New Roman" w:hAnsi="Arial" w:cs="Arial"/>
          <w:bCs/>
          <w:i/>
          <w:iCs/>
          <w:lang w:eastAsia="cs-CZ"/>
        </w:rPr>
        <w:t xml:space="preserve">elektronicky podepsáno </w:t>
      </w:r>
      <w:r w:rsidR="00940D51">
        <w:rPr>
          <w:rFonts w:ascii="Arial" w:eastAsia="Times New Roman" w:hAnsi="Arial" w:cs="Arial"/>
          <w:bCs/>
          <w:i/>
          <w:iCs/>
          <w:lang w:eastAsia="cs-CZ"/>
        </w:rPr>
        <w:tab/>
      </w:r>
      <w:r w:rsidR="00940D51" w:rsidRPr="00670849">
        <w:rPr>
          <w:rFonts w:ascii="Arial" w:eastAsia="Times New Roman" w:hAnsi="Arial" w:cs="Arial"/>
          <w:bCs/>
          <w:i/>
          <w:iCs/>
          <w:lang w:eastAsia="cs-CZ"/>
        </w:rPr>
        <w:t xml:space="preserve">elektronicky podepsáno </w:t>
      </w: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619F22D5" w:rsidR="002C5371" w:rsidRPr="00ED6435" w:rsidRDefault="001A6BC7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F696B">
        <w:rPr>
          <w:rFonts w:ascii="Arial" w:eastAsia="Times New Roman" w:hAnsi="Arial" w:cs="Arial"/>
          <w:b/>
          <w:lang w:eastAsia="cs-CZ"/>
        </w:rPr>
        <w:t>Ing. Eva Schmidtmajerová,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6D6870" w:rsidRPr="00FF696B">
        <w:rPr>
          <w:rFonts w:ascii="Arial" w:eastAsia="Times New Roman" w:hAnsi="Arial" w:cs="Arial"/>
          <w:b/>
          <w:lang w:eastAsia="cs-CZ"/>
        </w:rPr>
        <w:t>Mgr. Barbora Salátová</w:t>
      </w:r>
    </w:p>
    <w:p w14:paraId="51FED1F3" w14:textId="77777777" w:rsidR="0046294F" w:rsidRDefault="006C7964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A2182A" w:rsidRPr="00D00187">
        <w:rPr>
          <w:rFonts w:ascii="Arial" w:eastAsia="Times New Roman" w:hAnsi="Arial" w:cs="Arial"/>
          <w:bCs/>
          <w:lang w:eastAsia="cs-CZ"/>
        </w:rPr>
        <w:t>jednatelka</w:t>
      </w:r>
      <w:r w:rsidR="00A2182A">
        <w:rPr>
          <w:rFonts w:ascii="Arial" w:eastAsia="Times New Roman" w:hAnsi="Arial" w:cs="Arial"/>
          <w:bCs/>
          <w:lang w:eastAsia="cs-CZ"/>
        </w:rPr>
        <w:t xml:space="preserve"> společnosti</w:t>
      </w:r>
      <w:r w:rsidR="0046294F">
        <w:rPr>
          <w:rFonts w:ascii="Arial" w:eastAsia="Times New Roman" w:hAnsi="Arial" w:cs="Arial"/>
          <w:bCs/>
          <w:lang w:eastAsia="cs-CZ"/>
        </w:rPr>
        <w:t xml:space="preserve"> </w:t>
      </w:r>
    </w:p>
    <w:p w14:paraId="302B1564" w14:textId="3AADB1BF" w:rsidR="002C5371" w:rsidRPr="00ED6435" w:rsidRDefault="0046294F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46294F">
        <w:rPr>
          <w:rFonts w:ascii="Arial" w:eastAsia="Times New Roman" w:hAnsi="Arial" w:cs="Arial"/>
          <w:bCs/>
          <w:lang w:eastAsia="cs-CZ"/>
        </w:rPr>
        <w:t>POZEMKOVÉ ÚPRAVY K+V s.r.o.</w:t>
      </w:r>
    </w:p>
    <w:p w14:paraId="7FE07943" w14:textId="77777777" w:rsidR="002C5371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A795CFB" w14:textId="77777777" w:rsidR="003C1942" w:rsidRDefault="003C194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5535D5D1" w14:textId="77777777" w:rsidR="003C1942" w:rsidRDefault="003C194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1CA68424" w14:textId="77777777" w:rsidR="003C1942" w:rsidRPr="00ED6435" w:rsidRDefault="003C194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7EDFC42" w14:textId="77777777" w:rsidR="003C1942" w:rsidRDefault="003C1942" w:rsidP="00291D00">
      <w:pPr>
        <w:spacing w:before="240" w:after="0" w:line="240" w:lineRule="auto"/>
        <w:jc w:val="both"/>
        <w:rPr>
          <w:rFonts w:ascii="Arial" w:hAnsi="Arial" w:cs="Arial"/>
          <w:bCs/>
        </w:rPr>
      </w:pPr>
    </w:p>
    <w:p w14:paraId="28D00A23" w14:textId="77777777" w:rsidR="003C1942" w:rsidRDefault="003C1942" w:rsidP="00291D00">
      <w:pPr>
        <w:spacing w:before="240" w:after="0" w:line="240" w:lineRule="auto"/>
        <w:jc w:val="both"/>
        <w:rPr>
          <w:rFonts w:ascii="Arial" w:hAnsi="Arial" w:cs="Arial"/>
          <w:bCs/>
        </w:rPr>
      </w:pPr>
    </w:p>
    <w:p w14:paraId="33D7469F" w14:textId="77777777" w:rsidR="003C1942" w:rsidRDefault="003C1942" w:rsidP="00291D00">
      <w:pPr>
        <w:spacing w:before="240" w:after="0" w:line="240" w:lineRule="auto"/>
        <w:jc w:val="both"/>
        <w:rPr>
          <w:rFonts w:ascii="Arial" w:hAnsi="Arial" w:cs="Arial"/>
          <w:bCs/>
        </w:rPr>
      </w:pPr>
    </w:p>
    <w:p w14:paraId="452B415A" w14:textId="77777777" w:rsidR="003C1942" w:rsidRDefault="003C1942" w:rsidP="00291D00">
      <w:pPr>
        <w:spacing w:before="240" w:after="0" w:line="240" w:lineRule="auto"/>
        <w:jc w:val="both"/>
        <w:rPr>
          <w:rFonts w:ascii="Arial" w:hAnsi="Arial" w:cs="Arial"/>
          <w:bCs/>
        </w:rPr>
      </w:pPr>
    </w:p>
    <w:p w14:paraId="231FFA50" w14:textId="62FFC1E8" w:rsidR="00291D00" w:rsidRPr="00E4204E" w:rsidRDefault="00291D00" w:rsidP="00291D00">
      <w:pPr>
        <w:spacing w:before="240" w:after="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 xml:space="preserve">Za </w:t>
      </w:r>
      <w:r w:rsidR="00653DFF">
        <w:rPr>
          <w:rFonts w:ascii="Arial" w:hAnsi="Arial" w:cs="Arial"/>
          <w:bCs/>
        </w:rPr>
        <w:t>formální správnost</w:t>
      </w:r>
      <w:r w:rsidRPr="00E4204E">
        <w:rPr>
          <w:rFonts w:ascii="Arial" w:hAnsi="Arial" w:cs="Arial"/>
          <w:bCs/>
        </w:rPr>
        <w:t xml:space="preserve">: </w:t>
      </w: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585F8954" w14:textId="77777777" w:rsidR="00670849" w:rsidRPr="00670849" w:rsidRDefault="00670849" w:rsidP="0067084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70849">
        <w:rPr>
          <w:rFonts w:ascii="Arial" w:eastAsia="Times New Roman" w:hAnsi="Arial" w:cs="Arial"/>
          <w:bCs/>
          <w:i/>
          <w:iCs/>
          <w:lang w:eastAsia="cs-CZ"/>
        </w:rPr>
        <w:t xml:space="preserve">elektronicky podepsáno </w:t>
      </w:r>
    </w:p>
    <w:p w14:paraId="6796D2DD" w14:textId="77777777" w:rsidR="006A125D" w:rsidRDefault="006A125D" w:rsidP="00F95CC0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FE7198C" w14:textId="2FE7B851" w:rsidR="00775607" w:rsidRDefault="00775607" w:rsidP="00F95CC0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_______________________________</w:t>
      </w:r>
    </w:p>
    <w:p w14:paraId="569A25EF" w14:textId="482E60BB" w:rsidR="007B7D45" w:rsidRDefault="007B7D45" w:rsidP="007B7D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Ing. Hana </w:t>
      </w:r>
      <w:r w:rsidR="00A212E2">
        <w:rPr>
          <w:rFonts w:ascii="Arial" w:hAnsi="Arial" w:cs="Arial"/>
        </w:rPr>
        <w:t>Fornbaumová</w:t>
      </w:r>
    </w:p>
    <w:p w14:paraId="20ADB116" w14:textId="77777777" w:rsidR="00585D60" w:rsidRPr="00C360F6" w:rsidRDefault="00585D60" w:rsidP="00585D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KPÚ pro Jihočeský kraj </w:t>
      </w:r>
    </w:p>
    <w:p w14:paraId="543EAA87" w14:textId="25FC2EBF" w:rsidR="007B7D45" w:rsidRDefault="007B7D45">
      <w:pPr>
        <w:spacing w:line="240" w:lineRule="auto"/>
        <w:rPr>
          <w:rFonts w:ascii="Arial" w:hAnsi="Arial" w:cs="Arial"/>
        </w:rPr>
      </w:pPr>
    </w:p>
    <w:p w14:paraId="6C8FA6A6" w14:textId="77777777" w:rsidR="00C2234E" w:rsidRDefault="00C2234E">
      <w:pPr>
        <w:spacing w:line="240" w:lineRule="auto"/>
        <w:rPr>
          <w:rFonts w:ascii="Arial" w:hAnsi="Arial" w:cs="Arial"/>
        </w:rPr>
      </w:pPr>
    </w:p>
    <w:p w14:paraId="38358888" w14:textId="77777777" w:rsidR="00C2234E" w:rsidRDefault="00C2234E">
      <w:pPr>
        <w:spacing w:line="240" w:lineRule="auto"/>
        <w:rPr>
          <w:rFonts w:ascii="Arial" w:hAnsi="Arial" w:cs="Arial"/>
        </w:rPr>
      </w:pPr>
    </w:p>
    <w:p w14:paraId="05C78923" w14:textId="77777777" w:rsidR="00C2234E" w:rsidRDefault="00C2234E">
      <w:pPr>
        <w:spacing w:line="240" w:lineRule="auto"/>
        <w:rPr>
          <w:rFonts w:ascii="Arial" w:hAnsi="Arial" w:cs="Arial"/>
        </w:rPr>
      </w:pPr>
    </w:p>
    <w:p w14:paraId="21CB6AC4" w14:textId="77777777" w:rsidR="00800BB7" w:rsidRDefault="00800BB7">
      <w:pPr>
        <w:spacing w:line="240" w:lineRule="auto"/>
        <w:rPr>
          <w:rFonts w:ascii="Arial" w:hAnsi="Arial" w:cs="Arial"/>
        </w:rPr>
        <w:sectPr w:rsidR="00800BB7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p w14:paraId="2D544D74" w14:textId="77777777" w:rsidR="00C2234E" w:rsidRDefault="00C2234E">
      <w:pPr>
        <w:spacing w:line="240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3044"/>
        <w:gridCol w:w="1047"/>
        <w:gridCol w:w="1047"/>
        <w:gridCol w:w="1122"/>
        <w:gridCol w:w="1428"/>
        <w:gridCol w:w="1610"/>
      </w:tblGrid>
      <w:tr w:rsidR="008713F3" w:rsidRPr="001B51CE" w14:paraId="380E1B65" w14:textId="77777777" w:rsidTr="008138AF">
        <w:trPr>
          <w:trHeight w:val="494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1229DD7" w14:textId="7CBC5612" w:rsidR="008713F3" w:rsidRPr="001B51CE" w:rsidRDefault="008713F3" w:rsidP="00871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8713F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Položkový výkaz činností – Příloha ke Smlouvě – Komplexní pozemkové úpravy v k.ú. </w:t>
            </w:r>
            <w:proofErr w:type="gramStart"/>
            <w:r w:rsidRPr="008713F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Protivín - Dodatek</w:t>
            </w:r>
            <w:proofErr w:type="gramEnd"/>
            <w:r w:rsidRPr="008713F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č. 3</w:t>
            </w:r>
          </w:p>
        </w:tc>
      </w:tr>
      <w:tr w:rsidR="006461A1" w:rsidRPr="001B51CE" w14:paraId="388D7483" w14:textId="77777777" w:rsidTr="001E3506">
        <w:trPr>
          <w:trHeight w:val="1215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64D2DD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FA5CE0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C9C921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35C2F7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855E9E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8B818E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FA3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8713F3" w:rsidRPr="001B51CE" w14:paraId="4A44ED7F" w14:textId="77777777" w:rsidTr="008713F3">
        <w:trPr>
          <w:trHeight w:val="422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BB9F95" w14:textId="77777777" w:rsidR="008713F3" w:rsidRPr="001B51CE" w:rsidRDefault="008713F3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4441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4E3B" w14:textId="1FA67744" w:rsidR="008713F3" w:rsidRPr="001B51CE" w:rsidRDefault="008713F3" w:rsidP="00871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 </w:t>
            </w:r>
          </w:p>
        </w:tc>
      </w:tr>
      <w:tr w:rsidR="008713F3" w:rsidRPr="001B51CE" w14:paraId="26189CFF" w14:textId="77777777" w:rsidTr="001E3506">
        <w:trPr>
          <w:trHeight w:val="424"/>
        </w:trPr>
        <w:tc>
          <w:tcPr>
            <w:tcW w:w="55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0697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A673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4A38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01EA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86 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30FE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1 210,00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8F3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104 060,00</w:t>
            </w: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029A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30.06.2024</w:t>
            </w:r>
          </w:p>
        </w:tc>
      </w:tr>
      <w:tr w:rsidR="008713F3" w:rsidRPr="001B51CE" w14:paraId="28BD9EF3" w14:textId="77777777" w:rsidTr="001E3506">
        <w:trPr>
          <w:trHeight w:val="538"/>
        </w:trPr>
        <w:tc>
          <w:tcPr>
            <w:tcW w:w="55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BAE51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E70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6D54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3AA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4390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6 050,00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4A3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48 400,00</w:t>
            </w:r>
          </w:p>
        </w:tc>
        <w:tc>
          <w:tcPr>
            <w:tcW w:w="76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6BB2F7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13F3" w:rsidRPr="001B51CE" w14:paraId="43A9F517" w14:textId="77777777" w:rsidTr="001E3506">
        <w:trPr>
          <w:trHeight w:val="698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9571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644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mimo trvalé porosty a v trvalých porostech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1A9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8639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1159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968,00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589A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803 440,00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DA8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30.06.2024</w:t>
            </w:r>
          </w:p>
        </w:tc>
      </w:tr>
      <w:tr w:rsidR="006461A1" w:rsidRPr="001B51CE" w14:paraId="15941083" w14:textId="77777777" w:rsidTr="001E3506">
        <w:trPr>
          <w:trHeight w:val="1043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117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21C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572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181F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31B4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2 420,00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B6F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186 340,00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03A28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30.09.2024</w:t>
            </w:r>
          </w:p>
        </w:tc>
      </w:tr>
      <w:tr w:rsidR="006461A1" w:rsidRPr="001B51CE" w14:paraId="06CA0175" w14:textId="77777777" w:rsidTr="001E3506">
        <w:trPr>
          <w:trHeight w:val="532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2E5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ECF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ED1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D5E4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DFD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4 840,00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2D4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48 400,00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6702A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30.09.2024</w:t>
            </w:r>
          </w:p>
        </w:tc>
      </w:tr>
      <w:tr w:rsidR="006461A1" w:rsidRPr="001B51CE" w14:paraId="3D5B0D63" w14:textId="77777777" w:rsidTr="001E3506">
        <w:trPr>
          <w:trHeight w:val="1020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A545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1A6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F05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B1C2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923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12 100,00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C608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12 100,00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0217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30.09.2024</w:t>
            </w:r>
          </w:p>
        </w:tc>
      </w:tr>
      <w:tr w:rsidR="006461A1" w:rsidRPr="001B51CE" w14:paraId="29BC0676" w14:textId="77777777" w:rsidTr="001E3506">
        <w:trPr>
          <w:trHeight w:val="368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716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09A3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E0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3EF1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830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8051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484,00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51F5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401 720,00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F620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30.09.2024</w:t>
            </w:r>
          </w:p>
        </w:tc>
      </w:tr>
      <w:tr w:rsidR="008713F3" w:rsidRPr="001B51CE" w14:paraId="3F6A521F" w14:textId="77777777" w:rsidTr="001E3506">
        <w:trPr>
          <w:trHeight w:val="481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B8B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ABF0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CD08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AA9C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830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0281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484,00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F4EA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401 720,00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9E22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31.01.2025</w:t>
            </w:r>
          </w:p>
        </w:tc>
      </w:tr>
      <w:tr w:rsidR="008713F3" w:rsidRPr="001B51CE" w14:paraId="2FA4BFCF" w14:textId="77777777" w:rsidTr="001E3506">
        <w:trPr>
          <w:trHeight w:val="548"/>
        </w:trPr>
        <w:tc>
          <w:tcPr>
            <w:tcW w:w="354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DE0D0" w14:textId="56919C3D" w:rsidR="008713F3" w:rsidRPr="001B51CE" w:rsidRDefault="008713F3" w:rsidP="0087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</w:t>
            </w:r>
            <w:r w:rsidRPr="00386FE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Kč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7673" w14:textId="77777777" w:rsidR="008713F3" w:rsidRPr="001B51CE" w:rsidRDefault="008713F3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2 006 180,00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AE4B5" w14:textId="77777777" w:rsidR="008713F3" w:rsidRPr="001B51CE" w:rsidRDefault="008713F3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31.01.2025</w:t>
            </w:r>
          </w:p>
        </w:tc>
      </w:tr>
      <w:tr w:rsidR="008713F3" w:rsidRPr="001B51CE" w14:paraId="513B2638" w14:textId="77777777" w:rsidTr="008713F3">
        <w:trPr>
          <w:trHeight w:val="41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5F29AF" w14:textId="77777777" w:rsidR="008713F3" w:rsidRPr="001B51CE" w:rsidRDefault="008713F3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4441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A906" w14:textId="46F96AB2" w:rsidR="008713F3" w:rsidRPr="001B51CE" w:rsidRDefault="008713F3" w:rsidP="00871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2 „Návrhové práce“   </w:t>
            </w:r>
          </w:p>
        </w:tc>
      </w:tr>
      <w:tr w:rsidR="008713F3" w:rsidRPr="001B51CE" w14:paraId="6B078134" w14:textId="77777777" w:rsidTr="001E3506">
        <w:trPr>
          <w:trHeight w:val="382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006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D0C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DFF2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00AF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1522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1 210,00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2B835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1 003 090,00</w:t>
            </w:r>
          </w:p>
        </w:tc>
        <w:tc>
          <w:tcPr>
            <w:tcW w:w="769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190A9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30.09.2025</w:t>
            </w:r>
          </w:p>
        </w:tc>
      </w:tr>
      <w:tr w:rsidR="008713F3" w:rsidRPr="001B51CE" w14:paraId="66E3CACC" w14:textId="77777777" w:rsidTr="001E3506">
        <w:trPr>
          <w:trHeight w:val="814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19E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943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0863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121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1FDF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605,00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8289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45 375,00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1E710C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13F3" w:rsidRPr="001B51CE" w14:paraId="4C9A9BBC" w14:textId="77777777" w:rsidTr="001E3506">
        <w:trPr>
          <w:trHeight w:val="742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F49C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238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1740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C1FA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517D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363,00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CEEB1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38 115,00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DDE4AE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13F3" w:rsidRPr="001B51CE" w14:paraId="7D2E0075" w14:textId="77777777" w:rsidTr="001E3506">
        <w:trPr>
          <w:trHeight w:val="895"/>
        </w:trPr>
        <w:tc>
          <w:tcPr>
            <w:tcW w:w="55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561CC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B89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23E1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2F8D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E23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1 210,00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E1B5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14 520,00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6DB10D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13F3" w:rsidRPr="001B51CE" w14:paraId="7A2E61DE" w14:textId="77777777" w:rsidTr="001E3506">
        <w:trPr>
          <w:trHeight w:val="627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864E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DA4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275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B28A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21DD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12 100,00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EAEF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12 100,00</w:t>
            </w:r>
          </w:p>
        </w:tc>
        <w:tc>
          <w:tcPr>
            <w:tcW w:w="769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7EAFE3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461A1" w:rsidRPr="001B51CE" w14:paraId="3036EC21" w14:textId="77777777" w:rsidTr="001E3506">
        <w:trPr>
          <w:trHeight w:val="408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69A6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E3A3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D85A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B27E35D" w14:textId="1BFF3EB6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44A4B7E" w14:textId="634CFFD3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13ED90B" w14:textId="2486D2AD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731964A4" w14:textId="04A0B686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9E5A06" w:rsidRPr="001B51CE" w14:paraId="30C7067B" w14:textId="77777777" w:rsidTr="001E3506">
        <w:trPr>
          <w:trHeight w:val="388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6DE7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E70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9828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1C96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691B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8 470,00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6A4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8 470,00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D682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BD225D" w:rsidRPr="001B51CE" w14:paraId="46492BF3" w14:textId="77777777" w:rsidTr="001E3506">
        <w:trPr>
          <w:trHeight w:val="840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A93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497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40DE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096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2F75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4 840,00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AF5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4 840,00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81C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BD225D" w:rsidRPr="001B51CE" w14:paraId="47D2FEBF" w14:textId="77777777" w:rsidTr="001E3506">
        <w:trPr>
          <w:trHeight w:val="840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F601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6.3.2 h)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26FC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41E0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1CA6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FC7A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1 815,00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8493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1 815,00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D459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6461A1" w:rsidRPr="001B51CE" w14:paraId="6DE90669" w14:textId="77777777" w:rsidTr="001E3506">
        <w:trPr>
          <w:trHeight w:val="760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9DF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361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3FE4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488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829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3972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1 210,00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B26B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1 003 090,00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81E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30.09.2026</w:t>
            </w:r>
          </w:p>
        </w:tc>
      </w:tr>
      <w:tr w:rsidR="006461A1" w:rsidRPr="001B51CE" w14:paraId="3FB62F16" w14:textId="77777777" w:rsidTr="001E3506">
        <w:trPr>
          <w:trHeight w:val="717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5A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1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DC7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F7CD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4944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8EB8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18 150,00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FA97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36 300,00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5336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6461A1" w:rsidRPr="001B51CE" w14:paraId="3BB44D06" w14:textId="77777777" w:rsidTr="001E3506">
        <w:trPr>
          <w:trHeight w:val="769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2B32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C96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503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AEE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A4E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1 210,00 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D744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18 150,00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18E1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6461A1" w:rsidRPr="001B51CE" w14:paraId="6375B7B8" w14:textId="77777777" w:rsidTr="001E3506">
        <w:trPr>
          <w:trHeight w:val="769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BE7E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D0C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B4D2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5859FA6" w14:textId="1390626C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4A8876" w14:textId="2F315B82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061D2BD" w14:textId="266C98DF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3DE5527" w14:textId="618780FF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6461A1" w:rsidRPr="001B51CE" w14:paraId="2A87C1C5" w14:textId="77777777" w:rsidTr="001E3506">
        <w:trPr>
          <w:trHeight w:val="769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0608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1DF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2DFF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C23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9603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8 470,00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F1F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8 470,00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D6E4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6461A1" w:rsidRPr="001B51CE" w14:paraId="77C4B464" w14:textId="77777777" w:rsidTr="001E3506">
        <w:trPr>
          <w:trHeight w:val="769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6D59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AD72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DE83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F0E0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E70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4 840,00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F917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4 840,00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CF5A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6461A1" w:rsidRPr="001B51CE" w14:paraId="3207BD2C" w14:textId="77777777" w:rsidTr="001E3506">
        <w:trPr>
          <w:trHeight w:val="758"/>
        </w:trPr>
        <w:tc>
          <w:tcPr>
            <w:tcW w:w="5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548B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7D9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7105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7B5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8AE5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1 815,00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393F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1 815,00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1FB9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8713F3" w:rsidRPr="001B51CE" w14:paraId="7FF1E528" w14:textId="77777777" w:rsidTr="001E3506">
        <w:trPr>
          <w:trHeight w:val="448"/>
        </w:trPr>
        <w:tc>
          <w:tcPr>
            <w:tcW w:w="354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73DB" w14:textId="2AC28885" w:rsidR="008713F3" w:rsidRPr="001B51CE" w:rsidRDefault="008713F3" w:rsidP="0087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9312" w14:textId="77777777" w:rsidR="008713F3" w:rsidRPr="001B51CE" w:rsidRDefault="008713F3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2 200 990,00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FCC6B" w14:textId="77777777" w:rsidR="008713F3" w:rsidRPr="001B51CE" w:rsidRDefault="008713F3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6461A1" w:rsidRPr="001B51CE" w14:paraId="7A98FEA8" w14:textId="77777777" w:rsidTr="001E3506">
        <w:trPr>
          <w:trHeight w:val="623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13563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14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752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E1D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304A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51BD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605,00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4BF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502 150,00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58FF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8713F3" w:rsidRPr="001B51CE" w14:paraId="487C4B78" w14:textId="77777777" w:rsidTr="001E3506">
        <w:trPr>
          <w:trHeight w:val="526"/>
        </w:trPr>
        <w:tc>
          <w:tcPr>
            <w:tcW w:w="20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E72EF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C170F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D8B4A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4DB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7968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502 150,00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C7F4C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713F3" w:rsidRPr="001B51CE" w14:paraId="3942715F" w14:textId="77777777" w:rsidTr="001E3506">
        <w:trPr>
          <w:trHeight w:val="419"/>
        </w:trPr>
        <w:tc>
          <w:tcPr>
            <w:tcW w:w="201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11A9" w14:textId="77777777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5CC8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3D13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C244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85AA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2B83A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E3506" w:rsidRPr="001B51CE" w14:paraId="65398FAD" w14:textId="77777777" w:rsidTr="001E3506">
        <w:trPr>
          <w:trHeight w:val="510"/>
        </w:trPr>
        <w:tc>
          <w:tcPr>
            <w:tcW w:w="354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C23" w14:textId="0838A4B5" w:rsidR="001E3506" w:rsidRPr="001B51CE" w:rsidRDefault="001E3506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13A8" w14:textId="77777777" w:rsidR="001E3506" w:rsidRPr="001B51CE" w:rsidRDefault="001E3506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2 006 180,00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D5DDED0" w14:textId="251C74B2" w:rsidR="001E3506" w:rsidRPr="001B51CE" w:rsidRDefault="001E3506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E3506" w:rsidRPr="001B51CE" w14:paraId="3008EFAD" w14:textId="77777777" w:rsidTr="001E3506">
        <w:trPr>
          <w:trHeight w:val="510"/>
        </w:trPr>
        <w:tc>
          <w:tcPr>
            <w:tcW w:w="354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822" w14:textId="073DFC0F" w:rsidR="001E3506" w:rsidRPr="001B51CE" w:rsidRDefault="001E3506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DDE" w14:textId="77777777" w:rsidR="001E3506" w:rsidRPr="001B51CE" w:rsidRDefault="001E3506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2 200 990,00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98A0C5C" w14:textId="4FB591A0" w:rsidR="001E3506" w:rsidRPr="001B51CE" w:rsidRDefault="001E3506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E3506" w:rsidRPr="001B51CE" w14:paraId="71364AE5" w14:textId="77777777" w:rsidTr="001E3506">
        <w:trPr>
          <w:trHeight w:val="510"/>
        </w:trPr>
        <w:tc>
          <w:tcPr>
            <w:tcW w:w="354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CA5" w14:textId="760BA477" w:rsidR="001E3506" w:rsidRPr="001B51CE" w:rsidRDefault="001E3506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1D7F" w14:textId="77777777" w:rsidR="001E3506" w:rsidRPr="001B51CE" w:rsidRDefault="001E3506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502 150,00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D0D45AA" w14:textId="03A0937A" w:rsidR="001E3506" w:rsidRPr="001B51CE" w:rsidRDefault="001E3506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E3506" w:rsidRPr="001B51CE" w14:paraId="7057373C" w14:textId="77777777" w:rsidTr="001E3506">
        <w:trPr>
          <w:trHeight w:val="510"/>
        </w:trPr>
        <w:tc>
          <w:tcPr>
            <w:tcW w:w="354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8EF" w14:textId="7066AE62" w:rsidR="001E3506" w:rsidRPr="001B51CE" w:rsidRDefault="001E3506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1DF1" w14:textId="77777777" w:rsidR="001E3506" w:rsidRPr="001B51CE" w:rsidRDefault="001E3506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4 709 320,00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92F8D94" w14:textId="42465576" w:rsidR="001E3506" w:rsidRPr="001B51CE" w:rsidRDefault="001E3506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E3506" w:rsidRPr="001B51CE" w14:paraId="404722A4" w14:textId="77777777" w:rsidTr="001E3506">
        <w:trPr>
          <w:trHeight w:val="510"/>
        </w:trPr>
        <w:tc>
          <w:tcPr>
            <w:tcW w:w="354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AB03" w14:textId="6DEC726F" w:rsidR="001E3506" w:rsidRPr="001B51CE" w:rsidRDefault="001E3506" w:rsidP="001B51C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DPH  </w:t>
            </w:r>
            <w:proofErr w:type="gramStart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3D66" w14:textId="77777777" w:rsidR="001E3506" w:rsidRPr="001B51CE" w:rsidRDefault="001E3506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988 957,20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ADC4B73" w14:textId="1F4954CE" w:rsidR="001E3506" w:rsidRPr="001B51CE" w:rsidRDefault="001E3506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13F3" w:rsidRPr="001B51CE" w14:paraId="2E0F54A9" w14:textId="77777777" w:rsidTr="001E3506">
        <w:trPr>
          <w:trHeight w:val="510"/>
        </w:trPr>
        <w:tc>
          <w:tcPr>
            <w:tcW w:w="201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8B956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BDDB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25B70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D292" w14:textId="77777777" w:rsidR="001B51CE" w:rsidRPr="001B51CE" w:rsidRDefault="001B51CE" w:rsidP="001B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0AF" w14:textId="77777777" w:rsidR="001B51CE" w:rsidRPr="001B51CE" w:rsidRDefault="001B51CE" w:rsidP="001B51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B51C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5 698 277,20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69004A8" w14:textId="51354B90" w:rsidR="001B51CE" w:rsidRPr="001B51CE" w:rsidRDefault="001B51CE" w:rsidP="001B51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31948017" w14:textId="123A616F" w:rsidR="001B51CE" w:rsidRPr="001B51CE" w:rsidRDefault="001B51CE" w:rsidP="001B51CE">
      <w:pPr>
        <w:tabs>
          <w:tab w:val="left" w:pos="6840"/>
        </w:tabs>
        <w:rPr>
          <w:rFonts w:ascii="Arial" w:hAnsi="Arial" w:cs="Arial"/>
        </w:rPr>
      </w:pPr>
    </w:p>
    <w:sectPr w:rsidR="001B51CE" w:rsidRPr="001B51CE" w:rsidSect="001B51CE">
      <w:headerReference w:type="default" r:id="rId17"/>
      <w:footerReference w:type="default" r:id="rId18"/>
      <w:headerReference w:type="first" r:id="rId19"/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F204" w14:textId="77777777" w:rsidR="005A1991" w:rsidRDefault="005A1991" w:rsidP="007936E4">
      <w:pPr>
        <w:spacing w:after="0"/>
      </w:pPr>
      <w:r>
        <w:separator/>
      </w:r>
    </w:p>
  </w:endnote>
  <w:endnote w:type="continuationSeparator" w:id="0">
    <w:p w14:paraId="59590AC8" w14:textId="77777777" w:rsidR="005A1991" w:rsidRDefault="005A1991" w:rsidP="007936E4">
      <w:pPr>
        <w:spacing w:after="0"/>
      </w:pPr>
      <w:r>
        <w:continuationSeparator/>
      </w:r>
    </w:p>
  </w:endnote>
  <w:endnote w:type="continuationNotice" w:id="1">
    <w:p w14:paraId="3101FCD5" w14:textId="77777777" w:rsidR="005A1991" w:rsidRDefault="005A199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B395150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800BB7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0E94" w14:textId="48371EC5" w:rsidR="00F162E5" w:rsidRPr="00330188" w:rsidRDefault="00F162E5" w:rsidP="00020623">
    <w:pP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65C3" w14:textId="77777777" w:rsidR="005A1991" w:rsidRDefault="005A1991" w:rsidP="007936E4">
      <w:pPr>
        <w:spacing w:after="0"/>
      </w:pPr>
      <w:r>
        <w:separator/>
      </w:r>
    </w:p>
  </w:footnote>
  <w:footnote w:type="continuationSeparator" w:id="0">
    <w:p w14:paraId="79467750" w14:textId="77777777" w:rsidR="005A1991" w:rsidRDefault="005A1991" w:rsidP="007936E4">
      <w:pPr>
        <w:spacing w:after="0"/>
      </w:pPr>
      <w:r>
        <w:continuationSeparator/>
      </w:r>
    </w:p>
  </w:footnote>
  <w:footnote w:type="continuationNotice" w:id="1">
    <w:p w14:paraId="2F887ECB" w14:textId="77777777" w:rsidR="005A1991" w:rsidRDefault="005A199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4CCC24D" w:rsidR="00043079" w:rsidRPr="001D4BED" w:rsidRDefault="00F5510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FB1CD3">
      <w:rPr>
        <w:szCs w:val="16"/>
      </w:rPr>
      <w:t>3</w:t>
    </w:r>
    <w:r w:rsidRPr="001D4BED">
      <w:rPr>
        <w:szCs w:val="16"/>
      </w:rPr>
      <w:t xml:space="preserve"> </w:t>
    </w:r>
    <w:r>
      <w:rPr>
        <w:szCs w:val="16"/>
      </w:rPr>
      <w:t xml:space="preserve">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>
      <w:rPr>
        <w:szCs w:val="16"/>
      </w:rPr>
      <w:t>v k.ú. Protivín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3004" w14:textId="1D2129ED" w:rsidR="00B3222F" w:rsidRDefault="00AB3E8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AB3E88">
      <w:rPr>
        <w:rFonts w:cs="Arial"/>
        <w:szCs w:val="16"/>
        <w:lang w:val="fr-FR" w:eastAsia="cs-CZ"/>
      </w:rPr>
      <w:t>Č.j.:</w:t>
    </w:r>
    <w:r w:rsidR="008C09BA">
      <w:rPr>
        <w:rFonts w:cs="Arial"/>
        <w:sz w:val="20"/>
        <w:szCs w:val="20"/>
        <w:lang w:val="fr-FR" w:eastAsia="cs-CZ"/>
      </w:rPr>
      <w:t xml:space="preserve"> </w:t>
    </w:r>
    <w:r w:rsidR="00670849" w:rsidRPr="00670849">
      <w:rPr>
        <w:rFonts w:cs="Arial"/>
        <w:szCs w:val="16"/>
        <w:lang w:val="fr-FR" w:eastAsia="cs-CZ"/>
      </w:rPr>
      <w:t>SPU 135880/2024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B3222F" w:rsidRPr="007A2AEF">
      <w:rPr>
        <w:rFonts w:cs="Arial"/>
        <w:szCs w:val="16"/>
        <w:lang w:val="fr-FR" w:eastAsia="cs-CZ"/>
      </w:rPr>
      <w:t>1201-2022-505101</w:t>
    </w:r>
    <w:r w:rsidR="00B3222F">
      <w:rPr>
        <w:rFonts w:cs="Arial"/>
        <w:szCs w:val="16"/>
        <w:lang w:val="fr-FR" w:eastAsia="cs-CZ"/>
      </w:rPr>
      <w:tab/>
    </w:r>
  </w:p>
  <w:p w14:paraId="5EB20BA7" w14:textId="29865C43" w:rsidR="00043079" w:rsidRPr="001D4BED" w:rsidRDefault="00AB3E8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</w:t>
    </w:r>
    <w:r w:rsidR="003F39BE" w:rsidRPr="003F39BE">
      <w:rPr>
        <w:rFonts w:cs="Arial"/>
        <w:szCs w:val="16"/>
        <w:lang w:val="fr-FR" w:eastAsia="cs-CZ"/>
      </w:rPr>
      <w:t>spudms00000014476537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D0A24">
      <w:rPr>
        <w:rFonts w:cs="Arial"/>
        <w:szCs w:val="16"/>
        <w:lang w:val="fr-FR" w:eastAsia="cs-CZ"/>
      </w:rPr>
      <w:t xml:space="preserve">   18/2022</w:t>
    </w:r>
  </w:p>
  <w:p w14:paraId="6F75F815" w14:textId="61237AA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58513D">
      <w:rPr>
        <w:rFonts w:cs="Arial"/>
        <w:szCs w:val="16"/>
        <w:lang w:val="fr-FR" w:eastAsia="cs-CZ"/>
      </w:rPr>
      <w:t>v k. ú. Protivín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81BE" w14:textId="49B4CDF7" w:rsidR="00941963" w:rsidRPr="00941963" w:rsidRDefault="00941963" w:rsidP="0094196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4C04" w14:textId="6A4042C0" w:rsidR="00800BB7" w:rsidRPr="00800BB7" w:rsidRDefault="00800BB7" w:rsidP="00800B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A1F"/>
    <w:multiLevelType w:val="hybridMultilevel"/>
    <w:tmpl w:val="93024B7A"/>
    <w:lvl w:ilvl="0" w:tplc="DCBE0CC8">
      <w:start w:val="5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9144E"/>
    <w:multiLevelType w:val="hybridMultilevel"/>
    <w:tmpl w:val="82B6F77E"/>
    <w:lvl w:ilvl="0" w:tplc="82CE779E">
      <w:start w:val="5"/>
      <w:numFmt w:val="decimal"/>
      <w:lvlText w:val="%1"/>
      <w:lvlJc w:val="left"/>
      <w:pPr>
        <w:ind w:left="10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1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3085659"/>
    <w:multiLevelType w:val="hybridMultilevel"/>
    <w:tmpl w:val="382096DC"/>
    <w:lvl w:ilvl="0" w:tplc="06A2C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D3EB4"/>
    <w:multiLevelType w:val="hybridMultilevel"/>
    <w:tmpl w:val="2D2A0A4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49426B"/>
    <w:multiLevelType w:val="hybridMultilevel"/>
    <w:tmpl w:val="F2AAE732"/>
    <w:lvl w:ilvl="0" w:tplc="8C423342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1"/>
  </w:num>
  <w:num w:numId="2" w16cid:durableId="2107381581">
    <w:abstractNumId w:val="9"/>
  </w:num>
  <w:num w:numId="3" w16cid:durableId="376590071">
    <w:abstractNumId w:val="12"/>
  </w:num>
  <w:num w:numId="4" w16cid:durableId="907034161">
    <w:abstractNumId w:val="19"/>
  </w:num>
  <w:num w:numId="5" w16cid:durableId="2001225391">
    <w:abstractNumId w:val="7"/>
  </w:num>
  <w:num w:numId="6" w16cid:durableId="1251088131">
    <w:abstractNumId w:val="14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6"/>
  </w:num>
  <w:num w:numId="11" w16cid:durableId="1639145949">
    <w:abstractNumId w:val="10"/>
  </w:num>
  <w:num w:numId="12" w16cid:durableId="713506796">
    <w:abstractNumId w:val="24"/>
  </w:num>
  <w:num w:numId="13" w16cid:durableId="684092465">
    <w:abstractNumId w:val="17"/>
  </w:num>
  <w:num w:numId="14" w16cid:durableId="1864975807">
    <w:abstractNumId w:val="8"/>
  </w:num>
  <w:num w:numId="15" w16cid:durableId="982346941">
    <w:abstractNumId w:val="15"/>
  </w:num>
  <w:num w:numId="16" w16cid:durableId="1742673720">
    <w:abstractNumId w:val="20"/>
  </w:num>
  <w:num w:numId="17" w16cid:durableId="1838420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6"/>
  </w:num>
  <w:num w:numId="20" w16cid:durableId="612437958">
    <w:abstractNumId w:val="13"/>
  </w:num>
  <w:num w:numId="21" w16cid:durableId="1760909472">
    <w:abstractNumId w:val="19"/>
  </w:num>
  <w:num w:numId="22" w16cid:durableId="1303197598">
    <w:abstractNumId w:val="11"/>
  </w:num>
  <w:num w:numId="23" w16cid:durableId="1983579064">
    <w:abstractNumId w:val="2"/>
  </w:num>
  <w:num w:numId="24" w16cid:durableId="1634368210">
    <w:abstractNumId w:val="4"/>
  </w:num>
  <w:num w:numId="25" w16cid:durableId="344137227">
    <w:abstractNumId w:val="22"/>
  </w:num>
  <w:num w:numId="26" w16cid:durableId="372929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3229048">
    <w:abstractNumId w:val="23"/>
  </w:num>
  <w:num w:numId="28" w16cid:durableId="1942567391">
    <w:abstractNumId w:val="1"/>
  </w:num>
  <w:num w:numId="29" w16cid:durableId="1618443143">
    <w:abstractNumId w:val="18"/>
  </w:num>
  <w:num w:numId="30" w16cid:durableId="73296468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37304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0772"/>
    <w:rsid w:val="00061659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1E6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0F7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559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A2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56FE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E6B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0F0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272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653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BC7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1CE"/>
    <w:rsid w:val="001B55C7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682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506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1679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8F2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6FB6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C95"/>
    <w:rsid w:val="00291D00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842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12D"/>
    <w:rsid w:val="002C7287"/>
    <w:rsid w:val="002D02B2"/>
    <w:rsid w:val="002D07B9"/>
    <w:rsid w:val="002D1314"/>
    <w:rsid w:val="002D21C5"/>
    <w:rsid w:val="002D3562"/>
    <w:rsid w:val="002D48A3"/>
    <w:rsid w:val="002D4D44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3F42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09B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AE9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A23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86FE1"/>
    <w:rsid w:val="00390120"/>
    <w:rsid w:val="00390270"/>
    <w:rsid w:val="00390DC9"/>
    <w:rsid w:val="0039121C"/>
    <w:rsid w:val="0039229F"/>
    <w:rsid w:val="00393AB7"/>
    <w:rsid w:val="00394855"/>
    <w:rsid w:val="00395278"/>
    <w:rsid w:val="003953F4"/>
    <w:rsid w:val="00397924"/>
    <w:rsid w:val="00397A36"/>
    <w:rsid w:val="003A09D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1942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9BE"/>
    <w:rsid w:val="003F3CC8"/>
    <w:rsid w:val="003F47FD"/>
    <w:rsid w:val="003F48E8"/>
    <w:rsid w:val="003F5507"/>
    <w:rsid w:val="003F5E3F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172A"/>
    <w:rsid w:val="00422489"/>
    <w:rsid w:val="00423292"/>
    <w:rsid w:val="0042338D"/>
    <w:rsid w:val="00423887"/>
    <w:rsid w:val="00424108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C0E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6DBF"/>
    <w:rsid w:val="0045784F"/>
    <w:rsid w:val="00460566"/>
    <w:rsid w:val="00461F25"/>
    <w:rsid w:val="0046294F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4D64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4C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9CB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6EEF"/>
    <w:rsid w:val="004D734B"/>
    <w:rsid w:val="004D7FD8"/>
    <w:rsid w:val="004E0DEB"/>
    <w:rsid w:val="004E11C2"/>
    <w:rsid w:val="004E1924"/>
    <w:rsid w:val="004E2652"/>
    <w:rsid w:val="004E2DEB"/>
    <w:rsid w:val="004E42BD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5E4C"/>
    <w:rsid w:val="004F67D1"/>
    <w:rsid w:val="004F6C82"/>
    <w:rsid w:val="004F7BC0"/>
    <w:rsid w:val="005014B1"/>
    <w:rsid w:val="005014CC"/>
    <w:rsid w:val="00501EB3"/>
    <w:rsid w:val="005030A2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856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3D"/>
    <w:rsid w:val="0058516F"/>
    <w:rsid w:val="0058538D"/>
    <w:rsid w:val="0058565F"/>
    <w:rsid w:val="00585D60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C95"/>
    <w:rsid w:val="00596441"/>
    <w:rsid w:val="005969B8"/>
    <w:rsid w:val="00596B2C"/>
    <w:rsid w:val="005975CA"/>
    <w:rsid w:val="005978E8"/>
    <w:rsid w:val="00597AFF"/>
    <w:rsid w:val="00597FEB"/>
    <w:rsid w:val="005A0A14"/>
    <w:rsid w:val="005A1991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6F9E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5D29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E7765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74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657D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A8D"/>
    <w:rsid w:val="0064404C"/>
    <w:rsid w:val="00645548"/>
    <w:rsid w:val="00645F2A"/>
    <w:rsid w:val="006461A1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3DFF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849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683D"/>
    <w:rsid w:val="006776A2"/>
    <w:rsid w:val="006806AC"/>
    <w:rsid w:val="006810E8"/>
    <w:rsid w:val="00682382"/>
    <w:rsid w:val="006846A3"/>
    <w:rsid w:val="00684752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25D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60D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964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870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DD7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4EE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607"/>
    <w:rsid w:val="007760C7"/>
    <w:rsid w:val="00776743"/>
    <w:rsid w:val="007770A5"/>
    <w:rsid w:val="007772E2"/>
    <w:rsid w:val="00777763"/>
    <w:rsid w:val="0077784B"/>
    <w:rsid w:val="007778FB"/>
    <w:rsid w:val="00777D86"/>
    <w:rsid w:val="00777F04"/>
    <w:rsid w:val="00780557"/>
    <w:rsid w:val="00780A4A"/>
    <w:rsid w:val="00780A59"/>
    <w:rsid w:val="00780DCF"/>
    <w:rsid w:val="0078132B"/>
    <w:rsid w:val="0078253D"/>
    <w:rsid w:val="007828B4"/>
    <w:rsid w:val="0078321C"/>
    <w:rsid w:val="00783826"/>
    <w:rsid w:val="00783C0D"/>
    <w:rsid w:val="00783FBB"/>
    <w:rsid w:val="007846E1"/>
    <w:rsid w:val="00784C3F"/>
    <w:rsid w:val="00785665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839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D45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4F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0BB7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8AF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1892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3F3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09BA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7B4"/>
    <w:rsid w:val="008F2D4B"/>
    <w:rsid w:val="008F3EE5"/>
    <w:rsid w:val="008F4254"/>
    <w:rsid w:val="008F4522"/>
    <w:rsid w:val="008F6438"/>
    <w:rsid w:val="0090058F"/>
    <w:rsid w:val="00900CDC"/>
    <w:rsid w:val="009011C7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562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219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D51"/>
    <w:rsid w:val="00940E69"/>
    <w:rsid w:val="00940EB1"/>
    <w:rsid w:val="00941387"/>
    <w:rsid w:val="00941672"/>
    <w:rsid w:val="00941963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2D41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0C2"/>
    <w:rsid w:val="009B0D50"/>
    <w:rsid w:val="009B1CF0"/>
    <w:rsid w:val="009B2733"/>
    <w:rsid w:val="009B2F12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046"/>
    <w:rsid w:val="009E5A06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2E2"/>
    <w:rsid w:val="00A21469"/>
    <w:rsid w:val="00A2182A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700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CC4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3D8A"/>
    <w:rsid w:val="00AA483C"/>
    <w:rsid w:val="00AA6A3C"/>
    <w:rsid w:val="00AA707B"/>
    <w:rsid w:val="00AA7FCD"/>
    <w:rsid w:val="00AB095C"/>
    <w:rsid w:val="00AB1575"/>
    <w:rsid w:val="00AB3C95"/>
    <w:rsid w:val="00AB3E88"/>
    <w:rsid w:val="00AB4826"/>
    <w:rsid w:val="00AB4870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4D7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22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043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225D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34E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08F9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5AA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A75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509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1948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4D66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BB2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33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0FB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4AB0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A12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69B1"/>
    <w:rsid w:val="00E378A2"/>
    <w:rsid w:val="00E400F4"/>
    <w:rsid w:val="00E40233"/>
    <w:rsid w:val="00E40905"/>
    <w:rsid w:val="00E41CA2"/>
    <w:rsid w:val="00E4262A"/>
    <w:rsid w:val="00E427B2"/>
    <w:rsid w:val="00E43910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2C82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99B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2E5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1EC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108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5CC0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CD3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70C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2F8"/>
    <w:rsid w:val="00FE237B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6B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2E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162E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162E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tel:+420%20725%C2%A0919%C2%A0787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1385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Fornbaumová Hana Ing.</cp:lastModifiedBy>
  <cp:revision>124</cp:revision>
  <cp:lastPrinted>2024-04-12T07:40:00Z</cp:lastPrinted>
  <dcterms:created xsi:type="dcterms:W3CDTF">2023-06-26T10:04:00Z</dcterms:created>
  <dcterms:modified xsi:type="dcterms:W3CDTF">2024-04-17T06:55:00Z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