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7A13" w14:textId="77777777" w:rsidR="00DC78CA" w:rsidRDefault="00F97252" w:rsidP="0033469B">
      <w:pPr>
        <w:spacing w:line="312" w:lineRule="auto"/>
        <w:jc w:val="center"/>
        <w:rPr>
          <w:caps/>
          <w:sz w:val="32"/>
        </w:rPr>
      </w:pPr>
      <w:r w:rsidRPr="00FE5BF5">
        <w:rPr>
          <w:sz w:val="32"/>
        </w:rPr>
        <w:t xml:space="preserve">SMLOUVA O </w:t>
      </w:r>
      <w:r w:rsidR="00DC78CA">
        <w:rPr>
          <w:caps/>
          <w:sz w:val="32"/>
        </w:rPr>
        <w:t xml:space="preserve">ZŘÍZENÍ A PROVOZU </w:t>
      </w:r>
    </w:p>
    <w:p w14:paraId="4BD40BA2" w14:textId="77777777" w:rsidR="00F97252" w:rsidRPr="00FE5BF5" w:rsidRDefault="00DC78CA" w:rsidP="0033469B">
      <w:pPr>
        <w:spacing w:line="312" w:lineRule="auto"/>
        <w:jc w:val="center"/>
        <w:rPr>
          <w:sz w:val="32"/>
        </w:rPr>
      </w:pPr>
      <w:r>
        <w:rPr>
          <w:caps/>
          <w:sz w:val="32"/>
        </w:rPr>
        <w:t>KONSIGNAČNÍHO SKLADU</w:t>
      </w:r>
    </w:p>
    <w:p w14:paraId="20CF32CD" w14:textId="77777777" w:rsidR="00F97252" w:rsidRPr="00D22C8D" w:rsidRDefault="00F97252" w:rsidP="0033469B">
      <w:pPr>
        <w:spacing w:line="312" w:lineRule="auto"/>
        <w:jc w:val="center"/>
        <w:rPr>
          <w:b/>
          <w:caps/>
          <w:sz w:val="32"/>
          <w:szCs w:val="32"/>
        </w:rPr>
      </w:pPr>
      <w:r w:rsidRPr="00D22C8D">
        <w:rPr>
          <w:b/>
          <w:caps/>
          <w:sz w:val="32"/>
          <w:szCs w:val="32"/>
        </w:rPr>
        <w:t>ZDRAVOTNICKých PROSTŘEDKů</w:t>
      </w:r>
    </w:p>
    <w:p w14:paraId="47DC99FF" w14:textId="77777777" w:rsidR="00F97252" w:rsidRPr="00FE5BF5" w:rsidRDefault="00F97252" w:rsidP="0033469B">
      <w:pPr>
        <w:spacing w:line="312" w:lineRule="auto"/>
        <w:rPr>
          <w:b/>
          <w:sz w:val="32"/>
          <w:szCs w:val="32"/>
        </w:rPr>
      </w:pPr>
    </w:p>
    <w:p w14:paraId="750C95F6" w14:textId="6AA35552" w:rsidR="008E2865" w:rsidRPr="00D22C8D" w:rsidRDefault="006E31BC" w:rsidP="0033469B">
      <w:pPr>
        <w:pBdr>
          <w:bottom w:val="single" w:sz="6" w:space="1" w:color="auto"/>
        </w:pBdr>
        <w:suppressAutoHyphens/>
        <w:spacing w:after="200" w:line="312" w:lineRule="auto"/>
        <w:jc w:val="center"/>
        <w:rPr>
          <w:rFonts w:eastAsia="Calibri"/>
          <w:i/>
          <w:lang w:eastAsia="ar-SA"/>
        </w:rPr>
      </w:pPr>
      <w:r w:rsidRPr="00D22C8D">
        <w:rPr>
          <w:rFonts w:eastAsia="Calibri"/>
          <w:i/>
          <w:lang w:eastAsia="ar-SA"/>
        </w:rPr>
        <w:t>dle § 1746 a násl. zák. č. 89/2012 Sb., občanský zákoník,</w:t>
      </w:r>
      <w:r w:rsidR="00614249">
        <w:rPr>
          <w:rFonts w:eastAsia="Calibri"/>
          <w:i/>
          <w:lang w:eastAsia="ar-SA"/>
        </w:rPr>
        <w:t xml:space="preserve"> ve znění pozdějších předpisů</w:t>
      </w:r>
      <w:r w:rsidRPr="00D22C8D">
        <w:rPr>
          <w:rFonts w:eastAsia="Calibri"/>
          <w:i/>
          <w:lang w:eastAsia="ar-SA"/>
        </w:rPr>
        <w:t xml:space="preserve"> </w:t>
      </w:r>
    </w:p>
    <w:p w14:paraId="7EE205C2" w14:textId="77777777" w:rsidR="008E2865" w:rsidRDefault="008E2865" w:rsidP="0033469B">
      <w:pPr>
        <w:spacing w:line="312" w:lineRule="auto"/>
        <w:ind w:left="426"/>
        <w:rPr>
          <w:b/>
        </w:rPr>
      </w:pPr>
      <w:r>
        <w:rPr>
          <w:b/>
        </w:rPr>
        <w:t>Smluvní strany:</w:t>
      </w:r>
    </w:p>
    <w:p w14:paraId="4003EC5F" w14:textId="77777777" w:rsidR="00D84D83" w:rsidRDefault="00D84D83" w:rsidP="0033469B">
      <w:pPr>
        <w:spacing w:line="312" w:lineRule="auto"/>
        <w:rPr>
          <w:b/>
        </w:rPr>
      </w:pPr>
    </w:p>
    <w:p w14:paraId="718FCCF4" w14:textId="77777777" w:rsidR="008E2865" w:rsidRDefault="008E2865" w:rsidP="0033469B">
      <w:pPr>
        <w:spacing w:line="312" w:lineRule="auto"/>
        <w:ind w:left="426"/>
        <w:rPr>
          <w:b/>
        </w:rPr>
      </w:pPr>
      <w:r>
        <w:rPr>
          <w:b/>
        </w:rPr>
        <w:t>ORTEX, spol. s r.o.</w:t>
      </w:r>
    </w:p>
    <w:p w14:paraId="34B6A1AE" w14:textId="77777777" w:rsidR="008E2865" w:rsidRDefault="008E2865" w:rsidP="0033469B">
      <w:pPr>
        <w:spacing w:line="312" w:lineRule="auto"/>
        <w:ind w:left="426" w:hanging="540"/>
      </w:pPr>
      <w:r>
        <w:rPr>
          <w:b/>
        </w:rPr>
        <w:t xml:space="preserve">         </w:t>
      </w:r>
      <w:r w:rsidR="00405AD0">
        <w:t>s</w:t>
      </w:r>
      <w:r w:rsidR="00405AD0" w:rsidRPr="00405AD0">
        <w:t>e sídlem</w:t>
      </w:r>
      <w:r w:rsidR="00405AD0">
        <w:rPr>
          <w:b/>
        </w:rPr>
        <w:t xml:space="preserve"> </w:t>
      </w:r>
      <w:r>
        <w:t>L. Váchy 173</w:t>
      </w:r>
      <w:r w:rsidR="00405AD0">
        <w:t xml:space="preserve">, </w:t>
      </w:r>
      <w:r>
        <w:t>760 01 Zlín</w:t>
      </w:r>
    </w:p>
    <w:p w14:paraId="5D655F8F" w14:textId="77777777" w:rsidR="00405AD0" w:rsidRDefault="00405AD0" w:rsidP="0033469B">
      <w:pPr>
        <w:spacing w:line="312" w:lineRule="auto"/>
        <w:ind w:left="426" w:hanging="540"/>
      </w:pPr>
      <w:r>
        <w:t xml:space="preserve">         IČ</w:t>
      </w:r>
      <w:r w:rsidR="00183AA2">
        <w:t>:</w:t>
      </w:r>
      <w:r>
        <w:t xml:space="preserve"> 15528294</w:t>
      </w:r>
    </w:p>
    <w:p w14:paraId="150FD881" w14:textId="77777777" w:rsidR="00183AA2" w:rsidRDefault="00183AA2" w:rsidP="0033469B">
      <w:pPr>
        <w:spacing w:line="312" w:lineRule="auto"/>
        <w:ind w:left="426" w:hanging="540"/>
      </w:pPr>
      <w:r>
        <w:t xml:space="preserve">         DIČ: CZ15528294</w:t>
      </w:r>
    </w:p>
    <w:p w14:paraId="1BF18164" w14:textId="77777777" w:rsidR="008E2865" w:rsidRDefault="008E2865" w:rsidP="0033469B">
      <w:pPr>
        <w:spacing w:line="312" w:lineRule="auto"/>
        <w:ind w:left="426" w:hanging="540"/>
      </w:pPr>
      <w:r>
        <w:t xml:space="preserve">         </w:t>
      </w:r>
      <w:r w:rsidR="00D81123">
        <w:t>zastoupená</w:t>
      </w:r>
      <w:r>
        <w:t xml:space="preserve"> Tomáš</w:t>
      </w:r>
      <w:r w:rsidR="00D81123">
        <w:t>em</w:t>
      </w:r>
      <w:r>
        <w:t xml:space="preserve"> </w:t>
      </w:r>
      <w:proofErr w:type="spellStart"/>
      <w:r>
        <w:t>Pikner</w:t>
      </w:r>
      <w:r w:rsidR="00D81123">
        <w:t>em</w:t>
      </w:r>
      <w:proofErr w:type="spellEnd"/>
      <w:r>
        <w:t xml:space="preserve">, </w:t>
      </w:r>
      <w:r w:rsidR="00FB461A">
        <w:t>jednatel</w:t>
      </w:r>
      <w:r w:rsidR="00D81123">
        <w:t>em</w:t>
      </w:r>
    </w:p>
    <w:p w14:paraId="1AFD9978" w14:textId="77777777" w:rsidR="00D81123" w:rsidRDefault="00D81123" w:rsidP="0033469B">
      <w:pPr>
        <w:spacing w:line="312" w:lineRule="auto"/>
        <w:ind w:left="426" w:hanging="540"/>
      </w:pPr>
      <w:r>
        <w:tab/>
        <w:t>zapsaná v obchodním rejstříku vedeném Krajským soudem v Brně, oddíl C, vložka 2910</w:t>
      </w:r>
    </w:p>
    <w:p w14:paraId="0DF556A8" w14:textId="77777777" w:rsidR="008E2865" w:rsidRDefault="008E2865" w:rsidP="0033469B">
      <w:pPr>
        <w:spacing w:after="120" w:line="312" w:lineRule="auto"/>
        <w:ind w:left="426" w:hanging="539"/>
      </w:pPr>
      <w:r>
        <w:t xml:space="preserve">         (dále jen </w:t>
      </w:r>
      <w:r w:rsidR="00DC78CA">
        <w:t>„</w:t>
      </w:r>
      <w:r w:rsidRPr="00DC78CA">
        <w:rPr>
          <w:b/>
          <w:bCs/>
        </w:rPr>
        <w:t>dodavate</w:t>
      </w:r>
      <w:r>
        <w:t>l</w:t>
      </w:r>
      <w:r w:rsidR="00DC78CA">
        <w:t>“</w:t>
      </w:r>
      <w:r>
        <w:t>)</w:t>
      </w:r>
    </w:p>
    <w:p w14:paraId="180A1824" w14:textId="77777777" w:rsidR="008E2865" w:rsidRDefault="008E2865" w:rsidP="0033469B">
      <w:pPr>
        <w:spacing w:after="120" w:line="312" w:lineRule="auto"/>
        <w:ind w:left="425"/>
        <w:rPr>
          <w:b/>
        </w:rPr>
      </w:pPr>
      <w:r>
        <w:rPr>
          <w:b/>
        </w:rPr>
        <w:t>a</w:t>
      </w:r>
    </w:p>
    <w:p w14:paraId="564CDDE4" w14:textId="3F40D2FC" w:rsidR="000C7C54" w:rsidRPr="000C7C54" w:rsidRDefault="006D47A2" w:rsidP="0033469B">
      <w:pPr>
        <w:spacing w:line="312" w:lineRule="auto"/>
        <w:ind w:left="426"/>
        <w:rPr>
          <w:b/>
        </w:rPr>
      </w:pPr>
      <w:r>
        <w:rPr>
          <w:b/>
        </w:rPr>
        <w:t>Úrazová nemocnice v Brně</w:t>
      </w:r>
    </w:p>
    <w:p w14:paraId="5DE9523C" w14:textId="7CCD9E13" w:rsidR="00107E7E" w:rsidRPr="000C7C54" w:rsidRDefault="00107E7E" w:rsidP="0033469B">
      <w:pPr>
        <w:spacing w:line="312" w:lineRule="auto"/>
        <w:ind w:left="426"/>
        <w:rPr>
          <w:bCs/>
        </w:rPr>
      </w:pPr>
      <w:r w:rsidRPr="00080E73">
        <w:t>se sídlem</w:t>
      </w:r>
      <w:r w:rsidR="006D47A2">
        <w:t xml:space="preserve"> </w:t>
      </w:r>
      <w:proofErr w:type="spellStart"/>
      <w:r w:rsidR="006D47A2">
        <w:t>Ponávka</w:t>
      </w:r>
      <w:proofErr w:type="spellEnd"/>
      <w:r w:rsidR="006D47A2">
        <w:t xml:space="preserve"> 139/6, 602 00 Brno</w:t>
      </w:r>
    </w:p>
    <w:p w14:paraId="5B04C2E7" w14:textId="2FE6735F" w:rsidR="00107E7E" w:rsidRPr="000C7C54" w:rsidRDefault="00107E7E" w:rsidP="0033469B">
      <w:pPr>
        <w:spacing w:line="312" w:lineRule="auto"/>
        <w:ind w:left="426"/>
        <w:rPr>
          <w:bCs/>
        </w:rPr>
      </w:pPr>
      <w:r>
        <w:t>IČ:</w:t>
      </w:r>
      <w:r w:rsidR="000C7C54">
        <w:t xml:space="preserve"> </w:t>
      </w:r>
      <w:r w:rsidR="006D47A2">
        <w:rPr>
          <w:bCs/>
        </w:rPr>
        <w:t>00209813</w:t>
      </w:r>
    </w:p>
    <w:p w14:paraId="60B60277" w14:textId="7753ED88" w:rsidR="000C7C54" w:rsidRPr="000C7C54" w:rsidRDefault="00107E7E" w:rsidP="0033469B">
      <w:pPr>
        <w:spacing w:line="312" w:lineRule="auto"/>
        <w:ind w:left="426"/>
        <w:rPr>
          <w:bCs/>
        </w:rPr>
      </w:pPr>
      <w:r>
        <w:t>DIČ:</w:t>
      </w:r>
      <w:r w:rsidR="000C7C54">
        <w:t xml:space="preserve"> </w:t>
      </w:r>
      <w:r w:rsidR="006D47A2">
        <w:rPr>
          <w:bCs/>
        </w:rPr>
        <w:t>CZ00209813</w:t>
      </w:r>
    </w:p>
    <w:p w14:paraId="4189744F" w14:textId="7650C9DD" w:rsidR="000C7C54" w:rsidRPr="000C7C54" w:rsidRDefault="000C7C54" w:rsidP="0033469B">
      <w:pPr>
        <w:spacing w:line="312" w:lineRule="auto"/>
        <w:ind w:left="426"/>
        <w:rPr>
          <w:bCs/>
        </w:rPr>
      </w:pPr>
      <w:r>
        <w:t xml:space="preserve">zastoupená </w:t>
      </w:r>
      <w:r w:rsidR="006D47A2">
        <w:rPr>
          <w:bCs/>
        </w:rPr>
        <w:t xml:space="preserve">MUDr. Pavlem </w:t>
      </w:r>
      <w:proofErr w:type="spellStart"/>
      <w:r w:rsidR="006D47A2">
        <w:rPr>
          <w:bCs/>
        </w:rPr>
        <w:t>Pilerem</w:t>
      </w:r>
      <w:proofErr w:type="spellEnd"/>
      <w:r w:rsidR="006D47A2">
        <w:rPr>
          <w:bCs/>
        </w:rPr>
        <w:t>, ředitelem</w:t>
      </w:r>
    </w:p>
    <w:p w14:paraId="18FA619C" w14:textId="6913E0EA" w:rsidR="00107E7E" w:rsidRDefault="00107E7E" w:rsidP="0033469B">
      <w:pPr>
        <w:spacing w:line="312" w:lineRule="auto"/>
        <w:ind w:left="426" w:hanging="540"/>
      </w:pPr>
      <w:r>
        <w:t xml:space="preserve">  </w:t>
      </w:r>
      <w:r>
        <w:tab/>
        <w:t xml:space="preserve">(dále jen </w:t>
      </w:r>
      <w:r w:rsidR="00DC78CA">
        <w:t>„</w:t>
      </w:r>
      <w:r w:rsidRPr="00DC78CA">
        <w:rPr>
          <w:b/>
          <w:bCs/>
        </w:rPr>
        <w:t>odběratel</w:t>
      </w:r>
      <w:r w:rsidR="00DC78CA">
        <w:t>“</w:t>
      </w:r>
      <w:r>
        <w:t>)</w:t>
      </w:r>
    </w:p>
    <w:p w14:paraId="587F575E" w14:textId="77777777" w:rsidR="000C7C54" w:rsidRDefault="000C7C54" w:rsidP="0033469B">
      <w:pPr>
        <w:spacing w:line="312" w:lineRule="auto"/>
        <w:ind w:left="426" w:hanging="540"/>
      </w:pPr>
    </w:p>
    <w:p w14:paraId="284785BF" w14:textId="77777777" w:rsidR="000C7C54" w:rsidRDefault="000C7C54" w:rsidP="0033469B">
      <w:pPr>
        <w:spacing w:line="312" w:lineRule="auto"/>
        <w:ind w:left="426" w:hanging="540"/>
        <w:jc w:val="both"/>
      </w:pPr>
      <w:r>
        <w:tab/>
        <w:t>(dodavatel a odběratel jsou dále též označeni společně jako „</w:t>
      </w:r>
      <w:r w:rsidRPr="000C7C54">
        <w:rPr>
          <w:b/>
          <w:bCs/>
        </w:rPr>
        <w:t>smluvní strany</w:t>
      </w:r>
      <w:r>
        <w:t>“ nebo jednotlivě jako „</w:t>
      </w:r>
      <w:r w:rsidRPr="000C7C54">
        <w:rPr>
          <w:b/>
          <w:bCs/>
        </w:rPr>
        <w:t>smluvní strana</w:t>
      </w:r>
      <w:r>
        <w:t>“)</w:t>
      </w:r>
    </w:p>
    <w:p w14:paraId="5AE2A6A2" w14:textId="77777777" w:rsidR="00D81123" w:rsidRDefault="00D81123" w:rsidP="0033469B">
      <w:pPr>
        <w:spacing w:line="312" w:lineRule="auto"/>
        <w:ind w:left="426" w:hanging="540"/>
      </w:pPr>
    </w:p>
    <w:p w14:paraId="441F822C" w14:textId="5E911C2E" w:rsidR="00F97252" w:rsidRPr="00FE5BF5" w:rsidRDefault="00405AD0" w:rsidP="0033469B">
      <w:pPr>
        <w:tabs>
          <w:tab w:val="left" w:pos="9072"/>
        </w:tabs>
        <w:spacing w:line="312" w:lineRule="auto"/>
        <w:ind w:left="426" w:hanging="540"/>
        <w:jc w:val="both"/>
        <w:rPr>
          <w:bCs/>
        </w:rPr>
      </w:pPr>
      <w:r>
        <w:t xml:space="preserve">         </w:t>
      </w:r>
      <w:r w:rsidR="00F97252" w:rsidRPr="00FE5BF5">
        <w:rPr>
          <w:bCs/>
        </w:rPr>
        <w:t xml:space="preserve">uzavřeli níže uvedeného dne, měsíce a roku ve smyslu </w:t>
      </w:r>
      <w:proofErr w:type="spellStart"/>
      <w:r w:rsidR="006C2EAC" w:rsidRPr="00FE5BF5">
        <w:rPr>
          <w:bCs/>
        </w:rPr>
        <w:t>ust</w:t>
      </w:r>
      <w:proofErr w:type="spellEnd"/>
      <w:r w:rsidR="006C2EAC" w:rsidRPr="00FE5BF5">
        <w:rPr>
          <w:bCs/>
        </w:rPr>
        <w:t xml:space="preserve">. § 1746 odst. 2 zákona </w:t>
      </w:r>
      <w:r w:rsidR="00F97252" w:rsidRPr="00FE5BF5">
        <w:rPr>
          <w:bCs/>
        </w:rPr>
        <w:t>č. 89/2012 Sb., občansk</w:t>
      </w:r>
      <w:r w:rsidR="00614249">
        <w:rPr>
          <w:bCs/>
        </w:rPr>
        <w:t>ý</w:t>
      </w:r>
      <w:r w:rsidR="00F97252" w:rsidRPr="00FE5BF5">
        <w:rPr>
          <w:bCs/>
        </w:rPr>
        <w:t xml:space="preserve"> zákoní</w:t>
      </w:r>
      <w:r w:rsidR="00B20370">
        <w:rPr>
          <w:bCs/>
        </w:rPr>
        <w:t>k</w:t>
      </w:r>
      <w:r w:rsidR="00F97252" w:rsidRPr="00FE5BF5">
        <w:rPr>
          <w:bCs/>
        </w:rPr>
        <w:t xml:space="preserve">, ve znění pozdějších předpisů, tuto </w:t>
      </w:r>
    </w:p>
    <w:p w14:paraId="07D1AC5A" w14:textId="77777777" w:rsidR="00405AD0" w:rsidRDefault="00405AD0" w:rsidP="0033469B">
      <w:pPr>
        <w:spacing w:line="312" w:lineRule="auto"/>
        <w:ind w:left="540" w:hanging="540"/>
      </w:pPr>
    </w:p>
    <w:p w14:paraId="11CDAE6C" w14:textId="77777777" w:rsidR="00405AD0" w:rsidRDefault="00405AD0" w:rsidP="0033469B">
      <w:pPr>
        <w:spacing w:line="312" w:lineRule="auto"/>
        <w:ind w:left="540" w:hanging="540"/>
        <w:jc w:val="center"/>
        <w:rPr>
          <w:b/>
        </w:rPr>
      </w:pPr>
      <w:r>
        <w:rPr>
          <w:b/>
        </w:rPr>
        <w:t xml:space="preserve">smlouvu </w:t>
      </w:r>
      <w:r w:rsidR="00DC78CA" w:rsidRPr="00DC78CA">
        <w:rPr>
          <w:b/>
        </w:rPr>
        <w:t>o zřízení a provozu konsignačního skladu</w:t>
      </w:r>
      <w:r w:rsidR="00DC78CA">
        <w:rPr>
          <w:b/>
        </w:rPr>
        <w:t xml:space="preserve"> zdravotnických prostředků</w:t>
      </w:r>
    </w:p>
    <w:p w14:paraId="1AA921C7" w14:textId="77777777" w:rsidR="00405AD0" w:rsidRDefault="00405AD0" w:rsidP="0033469B">
      <w:pPr>
        <w:spacing w:line="312" w:lineRule="auto"/>
        <w:ind w:left="540" w:hanging="540"/>
        <w:jc w:val="center"/>
        <w:rPr>
          <w:b/>
        </w:rPr>
      </w:pPr>
    </w:p>
    <w:p w14:paraId="6581A023" w14:textId="77777777" w:rsidR="00F97252" w:rsidRPr="00FE5BF5" w:rsidRDefault="00F97252" w:rsidP="0033469B">
      <w:pPr>
        <w:pStyle w:val="NormlnTimesNewRoman"/>
        <w:spacing w:after="0" w:line="312" w:lineRule="auto"/>
      </w:pPr>
      <w:r w:rsidRPr="00FE5BF5">
        <w:t>ČL. I.</w:t>
      </w:r>
    </w:p>
    <w:p w14:paraId="38E95E8B" w14:textId="77777777" w:rsidR="00F97252" w:rsidRPr="00FE5BF5" w:rsidRDefault="00F97252" w:rsidP="0033469B">
      <w:pPr>
        <w:pStyle w:val="NormlnTimesNewRoman"/>
        <w:spacing w:after="120" w:line="312" w:lineRule="auto"/>
      </w:pPr>
      <w:r w:rsidRPr="00FE5BF5">
        <w:t>Předmět smlouvy</w:t>
      </w:r>
    </w:p>
    <w:p w14:paraId="1467CD64" w14:textId="7BBA5B2C" w:rsidR="009C5422" w:rsidRDefault="00F97252" w:rsidP="0033469B">
      <w:pPr>
        <w:pStyle w:val="Odstavecseseznamem"/>
        <w:numPr>
          <w:ilvl w:val="0"/>
          <w:numId w:val="6"/>
        </w:numPr>
        <w:spacing w:after="120" w:line="312" w:lineRule="auto"/>
        <w:ind w:left="425" w:hanging="425"/>
        <w:contextualSpacing w:val="0"/>
        <w:jc w:val="both"/>
      </w:pPr>
      <w:r>
        <w:t>P</w:t>
      </w:r>
      <w:r w:rsidR="00405AD0">
        <w:t xml:space="preserve">ředmětem </w:t>
      </w:r>
      <w:r>
        <w:t xml:space="preserve">této smlouvy </w:t>
      </w:r>
      <w:r w:rsidR="00DC78CA">
        <w:t>je úprava práv a povinností dodavatele a odběratele při</w:t>
      </w:r>
      <w:r w:rsidR="00405AD0">
        <w:t xml:space="preserve"> dodávk</w:t>
      </w:r>
      <w:r w:rsidR="00DC78CA">
        <w:t>ách</w:t>
      </w:r>
      <w:r w:rsidR="00405AD0">
        <w:t xml:space="preserve"> z</w:t>
      </w:r>
      <w:r w:rsidR="00DC78CA">
        <w:t>dravotnických prostředků</w:t>
      </w:r>
      <w:r w:rsidR="005A04BA">
        <w:t>, ve smyslu článku 2 odst. 1 n</w:t>
      </w:r>
      <w:r w:rsidR="005A04BA" w:rsidRPr="005A04BA">
        <w:t>ařízení (EU) 2017/745</w:t>
      </w:r>
      <w:r w:rsidR="005A04BA">
        <w:t>,</w:t>
      </w:r>
      <w:r w:rsidR="005A04BA" w:rsidRPr="005A04BA">
        <w:t xml:space="preserve"> o</w:t>
      </w:r>
      <w:r w:rsidR="005A04BA">
        <w:t> </w:t>
      </w:r>
      <w:r w:rsidR="005A04BA" w:rsidRPr="005A04BA">
        <w:t>zdravotnických prostředcích</w:t>
      </w:r>
      <w:r w:rsidR="005A04BA">
        <w:t xml:space="preserve">, v konsolidovaném znění </w:t>
      </w:r>
      <w:r w:rsidR="00DC78CA">
        <w:t>(dále jen „</w:t>
      </w:r>
      <w:r w:rsidR="00DC78CA" w:rsidRPr="005A04BA">
        <w:rPr>
          <w:b/>
          <w:bCs/>
        </w:rPr>
        <w:t>ZP</w:t>
      </w:r>
      <w:r w:rsidR="00DC78CA">
        <w:t xml:space="preserve">“) realizovaných přes konsignační sklad umístěný v </w:t>
      </w:r>
      <w:r w:rsidR="00AA37AB" w:rsidRPr="006D47A2">
        <w:t>lékárn</w:t>
      </w:r>
      <w:r w:rsidR="00DC78CA" w:rsidRPr="006D47A2">
        <w:t>ě</w:t>
      </w:r>
      <w:r w:rsidR="00DC78CA">
        <w:t xml:space="preserve"> </w:t>
      </w:r>
      <w:r w:rsidR="006D47A2">
        <w:t>Úrazové nemocnice v Brně.</w:t>
      </w:r>
    </w:p>
    <w:p w14:paraId="274CE118" w14:textId="5A519602" w:rsidR="009C5422" w:rsidRDefault="00405AD0" w:rsidP="0033469B">
      <w:pPr>
        <w:pStyle w:val="Odstavecseseznamem"/>
        <w:numPr>
          <w:ilvl w:val="0"/>
          <w:numId w:val="6"/>
        </w:numPr>
        <w:spacing w:after="120" w:line="312" w:lineRule="auto"/>
        <w:ind w:left="425" w:hanging="425"/>
        <w:contextualSpacing w:val="0"/>
        <w:jc w:val="both"/>
      </w:pPr>
      <w:r>
        <w:lastRenderedPageBreak/>
        <w:t xml:space="preserve">V rámci této smlouvy zřizuje dodavatel u </w:t>
      </w:r>
      <w:r w:rsidR="00FE56B9">
        <w:t xml:space="preserve">odběratele </w:t>
      </w:r>
      <w:r w:rsidR="00AF004F" w:rsidRPr="00F50BC2">
        <w:t xml:space="preserve">konsignační </w:t>
      </w:r>
      <w:r w:rsidR="00F50BC2" w:rsidRPr="0033469B">
        <w:t>sklad</w:t>
      </w:r>
      <w:r w:rsidR="00DC78CA">
        <w:t>, a to</w:t>
      </w:r>
      <w:r w:rsidR="00D309B8">
        <w:t xml:space="preserve"> za účelem </w:t>
      </w:r>
      <w:r w:rsidR="00DC78CA">
        <w:t xml:space="preserve">realizace </w:t>
      </w:r>
      <w:r w:rsidR="00D309B8">
        <w:t>v</w:t>
      </w:r>
      <w:r w:rsidR="00DC78CA">
        <w:t>ýdeje</w:t>
      </w:r>
      <w:r w:rsidR="00D309B8">
        <w:t xml:space="preserve"> </w:t>
      </w:r>
      <w:r w:rsidR="005A04BA">
        <w:t xml:space="preserve">a prodeje </w:t>
      </w:r>
      <w:r w:rsidR="00D309B8">
        <w:t>ZP pacientům</w:t>
      </w:r>
      <w:r w:rsidR="00AF004F">
        <w:t>.</w:t>
      </w:r>
      <w:r w:rsidR="00A85D13">
        <w:t xml:space="preserve"> O </w:t>
      </w:r>
      <w:r w:rsidR="005A04BA">
        <w:t xml:space="preserve">výdeji </w:t>
      </w:r>
      <w:r w:rsidR="00A85D13">
        <w:t xml:space="preserve">ZP pacientům bude rozhodovat odborný personál </w:t>
      </w:r>
      <w:r w:rsidR="00291812">
        <w:t>odběratele</w:t>
      </w:r>
      <w:r w:rsidR="005A04BA">
        <w:t xml:space="preserve">, kvalifikovaný ZP vydávat v souladu s § 32 odst. 4 zákona </w:t>
      </w:r>
      <w:r w:rsidR="005A04BA" w:rsidRPr="00301C7D">
        <w:rPr>
          <w:color w:val="000000" w:themeColor="text1"/>
        </w:rPr>
        <w:t xml:space="preserve">č. </w:t>
      </w:r>
      <w:r w:rsidR="002234C3" w:rsidRPr="00301C7D">
        <w:rPr>
          <w:color w:val="000000" w:themeColor="text1"/>
        </w:rPr>
        <w:t>375/2022</w:t>
      </w:r>
      <w:r w:rsidR="005A04BA" w:rsidRPr="00301C7D">
        <w:rPr>
          <w:color w:val="000000" w:themeColor="text1"/>
        </w:rPr>
        <w:t xml:space="preserve"> </w:t>
      </w:r>
      <w:r w:rsidR="005A04BA">
        <w:t>Sb., o zdravotnických prostřed</w:t>
      </w:r>
      <w:r w:rsidR="00F50BC2">
        <w:t>cích</w:t>
      </w:r>
      <w:r w:rsidR="005A04BA">
        <w:t>, na základě lékařského předpisu (poukazu) a dle</w:t>
      </w:r>
      <w:r w:rsidR="00A85D13">
        <w:t xml:space="preserve"> potřeb pacientů. </w:t>
      </w:r>
      <w:r w:rsidR="00291812">
        <w:t>Odběratel</w:t>
      </w:r>
      <w:r w:rsidR="00A85D13">
        <w:t xml:space="preserve"> prohlašuje, že byl seznámen s vlastnostmi a způsobem užívání </w:t>
      </w:r>
      <w:r w:rsidR="00F97252">
        <w:t>dodávaných</w:t>
      </w:r>
      <w:r w:rsidR="00A85D13">
        <w:t xml:space="preserve"> ZP.</w:t>
      </w:r>
    </w:p>
    <w:p w14:paraId="1EFD6517" w14:textId="167A5964" w:rsidR="009C5422" w:rsidRDefault="009C5422" w:rsidP="009C5422">
      <w:pPr>
        <w:spacing w:line="312" w:lineRule="auto"/>
        <w:jc w:val="center"/>
        <w:rPr>
          <w:b/>
        </w:rPr>
      </w:pPr>
      <w:r>
        <w:rPr>
          <w:b/>
        </w:rPr>
        <w:t xml:space="preserve">ČL. </w:t>
      </w:r>
      <w:r w:rsidRPr="004E5EDB">
        <w:rPr>
          <w:b/>
        </w:rPr>
        <w:t>II.</w:t>
      </w:r>
    </w:p>
    <w:p w14:paraId="0CE32BF0" w14:textId="1556BE21" w:rsidR="009C5422" w:rsidRPr="0033469B" w:rsidRDefault="009C5422" w:rsidP="0033469B">
      <w:pPr>
        <w:spacing w:after="120" w:line="312" w:lineRule="auto"/>
        <w:jc w:val="center"/>
        <w:rPr>
          <w:b/>
        </w:rPr>
      </w:pPr>
      <w:r>
        <w:rPr>
          <w:b/>
        </w:rPr>
        <w:t xml:space="preserve">Umístění konsignačního skladu a podmínky </w:t>
      </w:r>
      <w:r w:rsidR="00614249">
        <w:rPr>
          <w:b/>
        </w:rPr>
        <w:t xml:space="preserve">jeho </w:t>
      </w:r>
      <w:r>
        <w:rPr>
          <w:b/>
        </w:rPr>
        <w:t xml:space="preserve">provozování </w:t>
      </w:r>
    </w:p>
    <w:p w14:paraId="34620F72" w14:textId="1A208045" w:rsidR="009C5422" w:rsidRDefault="009C5422" w:rsidP="0033469B">
      <w:pPr>
        <w:pStyle w:val="Odstavecseseznamem"/>
        <w:numPr>
          <w:ilvl w:val="0"/>
          <w:numId w:val="15"/>
        </w:numPr>
        <w:spacing w:after="120" w:line="312" w:lineRule="auto"/>
        <w:ind w:left="426" w:hanging="426"/>
        <w:jc w:val="both"/>
      </w:pPr>
      <w:r>
        <w:t xml:space="preserve">Konsignační sklad bude zřízen dle této smlouvy u odběratele. Za tímto účelem odběratel dodavateli vyhradí </w:t>
      </w:r>
      <w:r w:rsidRPr="006D47A2">
        <w:t>samostatný regál.</w:t>
      </w:r>
      <w:r>
        <w:t xml:space="preserve"> Poskytovatel</w:t>
      </w:r>
      <w:r w:rsidRPr="00142806">
        <w:t xml:space="preserve"> prohlašuje, že má právo hospodařen</w:t>
      </w:r>
      <w:r>
        <w:t xml:space="preserve">í </w:t>
      </w:r>
      <w:r w:rsidRPr="00142806">
        <w:t xml:space="preserve">k nemovitosti, v niž se </w:t>
      </w:r>
      <w:r>
        <w:t xml:space="preserve">konsignační sklad </w:t>
      </w:r>
      <w:r w:rsidRPr="00142806">
        <w:t>zřizuje</w:t>
      </w:r>
      <w:r>
        <w:t xml:space="preserve">. </w:t>
      </w:r>
    </w:p>
    <w:p w14:paraId="57413F06" w14:textId="5FF36CA2" w:rsidR="009C5422" w:rsidRDefault="00AF004F" w:rsidP="0033469B">
      <w:pPr>
        <w:pStyle w:val="Odstavecseseznamem"/>
        <w:numPr>
          <w:ilvl w:val="0"/>
          <w:numId w:val="15"/>
        </w:numPr>
        <w:spacing w:after="120" w:line="312" w:lineRule="auto"/>
        <w:ind w:left="426" w:hanging="426"/>
        <w:contextualSpacing w:val="0"/>
        <w:jc w:val="both"/>
      </w:pPr>
      <w:r>
        <w:t>ZP dod</w:t>
      </w:r>
      <w:r w:rsidR="005A04BA">
        <w:t>aný</w:t>
      </w:r>
      <w:r>
        <w:t xml:space="preserve"> do konsignačního skladu </w:t>
      </w:r>
      <w:r w:rsidR="005A04BA">
        <w:t>zůstává</w:t>
      </w:r>
      <w:r>
        <w:t xml:space="preserve"> </w:t>
      </w:r>
      <w:r w:rsidR="00D309B8">
        <w:t xml:space="preserve">po celou dobu uskladnění </w:t>
      </w:r>
      <w:r>
        <w:t>ve vlastnictví dodavatele</w:t>
      </w:r>
      <w:r w:rsidR="005A04BA">
        <w:t>, a to</w:t>
      </w:r>
      <w:r w:rsidR="00D309B8">
        <w:t xml:space="preserve"> až do doby </w:t>
      </w:r>
      <w:r w:rsidR="005A04BA">
        <w:t>jejich fyzického převzetí</w:t>
      </w:r>
      <w:r w:rsidR="00D309B8">
        <w:t xml:space="preserve"> pacient</w:t>
      </w:r>
      <w:r w:rsidR="005A04BA">
        <w:t>em</w:t>
      </w:r>
      <w:r>
        <w:t>. Pokud by se ve</w:t>
      </w:r>
      <w:r w:rsidR="005A04BA">
        <w:t xml:space="preserve"> vymezených prostorech konsignačního</w:t>
      </w:r>
      <w:r>
        <w:t xml:space="preserve"> skladu nacházelo i jiné zboží, je </w:t>
      </w:r>
      <w:r w:rsidR="00291812">
        <w:t xml:space="preserve">odběratel </w:t>
      </w:r>
      <w:r>
        <w:t xml:space="preserve">povinen </w:t>
      </w:r>
      <w:r w:rsidR="005A04BA">
        <w:t xml:space="preserve">řádně </w:t>
      </w:r>
      <w:r>
        <w:t>uskladnit a</w:t>
      </w:r>
      <w:r w:rsidR="005A04BA">
        <w:t xml:space="preserve"> </w:t>
      </w:r>
      <w:r>
        <w:t>zabezpečit ZP</w:t>
      </w:r>
      <w:r w:rsidR="004569A7">
        <w:t>,</w:t>
      </w:r>
      <w:r>
        <w:t xml:space="preserve"> </w:t>
      </w:r>
      <w:r w:rsidR="004569A7">
        <w:t>jež jsou předmětem této smlouvy</w:t>
      </w:r>
      <w:r w:rsidR="005A04BA">
        <w:t xml:space="preserve">, na jiném vhodném místě v rámci </w:t>
      </w:r>
      <w:r w:rsidR="005A04BA" w:rsidRPr="008270A3">
        <w:t>lékárny</w:t>
      </w:r>
      <w:r w:rsidR="004569A7" w:rsidRPr="008270A3">
        <w:t>.</w:t>
      </w:r>
      <w:r w:rsidR="005A54B8">
        <w:t xml:space="preserve"> </w:t>
      </w:r>
    </w:p>
    <w:p w14:paraId="35C724B6" w14:textId="2C06A203" w:rsidR="00AF004F" w:rsidRDefault="00AF004F" w:rsidP="0033469B">
      <w:pPr>
        <w:pStyle w:val="Odstavecseseznamem"/>
        <w:numPr>
          <w:ilvl w:val="0"/>
          <w:numId w:val="15"/>
        </w:numPr>
        <w:spacing w:after="120" w:line="312" w:lineRule="auto"/>
        <w:ind w:left="425" w:hanging="357"/>
        <w:contextualSpacing w:val="0"/>
        <w:jc w:val="both"/>
      </w:pPr>
      <w:r>
        <w:t xml:space="preserve">Dodavatel vytvoří u </w:t>
      </w:r>
      <w:r w:rsidR="00291812">
        <w:t xml:space="preserve">odběratele </w:t>
      </w:r>
      <w:r>
        <w:t xml:space="preserve">zásobu ZP v dohodnutém množství a druzích s tím, že </w:t>
      </w:r>
      <w:r w:rsidRPr="0033469B">
        <w:t xml:space="preserve">objem </w:t>
      </w:r>
      <w:r w:rsidRPr="009C5422">
        <w:t>může</w:t>
      </w:r>
      <w:r>
        <w:t xml:space="preserve"> být upravován dle potřeby </w:t>
      </w:r>
      <w:r w:rsidR="00291812">
        <w:t xml:space="preserve">odběratele </w:t>
      </w:r>
      <w:r>
        <w:t>na základě vzájemné dohody.</w:t>
      </w:r>
    </w:p>
    <w:p w14:paraId="33D81A2F" w14:textId="1582232F" w:rsidR="00AF004F" w:rsidRPr="00405AD0" w:rsidRDefault="00291812" w:rsidP="0033469B">
      <w:pPr>
        <w:pStyle w:val="Odstavecseseznamem"/>
        <w:numPr>
          <w:ilvl w:val="0"/>
          <w:numId w:val="15"/>
        </w:numPr>
        <w:spacing w:line="312" w:lineRule="auto"/>
        <w:ind w:left="426"/>
        <w:jc w:val="both"/>
      </w:pPr>
      <w:r>
        <w:t xml:space="preserve">Odběratel </w:t>
      </w:r>
      <w:r w:rsidR="00AF004F">
        <w:t>zajistí řádné uskladnění ZP</w:t>
      </w:r>
      <w:r w:rsidR="00115C92">
        <w:t xml:space="preserve"> v souladu s pokyny výrobce a takovým způsobem</w:t>
      </w:r>
      <w:r w:rsidR="00AF004F">
        <w:t>, aby nedošlo k</w:t>
      </w:r>
      <w:r w:rsidR="00115C92">
        <w:t xml:space="preserve">e snížení jejich bezpečnosti a/nebo účinnosti. Odběratel je zejména povinen zajistit </w:t>
      </w:r>
      <w:r w:rsidR="00115C92" w:rsidRPr="009C5422">
        <w:t>dodržen</w:t>
      </w:r>
      <w:r w:rsidR="009C5422">
        <w:t>í</w:t>
      </w:r>
      <w:r w:rsidR="00AF004F" w:rsidRPr="009C5422">
        <w:t xml:space="preserve"> těchto</w:t>
      </w:r>
      <w:r w:rsidR="00AF004F">
        <w:t xml:space="preserve"> podmínek:</w:t>
      </w:r>
    </w:p>
    <w:p w14:paraId="58FE36E9" w14:textId="77777777" w:rsidR="004112FC" w:rsidRDefault="004112FC" w:rsidP="004112FC">
      <w:pPr>
        <w:pStyle w:val="Odstavecseseznamem"/>
        <w:numPr>
          <w:ilvl w:val="0"/>
          <w:numId w:val="18"/>
        </w:numPr>
        <w:spacing w:line="312" w:lineRule="auto"/>
        <w:contextualSpacing w:val="0"/>
        <w:jc w:val="both"/>
      </w:pPr>
      <w:r>
        <w:t xml:space="preserve">skladování ZP na suchém místě mimo přímé sluneční záření </w:t>
      </w:r>
    </w:p>
    <w:p w14:paraId="3D792E4C" w14:textId="77777777" w:rsidR="004112FC" w:rsidRDefault="004112FC" w:rsidP="004112FC">
      <w:pPr>
        <w:pStyle w:val="Odstavecseseznamem"/>
        <w:numPr>
          <w:ilvl w:val="0"/>
          <w:numId w:val="18"/>
        </w:numPr>
        <w:spacing w:line="312" w:lineRule="auto"/>
        <w:contextualSpacing w:val="0"/>
        <w:jc w:val="both"/>
      </w:pPr>
      <w:r>
        <w:t xml:space="preserve">doporučená teplota prostředí + 50 °C až -10 °C  </w:t>
      </w:r>
    </w:p>
    <w:p w14:paraId="684396D6" w14:textId="6CF1F8B1" w:rsidR="004112FC" w:rsidRDefault="004112FC" w:rsidP="004112FC">
      <w:pPr>
        <w:pStyle w:val="Odstavecseseznamem"/>
        <w:numPr>
          <w:ilvl w:val="0"/>
          <w:numId w:val="18"/>
        </w:numPr>
        <w:spacing w:line="312" w:lineRule="auto"/>
        <w:contextualSpacing w:val="0"/>
        <w:jc w:val="both"/>
      </w:pPr>
      <w:r>
        <w:t>doporučená vlhkost prostředí do 70% relativní vlhkosti</w:t>
      </w:r>
    </w:p>
    <w:p w14:paraId="79BCE5C8" w14:textId="0B44F45A" w:rsidR="00956663" w:rsidRDefault="009E237A" w:rsidP="004112FC">
      <w:pPr>
        <w:pStyle w:val="Odstavecseseznamem"/>
        <w:spacing w:line="312" w:lineRule="auto"/>
        <w:ind w:left="426"/>
        <w:jc w:val="both"/>
      </w:pPr>
      <w:r>
        <w:t>O</w:t>
      </w:r>
      <w:r w:rsidR="00291812">
        <w:t xml:space="preserve">dběratel </w:t>
      </w:r>
      <w:r w:rsidR="001D5D13">
        <w:t>se zavazuje, že po každé</w:t>
      </w:r>
      <w:r>
        <w:t xml:space="preserve"> jednotlivé </w:t>
      </w:r>
      <w:r w:rsidR="001D5D13">
        <w:t>dodávce bez zbytečného odkladu prohlédne</w:t>
      </w:r>
      <w:r w:rsidR="004569A7">
        <w:t xml:space="preserve"> </w:t>
      </w:r>
      <w:r w:rsidR="004569A7" w:rsidRPr="009C5422">
        <w:t>dodan</w:t>
      </w:r>
      <w:r w:rsidR="009C5422" w:rsidRPr="0033469B">
        <w:t>é</w:t>
      </w:r>
      <w:r w:rsidR="004569A7" w:rsidRPr="009C5422">
        <w:t xml:space="preserve"> ZP do</w:t>
      </w:r>
      <w:r w:rsidR="001D5D13" w:rsidRPr="00614249">
        <w:t xml:space="preserve"> konsignační</w:t>
      </w:r>
      <w:r w:rsidR="004569A7" w:rsidRPr="00614249">
        <w:t>ho skladu</w:t>
      </w:r>
      <w:r w:rsidR="001D5D13" w:rsidRPr="00614249">
        <w:t>, pokud jde o je</w:t>
      </w:r>
      <w:r w:rsidR="009C5422" w:rsidRPr="0033469B">
        <w:t>jich</w:t>
      </w:r>
      <w:r w:rsidR="001D5D13" w:rsidRPr="009C5422">
        <w:t xml:space="preserve"> kvalitu</w:t>
      </w:r>
      <w:r w:rsidR="001D5D13">
        <w:t xml:space="preserve"> a množství. V případě, že budou zjištěny vady, budou oznámeny písemně s popisem vad dodavateli</w:t>
      </w:r>
      <w:r w:rsidR="00D309B8">
        <w:t>, a to v</w:t>
      </w:r>
      <w:r w:rsidR="00115C92">
        <w:t>e lhůtě</w:t>
      </w:r>
      <w:r w:rsidR="00D309B8">
        <w:t xml:space="preserve"> </w:t>
      </w:r>
      <w:r w:rsidR="00115C92">
        <w:t>pěti</w:t>
      </w:r>
      <w:r w:rsidR="00D309B8">
        <w:t xml:space="preserve"> dnů ode dne dodání ZP </w:t>
      </w:r>
      <w:r w:rsidR="00291812">
        <w:t>odběrateli</w:t>
      </w:r>
      <w:r w:rsidR="001D5D13">
        <w:t>.</w:t>
      </w:r>
    </w:p>
    <w:p w14:paraId="5EC81301" w14:textId="77777777" w:rsidR="00956663" w:rsidRDefault="005A54B8" w:rsidP="0033469B">
      <w:pPr>
        <w:pStyle w:val="Odstavecseseznamem"/>
        <w:numPr>
          <w:ilvl w:val="0"/>
          <w:numId w:val="15"/>
        </w:numPr>
        <w:spacing w:after="120" w:line="312" w:lineRule="auto"/>
        <w:ind w:left="425" w:hanging="357"/>
        <w:contextualSpacing w:val="0"/>
        <w:jc w:val="both"/>
      </w:pPr>
      <w:r>
        <w:t>Nebezpečí škody na ZP nese po celou</w:t>
      </w:r>
      <w:r w:rsidR="009E237A">
        <w:t xml:space="preserve"> </w:t>
      </w:r>
      <w:r>
        <w:t xml:space="preserve">dobu uskladnění </w:t>
      </w:r>
      <w:r w:rsidR="00291812">
        <w:t>odběratel</w:t>
      </w:r>
      <w:r>
        <w:t>.</w:t>
      </w:r>
      <w:r w:rsidR="006D5CB7">
        <w:t xml:space="preserve"> </w:t>
      </w:r>
      <w:r w:rsidR="00291812">
        <w:t xml:space="preserve">Odběratel </w:t>
      </w:r>
      <w:r w:rsidR="001D5D13">
        <w:t>odpovídá za ztrátu nebo vznik škod na uskladněných ZP s výjimkou ztrát nebo poškození, kterým nemohl zabránit ani při vynaložení veškerého úsilí, které lze na něm</w:t>
      </w:r>
      <w:r w:rsidR="00115C92">
        <w:t xml:space="preserve"> rozumně</w:t>
      </w:r>
      <w:r w:rsidR="001D5D13">
        <w:t xml:space="preserve"> požadovat.</w:t>
      </w:r>
    </w:p>
    <w:p w14:paraId="3C8DF630" w14:textId="25E52633" w:rsidR="00956663" w:rsidRDefault="00956663" w:rsidP="0033469B">
      <w:pPr>
        <w:pStyle w:val="Odstavecseseznamem"/>
        <w:numPr>
          <w:ilvl w:val="0"/>
          <w:numId w:val="15"/>
        </w:numPr>
        <w:spacing w:after="120" w:line="312" w:lineRule="auto"/>
        <w:ind w:left="425" w:hanging="357"/>
        <w:contextualSpacing w:val="0"/>
        <w:jc w:val="both"/>
      </w:pPr>
      <w:r>
        <w:t>Odběratel je povinen neprodleně oznámit dodavateli ško</w:t>
      </w:r>
      <w:r w:rsidR="000A75F6">
        <w:t>dy způsobené na skladovaných ZP.</w:t>
      </w:r>
    </w:p>
    <w:p w14:paraId="2D2A6DB3" w14:textId="62F74625" w:rsidR="004E5EDB" w:rsidRDefault="001D5D13" w:rsidP="0033469B">
      <w:pPr>
        <w:pStyle w:val="Odstavecseseznamem"/>
        <w:numPr>
          <w:ilvl w:val="0"/>
          <w:numId w:val="15"/>
        </w:numPr>
        <w:spacing w:line="312" w:lineRule="auto"/>
        <w:ind w:left="426"/>
        <w:jc w:val="both"/>
      </w:pPr>
      <w:r>
        <w:t>ZP dodané do konsignačního skladu budou opatřeny dodacím listem a jejich evidenci výdeje a stavu zásob bude provádět</w:t>
      </w:r>
      <w:r w:rsidR="00956663">
        <w:t xml:space="preserve"> odpovědný</w:t>
      </w:r>
      <w:r>
        <w:t xml:space="preserve"> zaměstnanec </w:t>
      </w:r>
      <w:r w:rsidR="00291812">
        <w:t>odběratele</w:t>
      </w:r>
      <w:r w:rsidR="008270A3">
        <w:t>,</w:t>
      </w:r>
      <w:r w:rsidR="00956663">
        <w:t xml:space="preserve"> zodpovídající </w:t>
      </w:r>
      <w:r w:rsidR="00956663" w:rsidRPr="0033469B">
        <w:t>z</w:t>
      </w:r>
      <w:r w:rsidR="009C5422" w:rsidRPr="009C5422">
        <w:t>a</w:t>
      </w:r>
      <w:r w:rsidR="00956663">
        <w:t> řádný provoz konsignačního skladu</w:t>
      </w:r>
      <w:r w:rsidR="007F6C39" w:rsidRPr="00D22C8D">
        <w:t>.</w:t>
      </w:r>
      <w:r w:rsidR="004E5EDB" w:rsidRPr="00D22C8D">
        <w:t xml:space="preserve"> </w:t>
      </w:r>
      <w:r w:rsidR="004E5EDB">
        <w:t>Na konci každého</w:t>
      </w:r>
      <w:r w:rsidR="008270A3">
        <w:t xml:space="preserve"> </w:t>
      </w:r>
      <w:r w:rsidR="004569A7" w:rsidRPr="008270A3">
        <w:t>čtvrtletí</w:t>
      </w:r>
      <w:r w:rsidR="004E5EDB">
        <w:t xml:space="preserve"> odsouhlasí obě smluvní strany výši zásob konsignačního skladu. Konsignační sklad bude doplňován průběžně dle požadavků </w:t>
      </w:r>
      <w:r w:rsidR="00291812">
        <w:t>odběratele</w:t>
      </w:r>
      <w:r w:rsidR="004E5EDB">
        <w:t>.</w:t>
      </w:r>
    </w:p>
    <w:p w14:paraId="5872F357" w14:textId="77777777" w:rsidR="00BE321F" w:rsidRDefault="00BE321F" w:rsidP="00BE321F">
      <w:pPr>
        <w:spacing w:line="312" w:lineRule="auto"/>
        <w:jc w:val="both"/>
      </w:pPr>
    </w:p>
    <w:p w14:paraId="43A6540E" w14:textId="77777777" w:rsidR="00BE321F" w:rsidRDefault="00BE321F" w:rsidP="00BE321F">
      <w:pPr>
        <w:spacing w:line="312" w:lineRule="auto"/>
        <w:jc w:val="both"/>
      </w:pPr>
    </w:p>
    <w:p w14:paraId="750E082B" w14:textId="77777777" w:rsidR="00891914" w:rsidRDefault="00891914" w:rsidP="0033469B">
      <w:pPr>
        <w:spacing w:line="312" w:lineRule="auto"/>
        <w:ind w:left="1248" w:firstLine="168"/>
        <w:jc w:val="center"/>
        <w:rPr>
          <w:b/>
        </w:rPr>
      </w:pPr>
    </w:p>
    <w:p w14:paraId="365C3DF3" w14:textId="6FEE6334" w:rsidR="004569A7" w:rsidRDefault="004569A7" w:rsidP="0033469B">
      <w:pPr>
        <w:spacing w:line="312" w:lineRule="auto"/>
        <w:jc w:val="center"/>
        <w:rPr>
          <w:b/>
        </w:rPr>
      </w:pPr>
      <w:r>
        <w:rPr>
          <w:b/>
        </w:rPr>
        <w:lastRenderedPageBreak/>
        <w:t xml:space="preserve">ČL. </w:t>
      </w:r>
      <w:r w:rsidR="004E5EDB" w:rsidRPr="004E5EDB">
        <w:rPr>
          <w:b/>
        </w:rPr>
        <w:t>I</w:t>
      </w:r>
      <w:r w:rsidR="003564CF">
        <w:rPr>
          <w:b/>
        </w:rPr>
        <w:t>I</w:t>
      </w:r>
      <w:r w:rsidR="004E5EDB" w:rsidRPr="004E5EDB">
        <w:rPr>
          <w:b/>
        </w:rPr>
        <w:t>I.</w:t>
      </w:r>
    </w:p>
    <w:p w14:paraId="0BC17583" w14:textId="77777777" w:rsidR="00BC5064" w:rsidRDefault="00291812" w:rsidP="0033469B">
      <w:pPr>
        <w:spacing w:after="120" w:line="312" w:lineRule="auto"/>
        <w:jc w:val="center"/>
        <w:rPr>
          <w:b/>
        </w:rPr>
      </w:pPr>
      <w:r>
        <w:rPr>
          <w:b/>
        </w:rPr>
        <w:t>Cenové ujednání</w:t>
      </w:r>
    </w:p>
    <w:p w14:paraId="779F269A" w14:textId="131CAA57" w:rsidR="00901AE4" w:rsidRDefault="0012414D" w:rsidP="0033469B">
      <w:pPr>
        <w:pStyle w:val="Odstavecseseznamem"/>
        <w:numPr>
          <w:ilvl w:val="0"/>
          <w:numId w:val="7"/>
        </w:numPr>
        <w:spacing w:after="120" w:line="312" w:lineRule="auto"/>
        <w:ind w:hanging="502"/>
        <w:jc w:val="both"/>
      </w:pPr>
      <w:r>
        <w:t>O</w:t>
      </w:r>
      <w:r w:rsidR="00956663">
        <w:t xml:space="preserve">dběrem </w:t>
      </w:r>
      <w:r>
        <w:t>ZP z </w:t>
      </w:r>
      <w:r w:rsidRPr="0033469B">
        <w:t>konsignačního</w:t>
      </w:r>
      <w:r w:rsidR="00956663" w:rsidRPr="0033469B">
        <w:t xml:space="preserve"> </w:t>
      </w:r>
      <w:r w:rsidR="009C5422" w:rsidRPr="009C5422">
        <w:t>skladu</w:t>
      </w:r>
      <w:r w:rsidR="009C5422">
        <w:t xml:space="preserve"> </w:t>
      </w:r>
      <w:r>
        <w:t>za účelem jejich výdeje nebo prodej</w:t>
      </w:r>
      <w:r w:rsidR="002548C5">
        <w:t>e</w:t>
      </w:r>
      <w:r w:rsidR="00956663">
        <w:t xml:space="preserve"> se uzavírá kupní smlouva mezi</w:t>
      </w:r>
      <w:r w:rsidR="002548C5">
        <w:t xml:space="preserve"> dodavatelem</w:t>
      </w:r>
      <w:r w:rsidR="00956663">
        <w:t xml:space="preserve"> a </w:t>
      </w:r>
      <w:r w:rsidR="002548C5">
        <w:t xml:space="preserve">odběratelem </w:t>
      </w:r>
      <w:r w:rsidR="00956663">
        <w:t xml:space="preserve">k tomuto </w:t>
      </w:r>
      <w:r w:rsidR="002548C5">
        <w:t>odebranému ZP</w:t>
      </w:r>
      <w:r w:rsidR="00956663">
        <w:t>, přičemž kupní ceny zboží jsou stanoveny dle</w:t>
      </w:r>
      <w:r w:rsidR="002548C5">
        <w:t xml:space="preserve"> ceníku</w:t>
      </w:r>
      <w:r w:rsidR="00A5121A">
        <w:t xml:space="preserve"> v Příloze č. 2 této smlouvy</w:t>
      </w:r>
      <w:r w:rsidR="003564CF">
        <w:t>.</w:t>
      </w:r>
      <w:r w:rsidR="00956663">
        <w:t xml:space="preserve"> </w:t>
      </w:r>
    </w:p>
    <w:p w14:paraId="0D3BA172" w14:textId="504BC40C" w:rsidR="00901AE4" w:rsidRDefault="002548C5" w:rsidP="0033469B">
      <w:pPr>
        <w:pStyle w:val="Odstavecseseznamem"/>
        <w:numPr>
          <w:ilvl w:val="0"/>
          <w:numId w:val="7"/>
        </w:numPr>
        <w:spacing w:after="120" w:line="312" w:lineRule="auto"/>
        <w:ind w:hanging="502"/>
        <w:jc w:val="both"/>
      </w:pPr>
      <w:r>
        <w:t>Odběratel</w:t>
      </w:r>
      <w:r w:rsidR="00956663">
        <w:t xml:space="preserve"> je povinen zaplatit </w:t>
      </w:r>
      <w:r>
        <w:t>dodavateli</w:t>
      </w:r>
      <w:r w:rsidR="00956663">
        <w:t xml:space="preserve"> kupní cenu za odebrané </w:t>
      </w:r>
      <w:r>
        <w:t xml:space="preserve">ZP z konsignačního skladu na </w:t>
      </w:r>
      <w:r w:rsidR="00956663">
        <w:t xml:space="preserve">základě faktury vystavené </w:t>
      </w:r>
      <w:r>
        <w:t>dodavatelem</w:t>
      </w:r>
      <w:r w:rsidR="00956663">
        <w:t xml:space="preserve">, a to za každé jednotlivé plnění dle </w:t>
      </w:r>
      <w:r>
        <w:t>výdejních dokladů</w:t>
      </w:r>
      <w:r w:rsidR="002234C3">
        <w:t>, které jsou podkladem pro provedení fakturace.</w:t>
      </w:r>
      <w:r>
        <w:t xml:space="preserve"> </w:t>
      </w:r>
    </w:p>
    <w:p w14:paraId="1A665C4B" w14:textId="05322556" w:rsidR="00901AE4" w:rsidRDefault="00956663" w:rsidP="0033469B">
      <w:pPr>
        <w:pStyle w:val="Odstavecseseznamem"/>
        <w:numPr>
          <w:ilvl w:val="0"/>
          <w:numId w:val="7"/>
        </w:numPr>
        <w:spacing w:after="120" w:line="312" w:lineRule="auto"/>
        <w:ind w:hanging="502"/>
        <w:jc w:val="both"/>
      </w:pPr>
      <w:r>
        <w:t xml:space="preserve">Dohodnutá doba splatnosti faktury je </w:t>
      </w:r>
      <w:r w:rsidR="008270A3">
        <w:t>30</w:t>
      </w:r>
      <w:r w:rsidR="002548C5">
        <w:t xml:space="preserve"> </w:t>
      </w:r>
      <w:r>
        <w:t>dní od vystavení faktury.</w:t>
      </w:r>
      <w:r w:rsidR="002548C5">
        <w:t xml:space="preserve"> V případě, že dodavatelem vystavená faktura bude obsahovat nesprávné či neúplné údaje, je odběratel oprávněn dodavateli takovou fakturu do data splatnosti vrátit k opravě n</w:t>
      </w:r>
      <w:r w:rsidR="002548C5" w:rsidRPr="002548C5">
        <w:t>ebo vystaven</w:t>
      </w:r>
      <w:r w:rsidR="002548C5">
        <w:t>í</w:t>
      </w:r>
      <w:r w:rsidR="002548C5" w:rsidRPr="002548C5">
        <w:t xml:space="preserve"> nové faktury. U opravené nebo nově vystavené faktury běží nově doba splatnosti.</w:t>
      </w:r>
    </w:p>
    <w:p w14:paraId="4E1F5E2E" w14:textId="476B4A9B" w:rsidR="00901AE4" w:rsidRDefault="00956663" w:rsidP="0033469B">
      <w:pPr>
        <w:pStyle w:val="Odstavecseseznamem"/>
        <w:numPr>
          <w:ilvl w:val="0"/>
          <w:numId w:val="7"/>
        </w:numPr>
        <w:spacing w:after="120" w:line="312" w:lineRule="auto"/>
        <w:ind w:hanging="502"/>
        <w:jc w:val="both"/>
      </w:pPr>
      <w:r>
        <w:t xml:space="preserve">Pro případ prodlení </w:t>
      </w:r>
      <w:r w:rsidR="002548C5">
        <w:t>odběrat</w:t>
      </w:r>
      <w:r w:rsidR="002548C5" w:rsidRPr="00A2130F">
        <w:t>e</w:t>
      </w:r>
      <w:r w:rsidR="00A2130F" w:rsidRPr="0033469B">
        <w:t>le</w:t>
      </w:r>
      <w:r w:rsidR="002548C5">
        <w:t xml:space="preserve"> </w:t>
      </w:r>
      <w:r>
        <w:t>s</w:t>
      </w:r>
      <w:r w:rsidR="002548C5">
        <w:t> </w:t>
      </w:r>
      <w:r>
        <w:t>úhradou</w:t>
      </w:r>
      <w:r w:rsidR="002548C5">
        <w:t xml:space="preserve"> kupní ceny</w:t>
      </w:r>
      <w:r>
        <w:t xml:space="preserve"> smluvní strany sjednávají úrok z</w:t>
      </w:r>
      <w:r w:rsidR="002548C5">
        <w:t> </w:t>
      </w:r>
      <w:r>
        <w:t>prodlení</w:t>
      </w:r>
      <w:r w:rsidR="002548C5">
        <w:t xml:space="preserve"> ve výši</w:t>
      </w:r>
      <w:r>
        <w:t xml:space="preserve"> 0,02</w:t>
      </w:r>
      <w:r w:rsidR="002548C5">
        <w:t xml:space="preserve"> </w:t>
      </w:r>
      <w:r>
        <w:t>%</w:t>
      </w:r>
      <w:r w:rsidR="002548C5">
        <w:t xml:space="preserve"> </w:t>
      </w:r>
      <w:r>
        <w:t>z nezaplacené částky za každ</w:t>
      </w:r>
      <w:r w:rsidR="002548C5">
        <w:t>ý</w:t>
      </w:r>
      <w:r>
        <w:t xml:space="preserve"> započatý den prodlení.</w:t>
      </w:r>
    </w:p>
    <w:p w14:paraId="5E211E36" w14:textId="30E17FF4" w:rsidR="00A6379B" w:rsidRDefault="00A6379B" w:rsidP="006A0861">
      <w:pPr>
        <w:pStyle w:val="Odstavecseseznamem"/>
        <w:numPr>
          <w:ilvl w:val="0"/>
          <w:numId w:val="7"/>
        </w:numPr>
        <w:spacing w:after="120" w:line="276" w:lineRule="auto"/>
        <w:ind w:hanging="502"/>
        <w:jc w:val="both"/>
      </w:pPr>
      <w:r w:rsidRPr="00D22C8D">
        <w:t>Za služby spojené s uskladněním, evidencí a manipulací ZP v konsignačním skladu má odběratel právo účtovat dodavateli skladové manipulační poplatky</w:t>
      </w:r>
      <w:r w:rsidR="006A0861">
        <w:t>, jejichž výše je stanovena v Příloze č.1 této Smlouvy.</w:t>
      </w:r>
      <w:r w:rsidRPr="00D22C8D">
        <w:t xml:space="preserve"> Poplatek bude odběratel vyúčtovávat </w:t>
      </w:r>
      <w:r w:rsidRPr="006A0861">
        <w:t>čtvrtletně</w:t>
      </w:r>
      <w:r w:rsidRPr="00D22C8D">
        <w:t xml:space="preserve"> řádným daňovým dokladem se splatností 30 dnů ode dne doručení dokladu dodavateli.</w:t>
      </w:r>
    </w:p>
    <w:p w14:paraId="0A783859" w14:textId="6D4BD907" w:rsidR="006A0861" w:rsidRDefault="006A0861" w:rsidP="006A0861">
      <w:pPr>
        <w:spacing w:after="120" w:line="276" w:lineRule="auto"/>
        <w:jc w:val="both"/>
      </w:pPr>
      <w:r>
        <w:t xml:space="preserve">        Příloha č.1 této Smlouvy a informace v ní uvedené se nezveřejní, a to ani jako metadata</w:t>
      </w:r>
    </w:p>
    <w:p w14:paraId="41165273" w14:textId="24DC6EBD" w:rsidR="006A0861" w:rsidRDefault="006A0861" w:rsidP="006A0861">
      <w:pPr>
        <w:spacing w:after="120" w:line="276" w:lineRule="auto"/>
        <w:jc w:val="both"/>
      </w:pPr>
      <w:r>
        <w:t xml:space="preserve">        s ohledem na to že, tvoří obchodní tajemství dodavatele a odběratele (ve smyslu zákonné </w:t>
      </w:r>
    </w:p>
    <w:p w14:paraId="1065CE63" w14:textId="56F8C1FF" w:rsidR="006A0861" w:rsidRDefault="006A0861" w:rsidP="006A0861">
      <w:pPr>
        <w:spacing w:after="120" w:line="276" w:lineRule="auto"/>
        <w:jc w:val="both"/>
      </w:pPr>
      <w:r>
        <w:t xml:space="preserve">        definice § 504 zákona č.89/2012 Sb., občanský zákoník), neboť všeobecný přístup k těmto</w:t>
      </w:r>
    </w:p>
    <w:p w14:paraId="2CAB5FD1" w14:textId="7CD0E149" w:rsidR="006A0861" w:rsidRDefault="006A0861" w:rsidP="006A0861">
      <w:pPr>
        <w:spacing w:after="120" w:line="276" w:lineRule="auto"/>
        <w:jc w:val="both"/>
      </w:pPr>
      <w:r>
        <w:t xml:space="preserve">        informacím může mít podstatný dopad na ekonomické výsledky a vyjednávací pozici </w:t>
      </w:r>
    </w:p>
    <w:p w14:paraId="4587A313" w14:textId="0A1523ED" w:rsidR="006A0861" w:rsidRDefault="006A0861" w:rsidP="006A0861">
      <w:pPr>
        <w:spacing w:after="120" w:line="276" w:lineRule="auto"/>
        <w:jc w:val="both"/>
      </w:pPr>
      <w:r>
        <w:t xml:space="preserve">        dodavatele a odběratele.</w:t>
      </w:r>
    </w:p>
    <w:p w14:paraId="76D36199" w14:textId="216DA870" w:rsidR="006A0861" w:rsidRDefault="006A0861" w:rsidP="006A0861">
      <w:pPr>
        <w:spacing w:after="120" w:line="276" w:lineRule="auto"/>
        <w:jc w:val="both"/>
      </w:pPr>
      <w:r>
        <w:t xml:space="preserve">        Smluvní strany souhlasí, že v souladu s ustanovením §5 odst.2 Zákona o registru smluv</w:t>
      </w:r>
    </w:p>
    <w:p w14:paraId="746E8908" w14:textId="4652DC1C" w:rsidR="006A0861" w:rsidRDefault="006A0861" w:rsidP="006A0861">
      <w:pPr>
        <w:spacing w:after="120" w:line="276" w:lineRule="auto"/>
        <w:jc w:val="both"/>
      </w:pPr>
      <w:r>
        <w:t xml:space="preserve">        zašle správci registru smluv elektronický obraz </w:t>
      </w:r>
      <w:r w:rsidR="00777F87">
        <w:t>této</w:t>
      </w:r>
      <w:r>
        <w:t xml:space="preserve"> </w:t>
      </w:r>
      <w:r w:rsidR="00777F87">
        <w:t xml:space="preserve">Smlouvy </w:t>
      </w:r>
      <w:r>
        <w:t xml:space="preserve">a metadata vyžadovaná  </w:t>
      </w:r>
    </w:p>
    <w:p w14:paraId="7AF2E6AC" w14:textId="33D5AE94" w:rsidR="006A0861" w:rsidRDefault="006A0861" w:rsidP="006A0861">
      <w:pPr>
        <w:spacing w:after="120" w:line="276" w:lineRule="auto"/>
        <w:jc w:val="both"/>
      </w:pPr>
      <w:r>
        <w:t xml:space="preserve">        Zákonem o registru smluv odběratel, a to až poté, co v elektronickém obrazu této Smlouvy </w:t>
      </w:r>
    </w:p>
    <w:p w14:paraId="45475F55" w14:textId="1CF7ED98" w:rsidR="00A6379B" w:rsidRDefault="006A0861" w:rsidP="006A0861">
      <w:pPr>
        <w:spacing w:after="120" w:line="276" w:lineRule="auto"/>
        <w:jc w:val="both"/>
      </w:pPr>
      <w:r>
        <w:t xml:space="preserve">        znečitelní Přílohu č.</w:t>
      </w:r>
      <w:r w:rsidR="004609E1">
        <w:t>1</w:t>
      </w:r>
      <w:r>
        <w:t>.</w:t>
      </w:r>
    </w:p>
    <w:p w14:paraId="6C0C016B" w14:textId="77777777" w:rsidR="00956663" w:rsidRDefault="00956663" w:rsidP="0033469B">
      <w:pPr>
        <w:pStyle w:val="Odstavecseseznamem"/>
        <w:spacing w:line="312" w:lineRule="auto"/>
        <w:ind w:left="502"/>
        <w:jc w:val="center"/>
        <w:rPr>
          <w:b/>
        </w:rPr>
      </w:pPr>
    </w:p>
    <w:p w14:paraId="239F5405" w14:textId="37CE159C" w:rsidR="00956663" w:rsidRPr="00956663" w:rsidRDefault="00956663" w:rsidP="0033469B">
      <w:pPr>
        <w:keepNext/>
        <w:spacing w:line="312" w:lineRule="auto"/>
        <w:jc w:val="center"/>
        <w:rPr>
          <w:b/>
        </w:rPr>
      </w:pPr>
      <w:r w:rsidRPr="00956663">
        <w:rPr>
          <w:b/>
        </w:rPr>
        <w:t>ČL. I</w:t>
      </w:r>
      <w:r w:rsidR="003564CF">
        <w:rPr>
          <w:b/>
        </w:rPr>
        <w:t>V</w:t>
      </w:r>
      <w:r w:rsidRPr="00956663">
        <w:rPr>
          <w:b/>
        </w:rPr>
        <w:t>.</w:t>
      </w:r>
    </w:p>
    <w:p w14:paraId="3266F7E5" w14:textId="77777777" w:rsidR="00956663" w:rsidRPr="00625B64" w:rsidRDefault="00956663" w:rsidP="0033469B">
      <w:pPr>
        <w:keepNext/>
        <w:spacing w:after="120" w:line="312" w:lineRule="auto"/>
        <w:jc w:val="center"/>
        <w:rPr>
          <w:b/>
        </w:rPr>
      </w:pPr>
      <w:r>
        <w:rPr>
          <w:b/>
        </w:rPr>
        <w:t>Kontrola konsignačního skladu, inventura</w:t>
      </w:r>
    </w:p>
    <w:p w14:paraId="0FB788B4" w14:textId="50EB02A4" w:rsidR="00901AE4" w:rsidRDefault="002548C5" w:rsidP="0033469B">
      <w:pPr>
        <w:pStyle w:val="Odstavecseseznamem"/>
        <w:keepNext/>
        <w:numPr>
          <w:ilvl w:val="0"/>
          <w:numId w:val="11"/>
        </w:numPr>
        <w:tabs>
          <w:tab w:val="left" w:pos="142"/>
        </w:tabs>
        <w:spacing w:after="120" w:line="312" w:lineRule="auto"/>
        <w:ind w:left="567" w:hanging="567"/>
        <w:jc w:val="both"/>
      </w:pPr>
      <w:r>
        <w:t xml:space="preserve">Odběratel </w:t>
      </w:r>
      <w:r w:rsidR="00956663">
        <w:t xml:space="preserve">je povinen umožnit </w:t>
      </w:r>
      <w:r>
        <w:t>dodavat</w:t>
      </w:r>
      <w:r w:rsidR="00625B64">
        <w:t>e</w:t>
      </w:r>
      <w:r>
        <w:t>l</w:t>
      </w:r>
      <w:r w:rsidR="00625B64">
        <w:t>i</w:t>
      </w:r>
      <w:r w:rsidR="00956663">
        <w:t xml:space="preserve"> kdykoli na základě písemné </w:t>
      </w:r>
      <w:r>
        <w:t>výzvy</w:t>
      </w:r>
      <w:r w:rsidR="00956663">
        <w:t xml:space="preserve"> prohlídku</w:t>
      </w:r>
      <w:r>
        <w:t xml:space="preserve"> konsignačního skladu</w:t>
      </w:r>
      <w:r w:rsidR="00956663">
        <w:t xml:space="preserve">, porovnat stav zásob </w:t>
      </w:r>
      <w:r>
        <w:t xml:space="preserve">ZP </w:t>
      </w:r>
      <w:r w:rsidR="00956663">
        <w:t xml:space="preserve">se záznamy v evidenci a provést inventuru </w:t>
      </w:r>
      <w:r w:rsidRPr="0033469B">
        <w:lastRenderedPageBreak/>
        <w:t>skladova</w:t>
      </w:r>
      <w:r w:rsidR="0033469B" w:rsidRPr="0033469B">
        <w:t>ných ZP</w:t>
      </w:r>
      <w:r w:rsidR="00956663" w:rsidRPr="0033469B">
        <w:t xml:space="preserve"> </w:t>
      </w:r>
      <w:r w:rsidR="00956663">
        <w:t xml:space="preserve">za účasti </w:t>
      </w:r>
      <w:r>
        <w:t>odpovědného</w:t>
      </w:r>
      <w:r w:rsidR="00956663">
        <w:t xml:space="preserve"> zaměstnance </w:t>
      </w:r>
      <w:r>
        <w:t>odběratele</w:t>
      </w:r>
      <w:r w:rsidR="00956663">
        <w:t xml:space="preserve">. Písemná </w:t>
      </w:r>
      <w:r>
        <w:t>výzva</w:t>
      </w:r>
      <w:r w:rsidR="00956663">
        <w:t xml:space="preserve"> </w:t>
      </w:r>
      <w:r>
        <w:t>dodavatele</w:t>
      </w:r>
      <w:r w:rsidR="00956663">
        <w:t xml:space="preserve"> musí </w:t>
      </w:r>
      <w:r>
        <w:t>být</w:t>
      </w:r>
      <w:r w:rsidR="00956663">
        <w:t xml:space="preserve"> doručena </w:t>
      </w:r>
      <w:r w:rsidR="00625B64">
        <w:t>odběrateli</w:t>
      </w:r>
      <w:r w:rsidR="00956663">
        <w:t xml:space="preserve"> nejméně</w:t>
      </w:r>
      <w:r w:rsidR="00625B64">
        <w:t xml:space="preserve"> pět </w:t>
      </w:r>
      <w:r w:rsidR="00956663">
        <w:t>pracovních dnů předem.</w:t>
      </w:r>
    </w:p>
    <w:p w14:paraId="576764E2" w14:textId="77777777" w:rsidR="00956663" w:rsidRDefault="00956663" w:rsidP="0033469B">
      <w:pPr>
        <w:pStyle w:val="Odstavecseseznamem"/>
        <w:keepNext/>
        <w:numPr>
          <w:ilvl w:val="0"/>
          <w:numId w:val="11"/>
        </w:numPr>
        <w:tabs>
          <w:tab w:val="left" w:pos="142"/>
        </w:tabs>
        <w:spacing w:after="120" w:line="312" w:lineRule="auto"/>
        <w:ind w:left="567" w:hanging="567"/>
        <w:jc w:val="both"/>
      </w:pPr>
      <w:r>
        <w:t xml:space="preserve">Nejméně </w:t>
      </w:r>
      <w:r w:rsidR="00625B64">
        <w:t>jednou ročně</w:t>
      </w:r>
      <w:r>
        <w:t xml:space="preserve"> bude za účasti smluvních stran provedena inventura </w:t>
      </w:r>
      <w:r w:rsidR="00625B64">
        <w:t>ZP</w:t>
      </w:r>
      <w:r>
        <w:t xml:space="preserve"> v</w:t>
      </w:r>
      <w:r w:rsidR="00625B64">
        <w:t> konsignačnímu skladu</w:t>
      </w:r>
      <w:r>
        <w:t xml:space="preserve">. </w:t>
      </w:r>
      <w:r w:rsidR="00625B64">
        <w:t>Závěrečný</w:t>
      </w:r>
      <w:r>
        <w:t xml:space="preserve"> protokol o provedené inventuře bude podkladem pro vyúčtování </w:t>
      </w:r>
      <w:r w:rsidR="00625B64">
        <w:t>případných</w:t>
      </w:r>
      <w:r>
        <w:t xml:space="preserve"> </w:t>
      </w:r>
      <w:r w:rsidR="00625B64">
        <w:t>rozdílů</w:t>
      </w:r>
      <w:r>
        <w:t>.</w:t>
      </w:r>
    </w:p>
    <w:p w14:paraId="7FCA1AE0" w14:textId="781FD2AB" w:rsidR="00625B64" w:rsidRPr="00956663" w:rsidRDefault="00625B64" w:rsidP="0033469B">
      <w:pPr>
        <w:keepNext/>
        <w:spacing w:line="312" w:lineRule="auto"/>
        <w:jc w:val="center"/>
        <w:rPr>
          <w:b/>
        </w:rPr>
      </w:pPr>
      <w:r w:rsidRPr="00956663">
        <w:rPr>
          <w:b/>
        </w:rPr>
        <w:t xml:space="preserve">ČL. </w:t>
      </w:r>
      <w:r w:rsidR="008B5D33">
        <w:rPr>
          <w:b/>
        </w:rPr>
        <w:t>V</w:t>
      </w:r>
      <w:r w:rsidRPr="00956663">
        <w:rPr>
          <w:b/>
        </w:rPr>
        <w:t>.</w:t>
      </w:r>
    </w:p>
    <w:p w14:paraId="077610B2" w14:textId="77777777" w:rsidR="00625B64" w:rsidRPr="00625B64" w:rsidRDefault="00625B64" w:rsidP="0033469B">
      <w:pPr>
        <w:keepNext/>
        <w:spacing w:after="120" w:line="312" w:lineRule="auto"/>
        <w:jc w:val="center"/>
        <w:rPr>
          <w:b/>
        </w:rPr>
      </w:pPr>
      <w:r>
        <w:rPr>
          <w:b/>
        </w:rPr>
        <w:t>Mlčenlivost</w:t>
      </w:r>
    </w:p>
    <w:p w14:paraId="16846570" w14:textId="0CA2C864" w:rsidR="00901AE4" w:rsidRDefault="00625B64" w:rsidP="00901AE4">
      <w:pPr>
        <w:pStyle w:val="Odstavecseseznamem"/>
        <w:numPr>
          <w:ilvl w:val="0"/>
          <w:numId w:val="13"/>
        </w:numPr>
        <w:spacing w:after="120" w:line="312" w:lineRule="auto"/>
        <w:ind w:left="567" w:hanging="567"/>
        <w:jc w:val="both"/>
      </w:pPr>
      <w:r>
        <w:t>Smluvní strany se zavaz</w:t>
      </w:r>
      <w:r w:rsidRPr="00200F2C">
        <w:t>uj</w:t>
      </w:r>
      <w:r w:rsidR="00200F2C" w:rsidRPr="0033469B">
        <w:t>í</w:t>
      </w:r>
      <w:r>
        <w:t xml:space="preserve"> zachovávat mlčenlivost o všech skutečnostech, o kterých se dozvěděly v souvislosti s touto smlouvou (bez ohledu na to, zda před nebo po jejím uzavření) a které nejsou veřejně přístupné, zejména ohledně ustanovení a podmínkách této smlouvy, druhé smluvní strany, o identitě třetích osob spolupracujících s druhou ze smluvních stran, charakteru této spolupráce a vztazích s třetími stranami vůbec, o cenách, obchodních záměrech a podnikatelských příležitostech druhé smluvní strany, které se dozvědí v průběhu spolupráce s druhou smluvní stranou. Veškeré takové informace budou považovány za důvěrné (dále jen "</w:t>
      </w:r>
      <w:r w:rsidRPr="00625B64">
        <w:rPr>
          <w:b/>
          <w:bCs/>
        </w:rPr>
        <w:t>důvěrné informace</w:t>
      </w:r>
      <w:r>
        <w:t>").</w:t>
      </w:r>
      <w:r w:rsidR="00AC3C6C">
        <w:t xml:space="preserve"> </w:t>
      </w:r>
    </w:p>
    <w:p w14:paraId="76AA43A5" w14:textId="63B0B43A" w:rsidR="00901AE4" w:rsidRDefault="00625B64" w:rsidP="0033469B">
      <w:pPr>
        <w:pStyle w:val="Odstavecseseznamem"/>
        <w:numPr>
          <w:ilvl w:val="0"/>
          <w:numId w:val="13"/>
        </w:numPr>
        <w:spacing w:after="120" w:line="312" w:lineRule="auto"/>
        <w:ind w:left="567" w:hanging="567"/>
        <w:jc w:val="both"/>
      </w:pPr>
      <w:r>
        <w:t>Povinnost zachovávat mlčenlivost trvá i po skončen</w:t>
      </w:r>
      <w:r w:rsidR="008B5D33">
        <w:t>í</w:t>
      </w:r>
      <w:r>
        <w:t xml:space="preserve"> smluvního vztahu založeného touto smlouvou.</w:t>
      </w:r>
    </w:p>
    <w:p w14:paraId="160FC939" w14:textId="2EE0471F" w:rsidR="00614249" w:rsidRPr="00D22C8D" w:rsidRDefault="00625B64" w:rsidP="0033469B">
      <w:pPr>
        <w:pStyle w:val="Odstavecseseznamem"/>
        <w:numPr>
          <w:ilvl w:val="0"/>
          <w:numId w:val="13"/>
        </w:numPr>
        <w:spacing w:after="120" w:line="312" w:lineRule="auto"/>
        <w:ind w:left="567" w:hanging="567"/>
        <w:jc w:val="both"/>
      </w:pPr>
      <w:r>
        <w:t xml:space="preserve">Smluvní strany mohou zpřístupnit důvěrné informace, pokud to bude požadováno </w:t>
      </w:r>
      <w:r w:rsidR="008B5D33">
        <w:t>platnými</w:t>
      </w:r>
      <w:r>
        <w:t xml:space="preserve"> právními předpisy či </w:t>
      </w:r>
      <w:r w:rsidR="008B5D33">
        <w:t>závaznými</w:t>
      </w:r>
      <w:r>
        <w:t xml:space="preserve"> rozhodnutími soudů či </w:t>
      </w:r>
      <w:r w:rsidR="008B5D33">
        <w:t>jiných</w:t>
      </w:r>
      <w:r>
        <w:t xml:space="preserve"> státních orgánů s tím, že </w:t>
      </w:r>
      <w:r w:rsidR="008B5D33">
        <w:t>(</w:t>
      </w:r>
      <w:r>
        <w:t>pokud to bude</w:t>
      </w:r>
      <w:r w:rsidR="008B5D33">
        <w:t xml:space="preserve"> </w:t>
      </w:r>
      <w:r>
        <w:t>možné) si poskytnou předchozí písemné upozorněn</w:t>
      </w:r>
      <w:r w:rsidR="008B5D33">
        <w:t>í</w:t>
      </w:r>
      <w:r>
        <w:t xml:space="preserve"> na </w:t>
      </w:r>
      <w:r w:rsidR="008B5D33">
        <w:t>takovýto</w:t>
      </w:r>
      <w:r>
        <w:t xml:space="preserve"> požadavek</w:t>
      </w:r>
      <w:r w:rsidR="00200F2C">
        <w:t>,</w:t>
      </w:r>
      <w:r>
        <w:t xml:space="preserve"> stejně tak mohou</w:t>
      </w:r>
      <w:r w:rsidR="008B5D33">
        <w:t xml:space="preserve"> </w:t>
      </w:r>
      <w:r>
        <w:t xml:space="preserve">zpřístupnit důvěrné informace pro potřeby soudního, rozhodčího, správního či obdobného </w:t>
      </w:r>
      <w:r w:rsidR="008B5D33">
        <w:t>řízení</w:t>
      </w:r>
      <w:r>
        <w:t>.</w:t>
      </w:r>
    </w:p>
    <w:p w14:paraId="7DFF6062" w14:textId="77777777" w:rsidR="00BC5064" w:rsidRDefault="00BC5064" w:rsidP="0033469B"/>
    <w:p w14:paraId="4921828B" w14:textId="77E1D185" w:rsidR="009E237A" w:rsidRDefault="004569A7" w:rsidP="0033469B">
      <w:pPr>
        <w:tabs>
          <w:tab w:val="num" w:pos="360"/>
        </w:tabs>
        <w:spacing w:line="312" w:lineRule="auto"/>
        <w:jc w:val="center"/>
        <w:rPr>
          <w:b/>
        </w:rPr>
      </w:pPr>
      <w:r>
        <w:rPr>
          <w:b/>
        </w:rPr>
        <w:t xml:space="preserve">ČL. </w:t>
      </w:r>
      <w:r w:rsidR="008B5D33">
        <w:rPr>
          <w:b/>
        </w:rPr>
        <w:t>V</w:t>
      </w:r>
      <w:r w:rsidR="003564CF">
        <w:rPr>
          <w:b/>
        </w:rPr>
        <w:t>I</w:t>
      </w:r>
      <w:r w:rsidR="00B90A4E">
        <w:rPr>
          <w:b/>
        </w:rPr>
        <w:t>.</w:t>
      </w:r>
    </w:p>
    <w:p w14:paraId="2599DA8D" w14:textId="77777777" w:rsidR="00BC5064" w:rsidRDefault="00B90A4E" w:rsidP="0033469B">
      <w:pPr>
        <w:tabs>
          <w:tab w:val="num" w:pos="360"/>
        </w:tabs>
        <w:spacing w:after="120" w:line="312" w:lineRule="auto"/>
        <w:jc w:val="center"/>
      </w:pPr>
      <w:r>
        <w:rPr>
          <w:b/>
        </w:rPr>
        <w:t>Další ujednání</w:t>
      </w:r>
    </w:p>
    <w:p w14:paraId="1A6214B6" w14:textId="6D154E4B" w:rsidR="00BC5064" w:rsidRDefault="00B90A4E" w:rsidP="0033469B">
      <w:pPr>
        <w:pStyle w:val="Odstavecseseznamem"/>
        <w:numPr>
          <w:ilvl w:val="0"/>
          <w:numId w:val="17"/>
        </w:numPr>
        <w:spacing w:after="120" w:line="312" w:lineRule="auto"/>
        <w:ind w:left="567" w:hanging="567"/>
        <w:jc w:val="both"/>
      </w:pPr>
      <w:r>
        <w:t xml:space="preserve">V případě, že </w:t>
      </w:r>
      <w:r w:rsidR="00200F2C" w:rsidRPr="0033469B">
        <w:t>u</w:t>
      </w:r>
      <w:r>
        <w:t xml:space="preserve"> </w:t>
      </w:r>
      <w:r w:rsidR="00517353">
        <w:t>ZP</w:t>
      </w:r>
      <w:r>
        <w:t xml:space="preserve"> bude zjištěna skrytá vada (netýká se vad způsobených nesprávnou indikací, nebo užíváním </w:t>
      </w:r>
      <w:r w:rsidR="00517353">
        <w:t>ZP</w:t>
      </w:r>
      <w:r>
        <w:t xml:space="preserve">), dodavatel ihned nahradí </w:t>
      </w:r>
      <w:r w:rsidR="00517353">
        <w:t>vadn</w:t>
      </w:r>
      <w:r w:rsidR="00115C92">
        <w:t>ý</w:t>
      </w:r>
      <w:r w:rsidR="00517353">
        <w:t xml:space="preserve"> ZP</w:t>
      </w:r>
      <w:r>
        <w:t xml:space="preserve"> novým</w:t>
      </w:r>
      <w:r w:rsidR="00115C92">
        <w:t xml:space="preserve"> ZP bez vad</w:t>
      </w:r>
      <w:r>
        <w:t>.</w:t>
      </w:r>
    </w:p>
    <w:p w14:paraId="3FC15A84" w14:textId="656991DF" w:rsidR="00BC5064" w:rsidRPr="00937DDA" w:rsidRDefault="00B90A4E" w:rsidP="0033469B">
      <w:pPr>
        <w:pStyle w:val="Odstavecseseznamem"/>
        <w:numPr>
          <w:ilvl w:val="0"/>
          <w:numId w:val="17"/>
        </w:numPr>
        <w:spacing w:after="120" w:line="312" w:lineRule="auto"/>
        <w:ind w:left="567" w:hanging="567"/>
        <w:jc w:val="both"/>
      </w:pPr>
      <w:r w:rsidRPr="00937DDA">
        <w:t xml:space="preserve">Dodavatel bude průběžně informovat odběratele o nových </w:t>
      </w:r>
      <w:r w:rsidR="00115C92">
        <w:t>ZP</w:t>
      </w:r>
      <w:r w:rsidRPr="00937DDA">
        <w:t xml:space="preserve"> nebo </w:t>
      </w:r>
      <w:r w:rsidR="00D84D83" w:rsidRPr="00937DDA">
        <w:t xml:space="preserve">změnách </w:t>
      </w:r>
      <w:r w:rsidRPr="00937DDA">
        <w:t>stávaj</w:t>
      </w:r>
      <w:r w:rsidR="00517353" w:rsidRPr="00937DDA">
        <w:t xml:space="preserve">ících </w:t>
      </w:r>
      <w:r w:rsidR="00115C92">
        <w:t>ZP</w:t>
      </w:r>
      <w:r w:rsidR="00517353" w:rsidRPr="00937DDA">
        <w:t xml:space="preserve"> a všech </w:t>
      </w:r>
      <w:r w:rsidR="00D84D83" w:rsidRPr="00937DDA">
        <w:t xml:space="preserve">ostatních </w:t>
      </w:r>
      <w:r w:rsidR="00517353" w:rsidRPr="00937DDA">
        <w:t>změnách</w:t>
      </w:r>
      <w:r w:rsidR="00D84D83" w:rsidRPr="00937DDA">
        <w:t xml:space="preserve"> souvisejících s touto smlouvou</w:t>
      </w:r>
      <w:r w:rsidR="00517353" w:rsidRPr="00937DDA">
        <w:t>.</w:t>
      </w:r>
    </w:p>
    <w:p w14:paraId="2504AB94" w14:textId="77777777" w:rsidR="004609E1" w:rsidRDefault="003A1CEB" w:rsidP="004609E1">
      <w:pPr>
        <w:pStyle w:val="Odstavecseseznamem"/>
        <w:numPr>
          <w:ilvl w:val="0"/>
          <w:numId w:val="17"/>
        </w:numPr>
        <w:spacing w:after="120" w:line="312" w:lineRule="auto"/>
        <w:ind w:left="567" w:hanging="567"/>
        <w:jc w:val="both"/>
      </w:pPr>
      <w:r>
        <w:t xml:space="preserve">Ke dni </w:t>
      </w:r>
      <w:r w:rsidR="00115C92">
        <w:t>ukončení</w:t>
      </w:r>
      <w:r>
        <w:t xml:space="preserve"> této smlouvy odběratel vydá dodavateli zpět veškeré uskladněné ZP. Požádá-li o to dodavatel, vrátí odběratel dodavateli uskladněné ZP i před </w:t>
      </w:r>
      <w:r w:rsidR="00115C92">
        <w:t>ukončením</w:t>
      </w:r>
      <w:r>
        <w:t xml:space="preserve"> této smlouvy.</w:t>
      </w:r>
    </w:p>
    <w:p w14:paraId="419ACB04" w14:textId="52912351" w:rsidR="003A1CEB" w:rsidRDefault="003A1CEB" w:rsidP="004609E1">
      <w:pPr>
        <w:pStyle w:val="Odstavecseseznamem"/>
        <w:numPr>
          <w:ilvl w:val="0"/>
          <w:numId w:val="17"/>
        </w:numPr>
        <w:spacing w:after="120" w:line="312" w:lineRule="auto"/>
        <w:ind w:left="567" w:hanging="567"/>
        <w:jc w:val="both"/>
      </w:pPr>
      <w:r>
        <w:t>Zpětné odeslání ZP dodavateli se děje na náklady a nebezpečí dodavatele.</w:t>
      </w:r>
      <w:r w:rsidR="00115C92">
        <w:t xml:space="preserve"> Odběratel je však povinen ZP zabalit a odeslat takovým způsobem, aby nedošlo </w:t>
      </w:r>
      <w:r w:rsidR="00115C92" w:rsidRPr="00115C92">
        <w:t>k jeho kontaminaci, poškození, odcizení, znehodnocení nebo záměnám</w:t>
      </w:r>
      <w:r w:rsidR="00115C92">
        <w:t>.</w:t>
      </w:r>
    </w:p>
    <w:p w14:paraId="6A6B1DE9" w14:textId="1E0E1751" w:rsidR="00BC5064" w:rsidRDefault="00517353" w:rsidP="0033469B">
      <w:pPr>
        <w:pStyle w:val="Odstavecseseznamem"/>
        <w:numPr>
          <w:ilvl w:val="0"/>
          <w:numId w:val="17"/>
        </w:numPr>
        <w:spacing w:after="120" w:line="312" w:lineRule="auto"/>
        <w:ind w:left="567" w:hanging="567"/>
        <w:jc w:val="both"/>
      </w:pPr>
      <w:r>
        <w:t>D</w:t>
      </w:r>
      <w:r w:rsidR="00B90A4E">
        <w:t xml:space="preserve">le potřeby a požadavků odběratele, bude dodavatel provádět odborná školení zdravotního </w:t>
      </w:r>
      <w:r>
        <w:t>p</w:t>
      </w:r>
      <w:r w:rsidR="00B90A4E">
        <w:t>ersonálu a spolupracovat při pořádání odborn</w:t>
      </w:r>
      <w:r>
        <w:t xml:space="preserve">ých akcí odběratele zaměřených </w:t>
      </w:r>
      <w:r w:rsidR="00B90A4E">
        <w:t xml:space="preserve">na problematiku pohybového aparátu. </w:t>
      </w:r>
    </w:p>
    <w:p w14:paraId="2CC08C8A" w14:textId="77777777" w:rsidR="004609E1" w:rsidRDefault="004609E1" w:rsidP="004609E1">
      <w:pPr>
        <w:pStyle w:val="Odstavecseseznamem"/>
        <w:spacing w:after="120" w:line="312" w:lineRule="auto"/>
        <w:ind w:left="567"/>
        <w:jc w:val="both"/>
      </w:pPr>
    </w:p>
    <w:p w14:paraId="204B97EA" w14:textId="17535DA3" w:rsidR="003A1CEB" w:rsidRDefault="003A1CEB" w:rsidP="0033469B">
      <w:pPr>
        <w:keepNext/>
        <w:spacing w:line="312" w:lineRule="auto"/>
        <w:ind w:left="540" w:hanging="540"/>
        <w:jc w:val="center"/>
        <w:rPr>
          <w:b/>
        </w:rPr>
      </w:pPr>
      <w:r>
        <w:rPr>
          <w:b/>
        </w:rPr>
        <w:lastRenderedPageBreak/>
        <w:t xml:space="preserve">ČL. </w:t>
      </w:r>
      <w:r w:rsidR="006B791E">
        <w:rPr>
          <w:b/>
        </w:rPr>
        <w:t>V</w:t>
      </w:r>
      <w:r w:rsidR="00614249">
        <w:rPr>
          <w:b/>
        </w:rPr>
        <w:t>I</w:t>
      </w:r>
      <w:r w:rsidR="003564CF">
        <w:rPr>
          <w:b/>
        </w:rPr>
        <w:t>I</w:t>
      </w:r>
      <w:r w:rsidR="003F44D1">
        <w:rPr>
          <w:b/>
        </w:rPr>
        <w:t>.</w:t>
      </w:r>
      <w:r w:rsidR="00B90A4E">
        <w:rPr>
          <w:b/>
        </w:rPr>
        <w:t xml:space="preserve"> </w:t>
      </w:r>
    </w:p>
    <w:p w14:paraId="0F0FB691" w14:textId="77777777" w:rsidR="003F44D1" w:rsidRDefault="003F44D1" w:rsidP="0033469B">
      <w:pPr>
        <w:keepNext/>
        <w:spacing w:after="120" w:line="312" w:lineRule="auto"/>
        <w:ind w:left="539" w:hanging="539"/>
        <w:jc w:val="center"/>
        <w:rPr>
          <w:b/>
        </w:rPr>
      </w:pPr>
      <w:r>
        <w:rPr>
          <w:b/>
        </w:rPr>
        <w:t>Závěrečná ustanovení</w:t>
      </w:r>
    </w:p>
    <w:p w14:paraId="68DB81E2" w14:textId="31355008" w:rsidR="003A1CEB" w:rsidRDefault="003A1CEB" w:rsidP="0033469B">
      <w:pPr>
        <w:pStyle w:val="Odstavecseseznamem"/>
        <w:keepNext/>
        <w:numPr>
          <w:ilvl w:val="0"/>
          <w:numId w:val="14"/>
        </w:numPr>
        <w:spacing w:line="312" w:lineRule="auto"/>
        <w:ind w:left="567" w:hanging="567"/>
        <w:jc w:val="both"/>
      </w:pPr>
      <w:r w:rsidRPr="00FE5BF5">
        <w:t xml:space="preserve">Tato smlouva se uzavírá na dobu neurčitou s účinností </w:t>
      </w:r>
      <w:r w:rsidRPr="008270A3">
        <w:t>ode dne podpisu oběma smluvními stranami</w:t>
      </w:r>
      <w:r w:rsidR="00012081">
        <w:t xml:space="preserve">. </w:t>
      </w:r>
    </w:p>
    <w:p w14:paraId="4812B78F" w14:textId="511FEA3E" w:rsidR="008B5D33" w:rsidRPr="00FE5BF5" w:rsidRDefault="008B5D33" w:rsidP="0033469B">
      <w:pPr>
        <w:pStyle w:val="rove2"/>
        <w:numPr>
          <w:ilvl w:val="0"/>
          <w:numId w:val="14"/>
        </w:numPr>
        <w:tabs>
          <w:tab w:val="clear" w:pos="851"/>
        </w:tabs>
        <w:spacing w:after="0" w:line="312" w:lineRule="auto"/>
        <w:ind w:left="567" w:hanging="567"/>
        <w:rPr>
          <w:rFonts w:ascii="Times New Roman" w:hAnsi="Times New Roman"/>
        </w:rPr>
      </w:pPr>
      <w:r w:rsidRPr="00FE5BF5">
        <w:rPr>
          <w:rFonts w:ascii="Times New Roman" w:hAnsi="Times New Roman"/>
        </w:rPr>
        <w:t xml:space="preserve">Jakékoliv změny této smlouvy jsou možné jen na základě konsensu obou smluvních stran ve formě písemného dodatku učiněného a podepsaného smluvními stranami </w:t>
      </w:r>
      <w:r w:rsidR="00200F2C" w:rsidRPr="0033469B">
        <w:rPr>
          <w:rFonts w:ascii="Times New Roman" w:hAnsi="Times New Roman"/>
        </w:rPr>
        <w:t>na</w:t>
      </w:r>
      <w:r w:rsidR="00F50BC2">
        <w:rPr>
          <w:rFonts w:ascii="Times New Roman" w:hAnsi="Times New Roman"/>
        </w:rPr>
        <w:t> </w:t>
      </w:r>
      <w:r w:rsidRPr="00FE5BF5">
        <w:rPr>
          <w:rFonts w:ascii="Times New Roman" w:hAnsi="Times New Roman"/>
        </w:rPr>
        <w:t>jedné a</w:t>
      </w:r>
      <w:r w:rsidR="00B20370">
        <w:rPr>
          <w:rFonts w:ascii="Times New Roman" w:hAnsi="Times New Roman"/>
        </w:rPr>
        <w:t> </w:t>
      </w:r>
      <w:r w:rsidRPr="00FE5BF5">
        <w:rPr>
          <w:rFonts w:ascii="Times New Roman" w:hAnsi="Times New Roman"/>
        </w:rPr>
        <w:t xml:space="preserve">téže listině.  </w:t>
      </w:r>
    </w:p>
    <w:p w14:paraId="1118B77A" w14:textId="77777777" w:rsidR="008B5D33" w:rsidRPr="003A1CEB" w:rsidRDefault="008B5D33" w:rsidP="0033469B">
      <w:pPr>
        <w:pStyle w:val="rove2"/>
        <w:numPr>
          <w:ilvl w:val="0"/>
          <w:numId w:val="14"/>
        </w:numPr>
        <w:tabs>
          <w:tab w:val="clear" w:pos="851"/>
        </w:tabs>
        <w:spacing w:after="0" w:line="312" w:lineRule="auto"/>
        <w:ind w:left="567" w:hanging="567"/>
        <w:rPr>
          <w:rFonts w:ascii="Times New Roman" w:hAnsi="Times New Roman"/>
        </w:rPr>
      </w:pPr>
      <w:r w:rsidRPr="00FE5BF5">
        <w:rPr>
          <w:rFonts w:ascii="Times New Roman" w:hAnsi="Times New Roman"/>
        </w:rPr>
        <w:t>Je-li nebo stane-li se některé ustanovení této smlouvy neplatným/neúčinným, nemá to vliv na platnost/účinnost ostatních ustanovení této smlouvy. Smluvní strany se zavazují, že ustanovení neplatné/neúčinné nahradí ustanovením platným a účinným, které nejlépe odpovídá původně zamýšlenému hospodářskému a právnímu účelu takového ustanovení neplatného/neúčinného. Do té doby platí obecně závazné právní předpisy rozhodného práva.</w:t>
      </w:r>
    </w:p>
    <w:p w14:paraId="7C438494" w14:textId="77777777" w:rsidR="008B5D33" w:rsidRDefault="008B5D33" w:rsidP="0033469B">
      <w:pPr>
        <w:pStyle w:val="Odstavecseseznamem"/>
        <w:numPr>
          <w:ilvl w:val="0"/>
          <w:numId w:val="14"/>
        </w:numPr>
        <w:tabs>
          <w:tab w:val="left" w:pos="567"/>
        </w:tabs>
        <w:spacing w:line="312" w:lineRule="auto"/>
        <w:ind w:left="567" w:hanging="567"/>
        <w:jc w:val="both"/>
      </w:pPr>
      <w:r w:rsidRPr="00FE5BF5">
        <w:t>Každá ze smluvních stran je oprávněna tuto smlouvu písemně vypovědět, a to i bez udání důvodu. Výpovědní lhůta je sjednána na 1 měsíc a počíná běžet prvním dnem měsíce následujícího po měsíci, v němž byla písemná výpověď doručena druhé smluvní straně</w:t>
      </w:r>
      <w:r>
        <w:t>.</w:t>
      </w:r>
    </w:p>
    <w:p w14:paraId="454229FC" w14:textId="506A1C2C" w:rsidR="008B5D33" w:rsidRDefault="008B5D33" w:rsidP="0033469B">
      <w:pPr>
        <w:pStyle w:val="rove2"/>
        <w:numPr>
          <w:ilvl w:val="0"/>
          <w:numId w:val="14"/>
        </w:numPr>
        <w:tabs>
          <w:tab w:val="clear" w:pos="851"/>
        </w:tabs>
        <w:spacing w:after="0" w:line="312" w:lineRule="auto"/>
        <w:ind w:left="567" w:hanging="567"/>
        <w:rPr>
          <w:rFonts w:ascii="Times New Roman" w:hAnsi="Times New Roman"/>
        </w:rPr>
      </w:pPr>
      <w:r w:rsidRPr="00FE5BF5">
        <w:rPr>
          <w:rFonts w:ascii="Times New Roman" w:hAnsi="Times New Roman"/>
        </w:rPr>
        <w:t xml:space="preserve">Právní vztahy v této smlouvě neupravené a z ní vyplývající se řídí právními předpisy České republiky, zejména </w:t>
      </w:r>
      <w:r w:rsidR="00614249" w:rsidRPr="00614249">
        <w:rPr>
          <w:rFonts w:ascii="Times New Roman" w:hAnsi="Times New Roman"/>
        </w:rPr>
        <w:t>zákon</w:t>
      </w:r>
      <w:r w:rsidR="00614249">
        <w:rPr>
          <w:rFonts w:ascii="Times New Roman" w:hAnsi="Times New Roman"/>
        </w:rPr>
        <w:t>em</w:t>
      </w:r>
      <w:r w:rsidR="00614249" w:rsidRPr="00614249">
        <w:rPr>
          <w:rFonts w:ascii="Times New Roman" w:hAnsi="Times New Roman"/>
        </w:rPr>
        <w:t xml:space="preserve"> č. 89/2012 Sb., občansk</w:t>
      </w:r>
      <w:r w:rsidR="00614249">
        <w:rPr>
          <w:rFonts w:ascii="Times New Roman" w:hAnsi="Times New Roman"/>
        </w:rPr>
        <w:t>ý</w:t>
      </w:r>
      <w:r w:rsidR="00614249" w:rsidRPr="00614249">
        <w:rPr>
          <w:rFonts w:ascii="Times New Roman" w:hAnsi="Times New Roman"/>
        </w:rPr>
        <w:t xml:space="preserve"> zákoník, ve znění pozdějších předpisů</w:t>
      </w:r>
      <w:r w:rsidRPr="00FE5BF5">
        <w:rPr>
          <w:rFonts w:ascii="Times New Roman" w:hAnsi="Times New Roman"/>
        </w:rPr>
        <w:t xml:space="preserve">. </w:t>
      </w:r>
    </w:p>
    <w:p w14:paraId="16518B15" w14:textId="77777777" w:rsidR="008B5D33" w:rsidRDefault="008B5D33" w:rsidP="0033469B">
      <w:pPr>
        <w:pStyle w:val="rove2"/>
        <w:numPr>
          <w:ilvl w:val="0"/>
          <w:numId w:val="14"/>
        </w:numPr>
        <w:tabs>
          <w:tab w:val="clear" w:pos="851"/>
        </w:tabs>
        <w:spacing w:after="0" w:line="312" w:lineRule="auto"/>
        <w:ind w:left="567" w:hanging="567"/>
        <w:rPr>
          <w:rFonts w:ascii="Times New Roman" w:hAnsi="Times New Roman"/>
        </w:rPr>
      </w:pPr>
      <w:r w:rsidRPr="00FE5BF5">
        <w:rPr>
          <w:rFonts w:ascii="Times New Roman" w:hAnsi="Times New Roman"/>
        </w:rPr>
        <w:t>Tato smlouva je sepsána ve dvou vyhotoveních, z nichž každá ze smluvních stran obdrží po jednom z</w:t>
      </w:r>
      <w:r>
        <w:rPr>
          <w:rFonts w:ascii="Times New Roman" w:hAnsi="Times New Roman"/>
        </w:rPr>
        <w:t> </w:t>
      </w:r>
      <w:r w:rsidRPr="00FE5BF5">
        <w:rPr>
          <w:rFonts w:ascii="Times New Roman" w:hAnsi="Times New Roman"/>
        </w:rPr>
        <w:t>nich</w:t>
      </w:r>
      <w:r>
        <w:rPr>
          <w:rFonts w:ascii="Times New Roman" w:hAnsi="Times New Roman"/>
        </w:rPr>
        <w:t>.</w:t>
      </w:r>
    </w:p>
    <w:p w14:paraId="515152A2" w14:textId="11C7A10C" w:rsidR="008B5D33" w:rsidRDefault="008B5D33" w:rsidP="0033469B">
      <w:pPr>
        <w:pStyle w:val="rove2"/>
        <w:numPr>
          <w:ilvl w:val="0"/>
          <w:numId w:val="14"/>
        </w:numPr>
        <w:tabs>
          <w:tab w:val="clear" w:pos="851"/>
        </w:tabs>
        <w:spacing w:after="0" w:line="312" w:lineRule="auto"/>
        <w:ind w:left="567" w:hanging="567"/>
        <w:rPr>
          <w:rFonts w:ascii="Times New Roman" w:hAnsi="Times New Roman"/>
        </w:rPr>
      </w:pPr>
      <w:r w:rsidRPr="008B5D33">
        <w:rPr>
          <w:rFonts w:ascii="Times New Roman" w:hAnsi="Times New Roman"/>
        </w:rPr>
        <w:t>Smluvn</w:t>
      </w:r>
      <w:r>
        <w:rPr>
          <w:rFonts w:ascii="Times New Roman" w:hAnsi="Times New Roman"/>
        </w:rPr>
        <w:t xml:space="preserve">í </w:t>
      </w:r>
      <w:r w:rsidRPr="008B5D33">
        <w:rPr>
          <w:rFonts w:ascii="Times New Roman" w:hAnsi="Times New Roman"/>
        </w:rPr>
        <w:t>strany prohlašuji, že tato smlouva odpovídá jejich pravé vůli a že souhlasí</w:t>
      </w:r>
      <w:r>
        <w:rPr>
          <w:rFonts w:ascii="Times New Roman" w:hAnsi="Times New Roman"/>
        </w:rPr>
        <w:t xml:space="preserve"> </w:t>
      </w:r>
      <w:r w:rsidRPr="008B5D33">
        <w:rPr>
          <w:rFonts w:ascii="Times New Roman" w:hAnsi="Times New Roman"/>
        </w:rPr>
        <w:t>s</w:t>
      </w:r>
      <w:r w:rsidR="00614249">
        <w:rPr>
          <w:rFonts w:ascii="Times New Roman" w:hAnsi="Times New Roman"/>
        </w:rPr>
        <w:t> </w:t>
      </w:r>
      <w:r w:rsidRPr="008B5D33">
        <w:rPr>
          <w:rFonts w:ascii="Times New Roman" w:hAnsi="Times New Roman"/>
        </w:rPr>
        <w:t>celým jejím obsahem a na důkaz tohoto tuto smlouvu vlastnoručně podepisuj</w:t>
      </w:r>
      <w:r>
        <w:rPr>
          <w:rFonts w:ascii="Times New Roman" w:hAnsi="Times New Roman"/>
        </w:rPr>
        <w:t>í</w:t>
      </w:r>
      <w:r w:rsidRPr="008B5D33">
        <w:rPr>
          <w:rFonts w:ascii="Times New Roman" w:hAnsi="Times New Roman"/>
        </w:rPr>
        <w:t>.</w:t>
      </w:r>
    </w:p>
    <w:p w14:paraId="311611F3" w14:textId="77777777" w:rsidR="004609E1" w:rsidRPr="00FE5BF5" w:rsidRDefault="004609E1" w:rsidP="004609E1">
      <w:pPr>
        <w:pStyle w:val="rove2"/>
        <w:numPr>
          <w:ilvl w:val="0"/>
          <w:numId w:val="0"/>
        </w:numPr>
        <w:tabs>
          <w:tab w:val="clear" w:pos="851"/>
        </w:tabs>
        <w:spacing w:after="0" w:line="312" w:lineRule="auto"/>
        <w:rPr>
          <w:rFonts w:ascii="Times New Roman" w:hAnsi="Times New Roman"/>
        </w:rPr>
      </w:pPr>
    </w:p>
    <w:p w14:paraId="7332AFCD" w14:textId="77777777" w:rsidR="000C7C54" w:rsidRDefault="000C7C54" w:rsidP="0033469B">
      <w:pPr>
        <w:spacing w:line="312" w:lineRule="auto"/>
      </w:pPr>
    </w:p>
    <w:p w14:paraId="7BB16D45" w14:textId="580850E5" w:rsidR="00B20370" w:rsidRDefault="004609E1" w:rsidP="004609E1">
      <w:pPr>
        <w:spacing w:line="312" w:lineRule="auto"/>
      </w:pPr>
      <w:r w:rsidRPr="004609E1">
        <w:t xml:space="preserve">Ve Zlíně </w:t>
      </w:r>
      <w:r>
        <w:t xml:space="preserve">1.4.2024                                                V Brně dne </w:t>
      </w:r>
      <w:r w:rsidR="00E26798">
        <w:t>12.4.2024</w:t>
      </w:r>
    </w:p>
    <w:p w14:paraId="3EDA5C0D" w14:textId="77777777" w:rsidR="004609E1" w:rsidRDefault="004609E1" w:rsidP="004609E1">
      <w:pPr>
        <w:spacing w:line="312" w:lineRule="auto"/>
      </w:pPr>
    </w:p>
    <w:p w14:paraId="728DFA63" w14:textId="521434BC" w:rsidR="003F44D1" w:rsidRDefault="004609E1" w:rsidP="0033469B">
      <w:pPr>
        <w:spacing w:line="312" w:lineRule="auto"/>
      </w:pPr>
      <w:r>
        <w:t xml:space="preserve">Za </w:t>
      </w:r>
      <w:proofErr w:type="gramStart"/>
      <w:r>
        <w:t>Dodavatele - ORTEX</w:t>
      </w:r>
      <w:proofErr w:type="gramEnd"/>
      <w:r>
        <w:t>, spol. s r.o.                 Za Odběratele-Úrazová nemocnice v Brně</w:t>
      </w:r>
    </w:p>
    <w:p w14:paraId="7C0DFD72" w14:textId="77777777" w:rsidR="004609E1" w:rsidRDefault="004609E1" w:rsidP="0033469B">
      <w:pPr>
        <w:spacing w:line="312" w:lineRule="auto"/>
      </w:pPr>
    </w:p>
    <w:p w14:paraId="1322F9CF" w14:textId="3B290F57" w:rsidR="006A0861" w:rsidRDefault="004609E1" w:rsidP="0033469B">
      <w:pPr>
        <w:spacing w:line="312" w:lineRule="auto"/>
      </w:pPr>
      <w:r>
        <w:t xml:space="preserve"> </w:t>
      </w:r>
      <w:r w:rsidR="00E26798">
        <w:t xml:space="preserve">  </w:t>
      </w:r>
      <w:r>
        <w:t>…………………………                                       …………………………………</w:t>
      </w:r>
    </w:p>
    <w:p w14:paraId="5B097283" w14:textId="6DEE9186" w:rsidR="004609E1" w:rsidRDefault="004609E1" w:rsidP="0033469B">
      <w:pPr>
        <w:spacing w:line="312" w:lineRule="auto"/>
      </w:pPr>
      <w:r>
        <w:t xml:space="preserve">     </w:t>
      </w:r>
      <w:r w:rsidR="00E26798">
        <w:t xml:space="preserve">  </w:t>
      </w:r>
      <w:r>
        <w:t xml:space="preserve">Tomáš </w:t>
      </w:r>
      <w:proofErr w:type="spellStart"/>
      <w:r>
        <w:t>Pikner</w:t>
      </w:r>
      <w:proofErr w:type="spellEnd"/>
      <w:r>
        <w:t xml:space="preserve">                                                           </w:t>
      </w:r>
      <w:r w:rsidR="00E26798">
        <w:t xml:space="preserve">  </w:t>
      </w:r>
      <w:r>
        <w:t xml:space="preserve">MUDr. Pavel </w:t>
      </w:r>
      <w:proofErr w:type="spellStart"/>
      <w:r>
        <w:t>Piler</w:t>
      </w:r>
      <w:proofErr w:type="spellEnd"/>
    </w:p>
    <w:p w14:paraId="3A1A586C" w14:textId="7451AAA7" w:rsidR="004609E1" w:rsidRDefault="004609E1" w:rsidP="0033469B">
      <w:pPr>
        <w:spacing w:line="312" w:lineRule="auto"/>
      </w:pPr>
      <w:r>
        <w:t xml:space="preserve">      </w:t>
      </w:r>
      <w:r w:rsidR="00E26798">
        <w:t xml:space="preserve">   </w:t>
      </w:r>
      <w:r>
        <w:t xml:space="preserve"> jednatel                                                                         </w:t>
      </w:r>
      <w:r w:rsidR="00E26798">
        <w:t xml:space="preserve">  </w:t>
      </w:r>
      <w:r>
        <w:t>ředitel</w:t>
      </w:r>
    </w:p>
    <w:p w14:paraId="238ACE12" w14:textId="77777777" w:rsidR="004609E1" w:rsidRDefault="004609E1" w:rsidP="0033469B">
      <w:pPr>
        <w:spacing w:line="312" w:lineRule="auto"/>
      </w:pPr>
    </w:p>
    <w:p w14:paraId="5EF36803" w14:textId="77777777" w:rsidR="00BE321F" w:rsidRDefault="00BE321F" w:rsidP="0033469B">
      <w:pPr>
        <w:spacing w:line="312" w:lineRule="auto"/>
        <w:rPr>
          <w:b/>
          <w:bCs/>
        </w:rPr>
      </w:pPr>
    </w:p>
    <w:p w14:paraId="3AEA2D82" w14:textId="77777777" w:rsidR="00BE321F" w:rsidRDefault="00BE321F" w:rsidP="0033469B">
      <w:pPr>
        <w:spacing w:line="312" w:lineRule="auto"/>
        <w:rPr>
          <w:b/>
          <w:bCs/>
        </w:rPr>
      </w:pPr>
    </w:p>
    <w:p w14:paraId="44E095B7" w14:textId="77777777" w:rsidR="00BE321F" w:rsidRDefault="00BE321F" w:rsidP="0033469B">
      <w:pPr>
        <w:spacing w:line="312" w:lineRule="auto"/>
        <w:rPr>
          <w:b/>
          <w:bCs/>
        </w:rPr>
      </w:pPr>
    </w:p>
    <w:p w14:paraId="76DC5DE0" w14:textId="77777777" w:rsidR="00BE321F" w:rsidRDefault="00BE321F" w:rsidP="0033469B">
      <w:pPr>
        <w:spacing w:line="312" w:lineRule="auto"/>
        <w:rPr>
          <w:b/>
          <w:bCs/>
        </w:rPr>
      </w:pPr>
    </w:p>
    <w:p w14:paraId="7F0A56C1" w14:textId="77777777" w:rsidR="00BE321F" w:rsidRDefault="00BE321F" w:rsidP="0033469B">
      <w:pPr>
        <w:spacing w:line="312" w:lineRule="auto"/>
        <w:rPr>
          <w:b/>
          <w:bCs/>
        </w:rPr>
      </w:pPr>
    </w:p>
    <w:p w14:paraId="4AAF1808" w14:textId="77777777" w:rsidR="00BE321F" w:rsidRDefault="00BE321F" w:rsidP="0033469B">
      <w:pPr>
        <w:spacing w:line="312" w:lineRule="auto"/>
        <w:rPr>
          <w:b/>
          <w:bCs/>
        </w:rPr>
      </w:pPr>
    </w:p>
    <w:p w14:paraId="3A39D6BB" w14:textId="77777777" w:rsidR="00BE321F" w:rsidRDefault="00BE321F" w:rsidP="0033469B">
      <w:pPr>
        <w:spacing w:line="312" w:lineRule="auto"/>
        <w:rPr>
          <w:b/>
          <w:bCs/>
        </w:rPr>
      </w:pPr>
    </w:p>
    <w:p w14:paraId="57EF8605" w14:textId="77777777" w:rsidR="00BE321F" w:rsidRDefault="00BE321F" w:rsidP="0033469B">
      <w:pPr>
        <w:spacing w:line="312" w:lineRule="auto"/>
        <w:rPr>
          <w:b/>
          <w:bCs/>
        </w:rPr>
      </w:pPr>
    </w:p>
    <w:p w14:paraId="159203CF" w14:textId="52ADF17B" w:rsidR="006A0861" w:rsidRPr="004609E1" w:rsidRDefault="006A0861" w:rsidP="0033469B">
      <w:pPr>
        <w:spacing w:line="312" w:lineRule="auto"/>
        <w:rPr>
          <w:b/>
          <w:bCs/>
        </w:rPr>
      </w:pPr>
      <w:r w:rsidRPr="004609E1">
        <w:rPr>
          <w:b/>
          <w:bCs/>
        </w:rPr>
        <w:lastRenderedPageBreak/>
        <w:t>Příloha č. 1</w:t>
      </w:r>
      <w:r w:rsidR="00582BE3">
        <w:rPr>
          <w:b/>
          <w:bCs/>
        </w:rPr>
        <w:t>: Skladový manipulační poplatek</w:t>
      </w:r>
    </w:p>
    <w:p w14:paraId="228414EB" w14:textId="77777777" w:rsidR="004609E1" w:rsidRDefault="004609E1" w:rsidP="0033469B">
      <w:pPr>
        <w:spacing w:line="312" w:lineRule="auto"/>
      </w:pPr>
    </w:p>
    <w:p w14:paraId="1927003C" w14:textId="77777777" w:rsidR="004609E1" w:rsidRDefault="004609E1" w:rsidP="004609E1">
      <w:pPr>
        <w:spacing w:after="120" w:line="312" w:lineRule="auto"/>
        <w:jc w:val="both"/>
      </w:pPr>
      <w:r>
        <w:t xml:space="preserve">Za služby spojené s uskladněním, evidencí a manipulací se ZP umístěných v konsignačním </w:t>
      </w:r>
    </w:p>
    <w:p w14:paraId="0840CD4D" w14:textId="7E09BB1E" w:rsidR="004609E1" w:rsidRDefault="004609E1" w:rsidP="004609E1">
      <w:pPr>
        <w:spacing w:after="120" w:line="312" w:lineRule="auto"/>
        <w:jc w:val="both"/>
      </w:pPr>
      <w:r>
        <w:t xml:space="preserve">skladě má </w:t>
      </w:r>
      <w:r w:rsidR="004D74F6">
        <w:t>odběra</w:t>
      </w:r>
      <w:r>
        <w:t>tel právo účtovat</w:t>
      </w:r>
      <w:r w:rsidR="004D74F6">
        <w:t xml:space="preserve"> dodavateli</w:t>
      </w:r>
      <w:r>
        <w:t xml:space="preserve"> skladové manipulační poplatky ve výši </w:t>
      </w:r>
    </w:p>
    <w:p w14:paraId="3910ABBC" w14:textId="722E1034" w:rsidR="004609E1" w:rsidRDefault="00FE514A" w:rsidP="004609E1">
      <w:pPr>
        <w:spacing w:after="120" w:line="312" w:lineRule="auto"/>
        <w:jc w:val="both"/>
      </w:pPr>
      <w:proofErr w:type="spellStart"/>
      <w:proofErr w:type="gramStart"/>
      <w:r>
        <w:rPr>
          <w:b/>
          <w:color w:val="000000" w:themeColor="text1"/>
        </w:rPr>
        <w:t>xxxxx</w:t>
      </w:r>
      <w:proofErr w:type="spellEnd"/>
      <w:r>
        <w:rPr>
          <w:b/>
          <w:color w:val="000000" w:themeColor="text1"/>
        </w:rPr>
        <w:t xml:space="preserve"> </w:t>
      </w:r>
      <w:r w:rsidR="00012081" w:rsidRPr="00012081">
        <w:rPr>
          <w:b/>
          <w:color w:val="000000" w:themeColor="text1"/>
        </w:rPr>
        <w:t>,</w:t>
      </w:r>
      <w:proofErr w:type="gramEnd"/>
      <w:r w:rsidR="00012081" w:rsidRPr="00012081">
        <w:rPr>
          <w:b/>
          <w:color w:val="000000" w:themeColor="text1"/>
        </w:rPr>
        <w:t>-</w:t>
      </w:r>
      <w:r w:rsidR="00012081" w:rsidRPr="00012081">
        <w:rPr>
          <w:color w:val="000000" w:themeColor="text1"/>
        </w:rPr>
        <w:t xml:space="preserve"> </w:t>
      </w:r>
      <w:r w:rsidR="004609E1">
        <w:t xml:space="preserve">Kč/čtvrtletně. Poplatek bude </w:t>
      </w:r>
      <w:r w:rsidR="004D74F6">
        <w:t>odběra</w:t>
      </w:r>
      <w:r w:rsidR="004609E1">
        <w:t xml:space="preserve">tel vyúčtovávat </w:t>
      </w:r>
      <w:r w:rsidR="004D74F6">
        <w:t>čtvrtlet</w:t>
      </w:r>
      <w:r w:rsidR="004609E1">
        <w:t xml:space="preserve">ně řádným daňovým </w:t>
      </w:r>
    </w:p>
    <w:p w14:paraId="4F991DF1" w14:textId="3CB0F447" w:rsidR="004609E1" w:rsidRDefault="004609E1" w:rsidP="004609E1">
      <w:pPr>
        <w:spacing w:after="120" w:line="312" w:lineRule="auto"/>
        <w:jc w:val="both"/>
      </w:pPr>
      <w:r>
        <w:t xml:space="preserve">dokladem se splatností 30 dnů ode dne doručení dokladu </w:t>
      </w:r>
      <w:r w:rsidR="004D74F6">
        <w:t>dodavateli</w:t>
      </w:r>
      <w:r>
        <w:t>.</w:t>
      </w:r>
    </w:p>
    <w:p w14:paraId="55C1B9E9" w14:textId="77777777" w:rsidR="000B0388" w:rsidRDefault="000B0388" w:rsidP="004609E1">
      <w:pPr>
        <w:spacing w:after="120" w:line="312" w:lineRule="auto"/>
        <w:jc w:val="both"/>
        <w:rPr>
          <w:b/>
          <w:bCs/>
        </w:rPr>
      </w:pPr>
    </w:p>
    <w:p w14:paraId="04061343" w14:textId="77777777" w:rsidR="000B0388" w:rsidRDefault="000B0388" w:rsidP="004609E1">
      <w:pPr>
        <w:spacing w:after="120" w:line="312" w:lineRule="auto"/>
        <w:jc w:val="both"/>
        <w:rPr>
          <w:b/>
          <w:bCs/>
        </w:rPr>
      </w:pPr>
    </w:p>
    <w:p w14:paraId="781DAF3A" w14:textId="77777777" w:rsidR="000B0388" w:rsidRDefault="000B0388" w:rsidP="004609E1">
      <w:pPr>
        <w:spacing w:after="120" w:line="312" w:lineRule="auto"/>
        <w:jc w:val="both"/>
        <w:rPr>
          <w:b/>
          <w:bCs/>
        </w:rPr>
      </w:pPr>
    </w:p>
    <w:p w14:paraId="25D845A0" w14:textId="77777777" w:rsidR="000B0388" w:rsidRDefault="000B0388" w:rsidP="004609E1">
      <w:pPr>
        <w:spacing w:after="120" w:line="312" w:lineRule="auto"/>
        <w:jc w:val="both"/>
        <w:rPr>
          <w:b/>
          <w:bCs/>
        </w:rPr>
      </w:pPr>
    </w:p>
    <w:p w14:paraId="74F3C0D8" w14:textId="77777777" w:rsidR="000B0388" w:rsidRDefault="000B0388" w:rsidP="004609E1">
      <w:pPr>
        <w:spacing w:after="120" w:line="312" w:lineRule="auto"/>
        <w:jc w:val="both"/>
        <w:rPr>
          <w:b/>
          <w:bCs/>
        </w:rPr>
      </w:pPr>
    </w:p>
    <w:p w14:paraId="463A27BD" w14:textId="77777777" w:rsidR="000B0388" w:rsidRDefault="000B0388" w:rsidP="004609E1">
      <w:pPr>
        <w:spacing w:after="120" w:line="312" w:lineRule="auto"/>
        <w:jc w:val="both"/>
        <w:rPr>
          <w:b/>
          <w:bCs/>
        </w:rPr>
      </w:pPr>
    </w:p>
    <w:p w14:paraId="40134E82" w14:textId="77777777" w:rsidR="000B0388" w:rsidRDefault="000B0388" w:rsidP="004609E1">
      <w:pPr>
        <w:spacing w:after="120" w:line="312" w:lineRule="auto"/>
        <w:jc w:val="both"/>
        <w:rPr>
          <w:b/>
          <w:bCs/>
        </w:rPr>
      </w:pPr>
    </w:p>
    <w:p w14:paraId="3FB7AAB1" w14:textId="77777777" w:rsidR="000B0388" w:rsidRDefault="000B0388" w:rsidP="004609E1">
      <w:pPr>
        <w:spacing w:after="120" w:line="312" w:lineRule="auto"/>
        <w:jc w:val="both"/>
        <w:rPr>
          <w:b/>
          <w:bCs/>
        </w:rPr>
      </w:pPr>
    </w:p>
    <w:p w14:paraId="041C1D80" w14:textId="77777777" w:rsidR="000B0388" w:rsidRDefault="000B0388" w:rsidP="004609E1">
      <w:pPr>
        <w:spacing w:after="120" w:line="312" w:lineRule="auto"/>
        <w:jc w:val="both"/>
        <w:rPr>
          <w:b/>
          <w:bCs/>
        </w:rPr>
      </w:pPr>
    </w:p>
    <w:p w14:paraId="45A458C5" w14:textId="77777777" w:rsidR="000B0388" w:rsidRDefault="000B0388" w:rsidP="004609E1">
      <w:pPr>
        <w:spacing w:after="120" w:line="312" w:lineRule="auto"/>
        <w:jc w:val="both"/>
        <w:rPr>
          <w:b/>
          <w:bCs/>
        </w:rPr>
      </w:pPr>
    </w:p>
    <w:p w14:paraId="4CEE49EB" w14:textId="77777777" w:rsidR="000B0388" w:rsidRDefault="000B0388" w:rsidP="004609E1">
      <w:pPr>
        <w:spacing w:after="120" w:line="312" w:lineRule="auto"/>
        <w:jc w:val="both"/>
        <w:rPr>
          <w:b/>
          <w:bCs/>
        </w:rPr>
      </w:pPr>
    </w:p>
    <w:p w14:paraId="6C9699BB" w14:textId="77777777" w:rsidR="000B0388" w:rsidRDefault="000B0388" w:rsidP="004609E1">
      <w:pPr>
        <w:spacing w:after="120" w:line="312" w:lineRule="auto"/>
        <w:jc w:val="both"/>
        <w:rPr>
          <w:b/>
          <w:bCs/>
        </w:rPr>
      </w:pPr>
    </w:p>
    <w:p w14:paraId="68948135" w14:textId="77777777" w:rsidR="000B0388" w:rsidRDefault="000B0388" w:rsidP="004609E1">
      <w:pPr>
        <w:spacing w:after="120" w:line="312" w:lineRule="auto"/>
        <w:jc w:val="both"/>
        <w:rPr>
          <w:b/>
          <w:bCs/>
        </w:rPr>
      </w:pPr>
    </w:p>
    <w:p w14:paraId="242DCC36" w14:textId="77777777" w:rsidR="000B0388" w:rsidRDefault="000B0388" w:rsidP="004609E1">
      <w:pPr>
        <w:spacing w:after="120" w:line="312" w:lineRule="auto"/>
        <w:jc w:val="both"/>
        <w:rPr>
          <w:b/>
          <w:bCs/>
        </w:rPr>
      </w:pPr>
    </w:p>
    <w:p w14:paraId="0BFFF40F" w14:textId="77777777" w:rsidR="000B0388" w:rsidRDefault="000B0388" w:rsidP="004609E1">
      <w:pPr>
        <w:spacing w:after="120" w:line="312" w:lineRule="auto"/>
        <w:jc w:val="both"/>
        <w:rPr>
          <w:b/>
          <w:bCs/>
        </w:rPr>
      </w:pPr>
    </w:p>
    <w:p w14:paraId="75429F04" w14:textId="77777777" w:rsidR="000B0388" w:rsidRDefault="000B0388" w:rsidP="004609E1">
      <w:pPr>
        <w:spacing w:after="120" w:line="312" w:lineRule="auto"/>
        <w:jc w:val="both"/>
        <w:rPr>
          <w:b/>
          <w:bCs/>
        </w:rPr>
      </w:pPr>
    </w:p>
    <w:p w14:paraId="17DB45CE" w14:textId="77777777" w:rsidR="000B0388" w:rsidRDefault="000B0388" w:rsidP="004609E1">
      <w:pPr>
        <w:spacing w:after="120" w:line="312" w:lineRule="auto"/>
        <w:jc w:val="both"/>
        <w:rPr>
          <w:b/>
          <w:bCs/>
        </w:rPr>
      </w:pPr>
    </w:p>
    <w:p w14:paraId="5211B24C" w14:textId="77777777" w:rsidR="000B0388" w:rsidRDefault="000B0388" w:rsidP="004609E1">
      <w:pPr>
        <w:spacing w:after="120" w:line="312" w:lineRule="auto"/>
        <w:jc w:val="both"/>
        <w:rPr>
          <w:b/>
          <w:bCs/>
        </w:rPr>
      </w:pPr>
    </w:p>
    <w:p w14:paraId="0BF1EBDF" w14:textId="77777777" w:rsidR="000B0388" w:rsidRDefault="000B0388" w:rsidP="004609E1">
      <w:pPr>
        <w:spacing w:after="120" w:line="312" w:lineRule="auto"/>
        <w:jc w:val="both"/>
        <w:rPr>
          <w:b/>
          <w:bCs/>
        </w:rPr>
      </w:pPr>
    </w:p>
    <w:p w14:paraId="5AF290D1" w14:textId="77777777" w:rsidR="000B0388" w:rsidRDefault="000B0388" w:rsidP="004609E1">
      <w:pPr>
        <w:spacing w:after="120" w:line="312" w:lineRule="auto"/>
        <w:jc w:val="both"/>
        <w:rPr>
          <w:b/>
          <w:bCs/>
        </w:rPr>
      </w:pPr>
    </w:p>
    <w:p w14:paraId="26AA94B8" w14:textId="77777777" w:rsidR="000B0388" w:rsidRDefault="000B0388" w:rsidP="004609E1">
      <w:pPr>
        <w:spacing w:after="120" w:line="312" w:lineRule="auto"/>
        <w:jc w:val="both"/>
        <w:rPr>
          <w:b/>
          <w:bCs/>
        </w:rPr>
      </w:pPr>
    </w:p>
    <w:p w14:paraId="791814CE" w14:textId="77777777" w:rsidR="000B0388" w:rsidRDefault="000B0388" w:rsidP="004609E1">
      <w:pPr>
        <w:spacing w:after="120" w:line="312" w:lineRule="auto"/>
        <w:jc w:val="both"/>
        <w:rPr>
          <w:b/>
          <w:bCs/>
        </w:rPr>
      </w:pPr>
    </w:p>
    <w:p w14:paraId="133EB254" w14:textId="77777777" w:rsidR="00A613A0" w:rsidRDefault="00A613A0" w:rsidP="00A613A0">
      <w:pPr>
        <w:spacing w:after="120" w:line="312" w:lineRule="auto"/>
        <w:jc w:val="both"/>
        <w:rPr>
          <w:b/>
          <w:bCs/>
        </w:rPr>
      </w:pPr>
    </w:p>
    <w:p w14:paraId="48484549" w14:textId="4D7E51C9" w:rsidR="00BE321F" w:rsidRPr="00A613A0" w:rsidRDefault="00BE321F" w:rsidP="004609E1">
      <w:pPr>
        <w:spacing w:after="120" w:line="312" w:lineRule="auto"/>
        <w:jc w:val="both"/>
      </w:pPr>
    </w:p>
    <w:tbl>
      <w:tblPr>
        <w:tblpPr w:leftFromText="141" w:rightFromText="141" w:vertAnchor="text" w:horzAnchor="margin" w:tblpXSpec="center" w:tblpY="-1416"/>
        <w:tblW w:w="108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6170"/>
        <w:gridCol w:w="850"/>
        <w:gridCol w:w="992"/>
        <w:gridCol w:w="993"/>
        <w:gridCol w:w="831"/>
      </w:tblGrid>
      <w:tr w:rsidR="00BE321F" w14:paraId="02046AF2" w14:textId="77777777" w:rsidTr="00BE321F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43DD" w14:textId="77777777" w:rsidR="00BE321F" w:rsidRDefault="00BE321F" w:rsidP="00BE321F">
            <w:pPr>
              <w:rPr>
                <w:rFonts w:ascii="Arial CE" w:hAnsi="Arial CE" w:cs="Arial CE"/>
                <w:sz w:val="20"/>
                <w:szCs w:val="20"/>
              </w:rPr>
            </w:pPr>
          </w:p>
          <w:p w14:paraId="065372AF" w14:textId="0F6FBD7B" w:rsidR="004C1798" w:rsidRPr="004C1798" w:rsidRDefault="004C1798" w:rsidP="004C1798">
            <w:pPr>
              <w:spacing w:after="120" w:line="312" w:lineRule="auto"/>
              <w:jc w:val="both"/>
              <w:rPr>
                <w:sz w:val="18"/>
                <w:szCs w:val="18"/>
              </w:rPr>
            </w:pPr>
            <w:r w:rsidRPr="004C1798">
              <w:rPr>
                <w:b/>
                <w:bCs/>
                <w:sz w:val="20"/>
                <w:szCs w:val="20"/>
              </w:rPr>
              <w:t>Příloha</w:t>
            </w:r>
            <w:r w:rsidRPr="004C1798">
              <w:rPr>
                <w:b/>
                <w:bCs/>
                <w:sz w:val="18"/>
                <w:szCs w:val="18"/>
              </w:rPr>
              <w:t xml:space="preserve"> č. </w:t>
            </w: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</w:rPr>
              <w:t xml:space="preserve">   </w:t>
            </w:r>
          </w:p>
          <w:p w14:paraId="719D773A" w14:textId="549FD226" w:rsidR="004C1798" w:rsidRDefault="004C1798" w:rsidP="00BE321F">
            <w:pPr>
              <w:rPr>
                <w:rFonts w:ascii="Arial CE" w:hAnsi="Arial CE" w:cs="Arial CE"/>
                <w:sz w:val="20"/>
                <w:szCs w:val="20"/>
              </w:rPr>
            </w:pPr>
          </w:p>
          <w:p w14:paraId="40F3D69E" w14:textId="77777777" w:rsidR="004C1798" w:rsidRDefault="004C1798" w:rsidP="00BE321F">
            <w:pPr>
              <w:rPr>
                <w:rFonts w:ascii="Arial CE" w:hAnsi="Arial CE" w:cs="Arial CE"/>
                <w:sz w:val="20"/>
                <w:szCs w:val="20"/>
              </w:rPr>
            </w:pPr>
          </w:p>
          <w:p w14:paraId="657D50A0" w14:textId="77777777" w:rsidR="004C1798" w:rsidRDefault="004C1798" w:rsidP="00BE321F">
            <w:pPr>
              <w:rPr>
                <w:rFonts w:ascii="Arial CE" w:hAnsi="Arial CE" w:cs="Arial CE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"/>
            </w:tblGrid>
            <w:tr w:rsidR="00BE321F" w14:paraId="09536A1C" w14:textId="77777777" w:rsidTr="00BE321F">
              <w:trPr>
                <w:trHeight w:val="255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302DA2" w14:textId="77777777" w:rsidR="00BE321F" w:rsidRDefault="00BE321F" w:rsidP="00E26798">
                  <w:pPr>
                    <w:framePr w:hSpace="141" w:wrap="around" w:vAnchor="text" w:hAnchor="margin" w:xAlign="center" w:y="-1416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bookmarkStart w:id="0" w:name="RANGE!A1:F111"/>
                  <w:bookmarkEnd w:id="0"/>
                </w:p>
              </w:tc>
            </w:tr>
          </w:tbl>
          <w:p w14:paraId="601A67DF" w14:textId="77777777" w:rsidR="00BE321F" w:rsidRDefault="00BE321F" w:rsidP="00BE321F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BC96" w14:textId="4B96825B" w:rsidR="00BE321F" w:rsidRDefault="004C1798" w:rsidP="00BE321F">
            <w:pPr>
              <w:rPr>
                <w:sz w:val="20"/>
                <w:szCs w:val="20"/>
              </w:rPr>
            </w:pPr>
            <w:r>
              <w:rPr>
                <w:rFonts w:ascii="Arial CE" w:hAnsi="Arial CE" w:cs="Arial CE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2820DD8" wp14:editId="50C2FF4F">
                  <wp:simplePos x="0" y="0"/>
                  <wp:positionH relativeFrom="column">
                    <wp:posOffset>-619125</wp:posOffset>
                  </wp:positionH>
                  <wp:positionV relativeFrom="paragraph">
                    <wp:posOffset>480695</wp:posOffset>
                  </wp:positionV>
                  <wp:extent cx="3743325" cy="790575"/>
                  <wp:effectExtent l="0" t="0" r="9525" b="9525"/>
                  <wp:wrapNone/>
                  <wp:docPr id="1308" name="Obrázek 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B9E2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E274" w14:textId="77777777" w:rsidR="00BE321F" w:rsidRDefault="00BE321F" w:rsidP="00BE321F">
            <w:pPr>
              <w:rPr>
                <w:sz w:val="20"/>
                <w:szCs w:val="20"/>
              </w:rPr>
            </w:pPr>
          </w:p>
          <w:p w14:paraId="21393D55" w14:textId="77777777" w:rsidR="00BE321F" w:rsidRDefault="00BE321F" w:rsidP="00BE321F">
            <w:pPr>
              <w:rPr>
                <w:sz w:val="20"/>
                <w:szCs w:val="20"/>
              </w:rPr>
            </w:pPr>
          </w:p>
          <w:p w14:paraId="2BF29A68" w14:textId="77777777" w:rsidR="00BE321F" w:rsidRDefault="00BE321F" w:rsidP="00BE321F">
            <w:pPr>
              <w:rPr>
                <w:sz w:val="20"/>
                <w:szCs w:val="20"/>
              </w:rPr>
            </w:pPr>
          </w:p>
          <w:p w14:paraId="151A47EC" w14:textId="77777777" w:rsidR="00BE321F" w:rsidRDefault="00BE321F" w:rsidP="00BE321F">
            <w:pPr>
              <w:rPr>
                <w:sz w:val="20"/>
                <w:szCs w:val="20"/>
              </w:rPr>
            </w:pPr>
          </w:p>
          <w:p w14:paraId="2C45EECB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B538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E628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</w:tr>
      <w:tr w:rsidR="00BE321F" w14:paraId="22A33629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744B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4BCC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A6E6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C4F0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D693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7F66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</w:tr>
      <w:tr w:rsidR="00BE321F" w14:paraId="208ABA57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8F05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A1A3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B67E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D62A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F3A9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4B2D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</w:tr>
      <w:tr w:rsidR="00BE321F" w14:paraId="432894F3" w14:textId="77777777" w:rsidTr="00BE321F">
        <w:trPr>
          <w:trHeight w:val="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6FE7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B1A9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517A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67D3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CD77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1078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</w:tr>
      <w:tr w:rsidR="00BE321F" w14:paraId="645A656D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0174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6414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4229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F223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2159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3E1A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</w:tr>
      <w:tr w:rsidR="00BE321F" w14:paraId="1CBFDA25" w14:textId="77777777" w:rsidTr="00BE321F">
        <w:trPr>
          <w:trHeight w:val="315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FBB5" w14:textId="1607FD8B" w:rsidR="00BE321F" w:rsidRDefault="00BE321F" w:rsidP="00BE321F">
            <w:pPr>
              <w:rPr>
                <w:rFonts w:ascii="Arial CE" w:hAnsi="Arial CE" w:cs="Arial CE"/>
                <w:b/>
                <w:bCs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CE" w:hAnsi="Arial CE" w:cs="Arial CE"/>
                <w:b/>
                <w:bCs/>
                <w:color w:val="FF0000"/>
                <w:sz w:val="18"/>
                <w:szCs w:val="18"/>
                <w:u w:val="single"/>
              </w:rPr>
              <w:t xml:space="preserve">Ceník platný od: 01.01. 2024   </w:t>
            </w:r>
          </w:p>
          <w:p w14:paraId="30524B49" w14:textId="77777777" w:rsidR="00BE321F" w:rsidRPr="00CA008C" w:rsidRDefault="00BE321F" w:rsidP="00BE321F">
            <w:pPr>
              <w:rPr>
                <w:rFonts w:ascii="Arial CE" w:hAnsi="Arial CE" w:cs="Arial CE"/>
                <w:bCs/>
                <w:color w:val="FF0000"/>
                <w:sz w:val="18"/>
                <w:szCs w:val="18"/>
              </w:rPr>
            </w:pPr>
            <w:r w:rsidRPr="00CA008C">
              <w:rPr>
                <w:rFonts w:ascii="Arial CE" w:hAnsi="Arial CE" w:cs="Arial CE"/>
                <w:bCs/>
                <w:sz w:val="18"/>
                <w:szCs w:val="18"/>
              </w:rPr>
              <w:t>Výrobky jsou zařazeny do číselníku SÚKL pod skupinou 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0529" w14:textId="77777777" w:rsidR="00BE321F" w:rsidRDefault="00BE321F" w:rsidP="00BE321F">
            <w:pPr>
              <w:rPr>
                <w:rFonts w:ascii="Arial CE" w:hAnsi="Arial CE" w:cs="Arial CE"/>
                <w:b/>
                <w:bCs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E757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A83B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BF0B" w14:textId="77777777" w:rsidR="00BE321F" w:rsidRDefault="00BE321F" w:rsidP="00BE321F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E321F" w14:paraId="1A9377E2" w14:textId="77777777" w:rsidTr="00BE321F">
        <w:trPr>
          <w:trHeight w:val="276"/>
        </w:trPr>
        <w:tc>
          <w:tcPr>
            <w:tcW w:w="10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C0C0C0"/>
            <w:hideMark/>
          </w:tcPr>
          <w:p w14:paraId="07208C6B" w14:textId="77777777" w:rsidR="00BE321F" w:rsidRDefault="00BE321F" w:rsidP="00BE321F">
            <w:pPr>
              <w:jc w:val="center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Úhradový kód</w:t>
            </w:r>
          </w:p>
        </w:tc>
        <w:tc>
          <w:tcPr>
            <w:tcW w:w="617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C0C0C0"/>
            <w:noWrap/>
            <w:hideMark/>
          </w:tcPr>
          <w:p w14:paraId="06B7A996" w14:textId="77777777" w:rsidR="00BE321F" w:rsidRDefault="00BE321F" w:rsidP="00BE321F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Typ a název výrobku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BFBFBF"/>
            <w:hideMark/>
          </w:tcPr>
          <w:p w14:paraId="4EF18242" w14:textId="77777777" w:rsidR="00BE321F" w:rsidRDefault="00BE321F" w:rsidP="00BE321F">
            <w:pPr>
              <w:jc w:val="center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Cena    ORTEX      bez DPH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BFBFBF"/>
            <w:hideMark/>
          </w:tcPr>
          <w:p w14:paraId="221F029B" w14:textId="77777777" w:rsidR="00BE321F" w:rsidRDefault="00BE321F" w:rsidP="00BE321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Cena   ORTEX     vč. DPH</w:t>
            </w:r>
          </w:p>
        </w:tc>
        <w:tc>
          <w:tcPr>
            <w:tcW w:w="99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BFBFBF"/>
            <w:hideMark/>
          </w:tcPr>
          <w:p w14:paraId="1AB3CBFA" w14:textId="77777777" w:rsidR="00BE321F" w:rsidRDefault="00BE321F" w:rsidP="00BE321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Úhrada pojišťovny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vč.DPH</w:t>
            </w:r>
            <w:proofErr w:type="spellEnd"/>
          </w:p>
        </w:tc>
        <w:tc>
          <w:tcPr>
            <w:tcW w:w="83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BFBFBF"/>
            <w:hideMark/>
          </w:tcPr>
          <w:p w14:paraId="7EA4FD39" w14:textId="77777777" w:rsidR="00BE321F" w:rsidRDefault="00BE321F" w:rsidP="00BE321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Doplatek pacienta</w:t>
            </w:r>
          </w:p>
        </w:tc>
      </w:tr>
      <w:tr w:rsidR="00BE321F" w14:paraId="5BD8B3A5" w14:textId="77777777" w:rsidTr="00BE321F">
        <w:trPr>
          <w:trHeight w:val="285"/>
        </w:trPr>
        <w:tc>
          <w:tcPr>
            <w:tcW w:w="10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66ADC77" w14:textId="77777777" w:rsidR="00BE321F" w:rsidRDefault="00BE321F" w:rsidP="00BE321F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C988005" w14:textId="77777777" w:rsidR="00BE321F" w:rsidRDefault="00BE321F" w:rsidP="00BE321F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17421E6" w14:textId="77777777" w:rsidR="00BE321F" w:rsidRDefault="00BE321F" w:rsidP="00BE321F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F45458D" w14:textId="77777777" w:rsidR="00BE321F" w:rsidRDefault="00BE321F" w:rsidP="00BE321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F8A19A0" w14:textId="77777777" w:rsidR="00BE321F" w:rsidRDefault="00BE321F" w:rsidP="00BE321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005DC13" w14:textId="77777777" w:rsidR="00BE321F" w:rsidRDefault="00BE321F" w:rsidP="00BE321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</w:tr>
      <w:tr w:rsidR="00BE321F" w14:paraId="56C74A89" w14:textId="77777777" w:rsidTr="00BE321F">
        <w:trPr>
          <w:trHeight w:val="276"/>
        </w:trPr>
        <w:tc>
          <w:tcPr>
            <w:tcW w:w="10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370AC9E" w14:textId="77777777" w:rsidR="00BE321F" w:rsidRDefault="00BE321F" w:rsidP="00BE321F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49ADD8D" w14:textId="77777777" w:rsidR="00BE321F" w:rsidRDefault="00BE321F" w:rsidP="00BE321F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4322DE2" w14:textId="77777777" w:rsidR="00BE321F" w:rsidRDefault="00BE321F" w:rsidP="00BE321F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41711C5" w14:textId="77777777" w:rsidR="00BE321F" w:rsidRDefault="00BE321F" w:rsidP="00BE321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4115DCE" w14:textId="77777777" w:rsidR="00BE321F" w:rsidRDefault="00BE321F" w:rsidP="00BE321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94853E5" w14:textId="77777777" w:rsidR="00BE321F" w:rsidRDefault="00BE321F" w:rsidP="00BE321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</w:tr>
      <w:tr w:rsidR="00BE321F" w14:paraId="62C13DA4" w14:textId="77777777" w:rsidTr="00BE321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5B83" w14:textId="77777777" w:rsidR="00BE321F" w:rsidRDefault="00BE321F" w:rsidP="00BE321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5000680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A8016" w14:textId="77777777" w:rsidR="00BE321F" w:rsidRDefault="00BE321F" w:rsidP="00BE32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01 Dlaha kolenního kloubu fixační s vymezeným rozsahem pohybu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C17A" w14:textId="45025CFA" w:rsidR="00BE321F" w:rsidRDefault="00FE514A" w:rsidP="00BE321F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5E55" w14:textId="2ED0E796" w:rsidR="00BE321F" w:rsidRDefault="00FE514A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A3D8" w14:textId="49CFB46D" w:rsidR="00BE321F" w:rsidRDefault="00FE514A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5B75" w14:textId="77777777" w:rsidR="00BE321F" w:rsidRDefault="00BE321F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BE321F" w14:paraId="6C2AC8F5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A7E1" w14:textId="77777777" w:rsidR="00BE321F" w:rsidRDefault="00BE321F" w:rsidP="00BE321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5000682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3316A" w14:textId="77777777" w:rsidR="00BE321F" w:rsidRDefault="00BE321F" w:rsidP="00BE32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01C Ortéza kolen. kloubu s pevným rámem, limitovaný rozsah pohybu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7EB6" w14:textId="1CBEF924" w:rsidR="00BE321F" w:rsidRDefault="00FE514A" w:rsidP="00BE321F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BF5F" w14:textId="355EAD0E" w:rsidR="00BE321F" w:rsidRDefault="00FE514A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5C48" w14:textId="4D106266" w:rsidR="00BE321F" w:rsidRDefault="00FE514A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F58C" w14:textId="3BC565EB" w:rsidR="00BE321F" w:rsidRDefault="00FE514A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BE321F" w14:paraId="1D7D1D2A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5BAF" w14:textId="77777777" w:rsidR="00BE321F" w:rsidRDefault="00BE321F" w:rsidP="00BE321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5000683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62C02" w14:textId="77777777" w:rsidR="00BE321F" w:rsidRDefault="00BE321F" w:rsidP="00BE32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02 Dlaha loketního kloubu fixační s vymezeným rozsahem pohybu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FDA0" w14:textId="0AE4C86D" w:rsidR="00BE321F" w:rsidRDefault="00FE514A" w:rsidP="00BE321F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C61C" w14:textId="1297C372" w:rsidR="00BE321F" w:rsidRDefault="00FE514A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D1A1" w14:textId="0083F231" w:rsidR="00BE321F" w:rsidRDefault="00FE514A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BC77" w14:textId="77777777" w:rsidR="00BE321F" w:rsidRDefault="00BE321F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BE321F" w14:paraId="23FD7C68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9884" w14:textId="77777777" w:rsidR="00BE321F" w:rsidRDefault="00BE321F" w:rsidP="00BE321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5000684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BEBFF" w14:textId="77777777" w:rsidR="00BE321F" w:rsidRDefault="00BE321F" w:rsidP="00BE32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ORTEX 02A Ortéza loketního kloubu rigidní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92FF" w14:textId="5BE2D17B" w:rsidR="00BE321F" w:rsidRDefault="00FE514A" w:rsidP="00BE321F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EFC4" w14:textId="37372639" w:rsidR="00BE321F" w:rsidRDefault="00FE514A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15B5" w14:textId="7967E7B4" w:rsidR="00BE321F" w:rsidRDefault="00FE514A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A2FD" w14:textId="77777777" w:rsidR="00BE321F" w:rsidRDefault="00BE321F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BE321F" w14:paraId="13B99B29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79F9" w14:textId="77777777" w:rsidR="00BE321F" w:rsidRDefault="00BE321F" w:rsidP="00BE321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61748" w14:textId="77777777" w:rsidR="00BE321F" w:rsidRDefault="00BE321F" w:rsidP="00BE32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02B Bandáž lokte 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E61E" w14:textId="39B88D16" w:rsidR="00BE321F" w:rsidRDefault="00FE514A" w:rsidP="00BE321F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F93F" w14:textId="689AD998" w:rsidR="00BE321F" w:rsidRDefault="00FE514A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B28B" w14:textId="337BCD40" w:rsidR="00BE321F" w:rsidRDefault="00FE514A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2B01" w14:textId="4DF85154" w:rsidR="00BE321F" w:rsidRDefault="00FE514A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BE321F" w14:paraId="58FCCED3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268C" w14:textId="77777777" w:rsidR="00BE321F" w:rsidRDefault="00BE321F" w:rsidP="00BE321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5000685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D9A9B" w14:textId="77777777" w:rsidR="00BE321F" w:rsidRDefault="00BE321F" w:rsidP="00BE32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02C Bandáž lokte se zesílením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0CAB" w14:textId="1915DA4A" w:rsidR="00BE321F" w:rsidRDefault="00FE514A" w:rsidP="00BE321F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C639" w14:textId="73681700" w:rsidR="00BE321F" w:rsidRDefault="00FE514A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6B33" w14:textId="4E312AF2" w:rsidR="00BE321F" w:rsidRDefault="00FE514A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4BFC" w14:textId="77777777" w:rsidR="00BE321F" w:rsidRDefault="00BE321F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BE321F" w14:paraId="291B8B72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4B0B" w14:textId="77777777" w:rsidR="00BE321F" w:rsidRDefault="00BE321F" w:rsidP="00BE321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5000686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6CF65" w14:textId="77777777" w:rsidR="00BE321F" w:rsidRDefault="00BE321F" w:rsidP="00BE32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02D Ortéza loketní úpletová se silikonovou výztuhou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2CD6" w14:textId="07F60054" w:rsidR="00BE321F" w:rsidRDefault="00FE514A" w:rsidP="00BE321F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CABC" w14:textId="308E7915" w:rsidR="00BE321F" w:rsidRDefault="00FE514A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6298" w14:textId="025F6803" w:rsidR="00BE321F" w:rsidRDefault="00FE514A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21F5" w14:textId="6C3AA250" w:rsidR="00BE321F" w:rsidRDefault="00FE514A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BE321F" w14:paraId="5C02DA95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6D48" w14:textId="77777777" w:rsidR="00BE321F" w:rsidRDefault="00BE321F" w:rsidP="00BE321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5000687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A26F8" w14:textId="77777777" w:rsidR="00BE321F" w:rsidRDefault="00BE321F" w:rsidP="00BE32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03 Dlaha fixační kolenního kloubu pevná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BA54" w14:textId="2E2E6651" w:rsidR="00BE321F" w:rsidRDefault="00FE514A" w:rsidP="00BE321F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183C" w14:textId="2C3BFFAC" w:rsidR="00BE321F" w:rsidRDefault="00FE514A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88F7" w14:textId="4E19E699" w:rsidR="00BE321F" w:rsidRDefault="00FE514A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5D67" w14:textId="77777777" w:rsidR="00BE321F" w:rsidRDefault="00BE321F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BE321F" w14:paraId="7D12FD01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7FBC" w14:textId="77777777" w:rsidR="00BE321F" w:rsidRDefault="00BE321F" w:rsidP="00BE321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5000688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95366" w14:textId="77777777" w:rsidR="00BE321F" w:rsidRDefault="00BE321F" w:rsidP="00BE32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ORTEX 03A Ortéza kolenního kloubu fixační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pevná - jednodílná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2C86" w14:textId="13315485" w:rsidR="00BE321F" w:rsidRDefault="00FE514A" w:rsidP="00BE321F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DA8F" w14:textId="28C3CEF7" w:rsidR="00BE321F" w:rsidRDefault="00FE514A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7D89" w14:textId="444CC178" w:rsidR="00BE321F" w:rsidRDefault="00FE514A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C596" w14:textId="77777777" w:rsidR="00BE321F" w:rsidRDefault="00BE321F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BE321F" w14:paraId="2396AF24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16C2" w14:textId="77777777" w:rsidR="00BE321F" w:rsidRDefault="00BE321F" w:rsidP="00BE321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5000689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2F301" w14:textId="77777777" w:rsidR="00BE321F" w:rsidRDefault="00BE321F" w:rsidP="00BE32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ORTEX 04A Ortéza kolenního kloubu léčebná, krátká, s jednoduchým kloubem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6819" w14:textId="10053B20" w:rsidR="00BE321F" w:rsidRDefault="00FE514A" w:rsidP="00BE321F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4ECA" w14:textId="51602535" w:rsidR="00BE321F" w:rsidRDefault="00FE514A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6EB3" w14:textId="0AEF325C" w:rsidR="00BE321F" w:rsidRDefault="00FE514A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C8A1" w14:textId="77777777" w:rsidR="00BE321F" w:rsidRDefault="00BE321F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BE321F" w14:paraId="02DBEC27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CC12" w14:textId="77777777" w:rsidR="00BE321F" w:rsidRDefault="00BE321F" w:rsidP="00BE321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5000690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6C021" w14:textId="77777777" w:rsidR="00BE321F" w:rsidRDefault="00BE321F" w:rsidP="00BE32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ORTEX 04B Ortéza kolen. kloubu léčeb., krátká, 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přestavitel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rozsahem pohybu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99EA" w14:textId="7F172965" w:rsidR="00BE321F" w:rsidRDefault="00FE514A" w:rsidP="00BE321F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7D61" w14:textId="61DE844C" w:rsidR="00BE321F" w:rsidRDefault="00FE514A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9DC5" w14:textId="370F20CD" w:rsidR="00BE321F" w:rsidRDefault="00FE514A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7CDD" w14:textId="77777777" w:rsidR="00BE321F" w:rsidRDefault="00BE321F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BE321F" w14:paraId="4A8C82EB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3AAE" w14:textId="77777777" w:rsidR="00BE321F" w:rsidRDefault="00BE321F" w:rsidP="00BE321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5000691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B0CFD" w14:textId="77777777" w:rsidR="00BE321F" w:rsidRDefault="00BE321F" w:rsidP="00BE32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04C Ortéza kolenního kloubu léčebná, krátká, s dvouosým kloubem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2659" w14:textId="0AD4C350" w:rsidR="00BE321F" w:rsidRDefault="00FE514A" w:rsidP="00BE321F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CF0A" w14:textId="7003286D" w:rsidR="00BE321F" w:rsidRDefault="00FE514A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A101" w14:textId="46994009" w:rsidR="00BE321F" w:rsidRDefault="00FE514A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6C31" w14:textId="77777777" w:rsidR="00BE321F" w:rsidRDefault="00BE321F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BE321F" w14:paraId="23C35E2D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599A" w14:textId="77777777" w:rsidR="00BE321F" w:rsidRDefault="00BE321F" w:rsidP="00BE321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5000692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50F75" w14:textId="77777777" w:rsidR="00BE321F" w:rsidRDefault="00BE321F" w:rsidP="00BE32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04D Bandáž kolenní s pružinovou výztuhou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E348" w14:textId="51AE53A7" w:rsidR="00BE321F" w:rsidRDefault="00FE514A" w:rsidP="00BE321F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0A96" w14:textId="6A1C32C7" w:rsidR="00BE321F" w:rsidRDefault="00FE514A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F6A3" w14:textId="2951AD62" w:rsidR="00BE321F" w:rsidRDefault="00FE514A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6C0A" w14:textId="77777777" w:rsidR="00BE321F" w:rsidRDefault="00BE321F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BE321F" w14:paraId="5E6B4614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B413" w14:textId="77777777" w:rsidR="00BE321F" w:rsidRDefault="00BE321F" w:rsidP="00BE321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5000693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8FA91" w14:textId="77777777" w:rsidR="00BE321F" w:rsidRDefault="00BE321F" w:rsidP="00BE32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04E Ortéza kolen. kloubu léčebná, krátká, s dvouosými klouby a tahem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7953" w14:textId="37BED1BE" w:rsidR="00BE321F" w:rsidRDefault="00FE514A" w:rsidP="00BE321F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272A" w14:textId="0CDF1049" w:rsidR="00BE321F" w:rsidRDefault="00FE514A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5112" w14:textId="10F3D58A" w:rsidR="00BE321F" w:rsidRDefault="00FE514A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FF12" w14:textId="77777777" w:rsidR="00BE321F" w:rsidRDefault="00BE321F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19F47ED9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66B9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5000694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DB1E7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04F Ortéza kolenního kloubu léčebná s klouby pro medializaci pately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DDEE" w14:textId="7716B91C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ECB1" w14:textId="110B7D3C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3E9C" w14:textId="2398BF0B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A743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7CD5DCF0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0593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5000695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9C1D4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04G Bandáž kolenní s výztuhou otvoru pately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AB4C" w14:textId="4B5B093F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4ECF" w14:textId="4E0D98C0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50FC" w14:textId="4B81A85A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C211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00805ACC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F06E" w14:textId="77777777" w:rsidR="00FE514A" w:rsidRDefault="00FE514A" w:rsidP="00FE514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96E92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04H Bandáž kolenní s otvorem pro patelu 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C33D" w14:textId="589EC144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B9B9" w14:textId="637839B1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E1BF" w14:textId="344BD676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39AD" w14:textId="57478144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FE514A" w14:paraId="50E4D10E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F962" w14:textId="77777777" w:rsidR="00FE514A" w:rsidRDefault="00FE514A" w:rsidP="00FE514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70410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04J Bandáž kolenní jednoduchá 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A87D" w14:textId="291B6EC5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929C" w14:textId="379D63C3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444A" w14:textId="3499582F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87A7" w14:textId="16F1A6AA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FE514A" w14:paraId="33C72B37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F98C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5000696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66C8B" w14:textId="7C0CB4F0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04</w:t>
            </w:r>
            <w:r w:rsidR="00E2679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 Aktivní kolenní úpletová bandáž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CD8F" w14:textId="58FBEF40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E894" w14:textId="70A5B6D0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3263" w14:textId="0F77907E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B16B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00F49153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B28C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5000697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B8F55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05 Dlaha kolenního kloubu fixační s flexí 20°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8E11" w14:textId="767B29CC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E203" w14:textId="1A8507CD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8401" w14:textId="02B1F956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D7F5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1D7D86CE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BCEC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5000698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7842D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ORTEX 05A Ortéza kolenního kloubu fixační s flexí 20° - jednodílná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7A81" w14:textId="7D8DFE6D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7DA1" w14:textId="2D6DFA5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705D" w14:textId="08D668B2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88AF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454086C8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4F85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5000699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C947B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ORTEX 06A Ortéza hlezenního kloubu fixační s třemi dlahami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1392" w14:textId="38D5EBD8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7632" w14:textId="2A2ED59C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31D0" w14:textId="2315ECE5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9D47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4AE6A78B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F8643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5003317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AFDA" w14:textId="77777777" w:rsidR="00FE514A" w:rsidRDefault="00FE514A" w:rsidP="00FE514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Ortéza hlezna s tahem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D0D2C" w14:textId="1236BB4D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F15B3" w14:textId="73CC4F31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016CC" w14:textId="467E83B2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4E60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53A6780A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6434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5000700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ED72A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ORTEX 06C Ortéza hlezenní zpevňující s křížovým tahem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298C" w14:textId="453609A2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97AF" w14:textId="27B148F5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D469" w14:textId="5506BD0A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B70F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6FD4593F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FD50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5000701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DAC32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06D Ortéza hlezenního kloubu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D49A" w14:textId="6FA3AFE1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FB00" w14:textId="1BDF762B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0DF0" w14:textId="52FC43FC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68FB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636D6D42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ADAA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5000702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31C43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06E Bandáž hlezenního kloubu úpletová se silikonovou výztuhou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1773" w14:textId="7BE54777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59D7" w14:textId="3133EF50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5663" w14:textId="649EB141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EBA2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029DE05E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5AC9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5000703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8BABF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06F Ortéza hlezenního kloubu rigidní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F041" w14:textId="0E6A138F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B04C" w14:textId="6B640969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5246" w14:textId="057042E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36EB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47B43232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2786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5000704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A346C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ORTEX 06G Ortéza hlezenního kloubu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stavitelná - typ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WALKER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DDA3" w14:textId="543AC078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9E37" w14:textId="17839478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8251" w14:textId="64A63992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2B34" w14:textId="1C4D1CF0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FE514A" w14:paraId="10CC60D1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8CDE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5014136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6FF49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06H Ortéza Achillovy šlachy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56CF" w14:textId="0E2C50A7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FB04" w14:textId="6DA4273D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D504" w14:textId="1E6BAE1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F15D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0808F01E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F836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5000705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0F1A1" w14:textId="279A473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07 Fixační ortéza zápěstí délka 17</w:t>
            </w:r>
            <w:r w:rsidR="00E2679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cm / levá   I, II, III, IV,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884C" w14:textId="18A565F8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D182" w14:textId="1B0BD5E2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327A" w14:textId="0D2D222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72C0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1651E5F1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637F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5000706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5EC9B" w14:textId="0EF351EA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07 Fixační ortéza zápěstí délka 17</w:t>
            </w:r>
            <w:r w:rsidR="00E2679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cm / pravá I, II, III, IV,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DE9C" w14:textId="37667B94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DA85" w14:textId="4918FE30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DD9C" w14:textId="3B1BF075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737A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7F79E912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0120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5000707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B19C5" w14:textId="0D68F7B3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07 Fixační ortéza zápěstí délka 22</w:t>
            </w:r>
            <w:r w:rsidR="00E2679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cm / levá I, II, III, IV,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58AE" w14:textId="144A6B38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FB4E" w14:textId="4318DA22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AEFC" w14:textId="102E12E3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D69D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3D09053E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65E8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5000708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52D41" w14:textId="442653C8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07 Fixační ortéza zápěstí délka 22</w:t>
            </w:r>
            <w:r w:rsidR="00E2679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cm / pravá I, II, III, IV,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E464" w14:textId="4B1C4063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AFA4" w14:textId="45F1F4E1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DBDA" w14:textId="0FCF4BF8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19A7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40600914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F2D1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5000709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206DC" w14:textId="5064BFFE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07 Fixační ortéza zápěstí délka 28</w:t>
            </w:r>
            <w:r w:rsidR="00E2679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cm / levá I, II, III, IV,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CB9D" w14:textId="254EFBC0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0786" w14:textId="7F2B83DA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7014" w14:textId="4AE16DB6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8548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2952FECB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09A6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5000710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406C9" w14:textId="0E86472A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07 Fixační ortéza zápěstí délka 28</w:t>
            </w:r>
            <w:r w:rsidR="00E2679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cm / pravá I, II, III, IV,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32EC" w14:textId="038DA6CB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62C6" w14:textId="7966043F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1400" w14:textId="7B6B82ED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4E8B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212EED86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727B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5000711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5D67E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07G Ortéza zápěstí úpletová s výztuhou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525A" w14:textId="18D6ED1B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117A" w14:textId="61B4BB96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336F" w14:textId="75514F18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196A" w14:textId="237EECB8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FE514A" w14:paraId="31ED8B89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E461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5000712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827A4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ORTEX 07H Ortéza zápěstí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fixační - univerzální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A695" w14:textId="6DECB26E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5A19" w14:textId="60D5749B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6539" w14:textId="7A39A25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0429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317C7C72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DD2B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5001929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7584B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07J Ortéza zápěstí a prstů ruky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0C63" w14:textId="2ED24945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20D2" w14:textId="01A8DEB3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FB45" w14:textId="3197FC1E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5DE2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4EC498DD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F6FC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5000716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5E5A9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ORTEX 08 Fixační ortéza ramenního kloubu      XS,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 - levá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pravá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3C24" w14:textId="59BFE4DD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1050" w14:textId="6EFC43A4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A1BA" w14:textId="2D401453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6683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33CEC7C7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37FD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5000717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5DFB8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ORTEX 08 Fixační ortéza ramenního kloubu    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 - levá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pravá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6486" w14:textId="0D47D127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1185" w14:textId="68F17A93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CE92" w14:textId="74551193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7F4F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439210CD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DB1C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5000718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C9565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ORTEX 08 Fixační ortéza ramenního kloubu    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L - levá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pravá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FD76" w14:textId="2C5761D3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736E" w14:textId="7CDCBE92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1B74" w14:textId="300764CA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F879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5094BC37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4FF4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5000719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7286B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09 Abdukční dlaha ramenního kloubu polohovatelná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767A" w14:textId="42AEFE38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E57D" w14:textId="64D0C919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A49C" w14:textId="24887F93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B0FE" w14:textId="75A7926D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FE514A" w14:paraId="2C149669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6FCE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5000720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F2C44" w14:textId="64AACE36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09</w:t>
            </w:r>
            <w:r w:rsidR="00E2679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 Abdukční dlaha ramenního kloubu vzduchová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256A" w14:textId="261C0592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1EF7" w14:textId="2C563EAC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99D5" w14:textId="56ACB782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71C0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0944FD8F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14CF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5000721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A1ACB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ORTEX 010 Polohovatelná ortéza bérce a stehna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D687" w14:textId="70FA17DF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F1C1" w14:textId="6F22098F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447E" w14:textId="5FD7832B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6545" w14:textId="67281A62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FE514A" w14:paraId="2F31DE44" w14:textId="77777777" w:rsidTr="00BE321F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033C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5000722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8D5AE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ORTEX 011A Ortéza bederní LS LUMBOSACRAL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7FF4" w14:textId="5BC9C4BA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8456" w14:textId="28A07B06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C922" w14:textId="6A48F6D8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FACA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34EE20D6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AA1A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5000723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2614A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011B Ortéza bederní TL TORACOLUMBAL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366B" w14:textId="4B6D996C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54E0" w14:textId="1B20353F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0373" w14:textId="0DB14FDF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16BC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13DA8723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7302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lastRenderedPageBreak/>
              <w:t>5000724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ECF38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011C Ortéza bederní HE HYPEREXTENSION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79BA" w14:textId="2D957522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9B00" w14:textId="3E13FED3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4550" w14:textId="65FA201E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E0A1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4C6C3277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0CED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5000725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FB750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011D Ortéza bederní LS zpevňující, elastická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6262" w14:textId="0744B038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4024" w14:textId="133C1CE2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6630" w14:textId="1FC56E1C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39B9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100C17E9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EB46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5000726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6D9C9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011E Ortéza bederní TL zpevňující, elastická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C984" w14:textId="4CD063F6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8A18" w14:textId="45DE8C81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9CF4" w14:textId="397D3599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F523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78783BBE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F11B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5000727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759C6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ORTEX 011F Ortéza bederní elastická s výztuhami a bederní pelotou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C6EB" w14:textId="659DDAEC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CB82" w14:textId="58883B4A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2586" w14:textId="626F876D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63B6" w14:textId="55C5383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FE514A" w14:paraId="3E98B75E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E754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5000728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F4C5E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012 Ortéza pro fixaci klíční kosti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9D99" w14:textId="1D1A796C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BC57" w14:textId="1AE09AD0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3391" w14:textId="24E1D5DC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12F9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739D1D7C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73FC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5013931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12E10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013A Ortéza ramenního kloubu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F967" w14:textId="6B082A83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92E1" w14:textId="535C0DAD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6687" w14:textId="5E5B6311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2A00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25E482B9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15EE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5000730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33D48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014 Ortéza kosti pažní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A356" w14:textId="2F3DAF35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EC36" w14:textId="58EFED09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C8E1" w14:textId="276CC86A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43D7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BE321F" w14:paraId="0880E52A" w14:textId="77777777" w:rsidTr="00BE321F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B12C" w14:textId="77777777" w:rsidR="00BE321F" w:rsidRDefault="00BE321F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C723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87F8" w14:textId="77777777" w:rsidR="00BE321F" w:rsidRDefault="00BE321F" w:rsidP="00BE3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117B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7419" w14:textId="77777777" w:rsidR="00BE321F" w:rsidRDefault="00BE321F" w:rsidP="00BE32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C9CE" w14:textId="77777777" w:rsidR="00BE321F" w:rsidRDefault="00BE321F" w:rsidP="00BE321F">
            <w:pPr>
              <w:jc w:val="right"/>
              <w:rPr>
                <w:sz w:val="20"/>
                <w:szCs w:val="20"/>
              </w:rPr>
            </w:pPr>
          </w:p>
        </w:tc>
      </w:tr>
      <w:tr w:rsidR="00BE321F" w14:paraId="5142EA95" w14:textId="77777777" w:rsidTr="00BE321F">
        <w:trPr>
          <w:trHeight w:val="276"/>
        </w:trPr>
        <w:tc>
          <w:tcPr>
            <w:tcW w:w="10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C0C0C0"/>
            <w:hideMark/>
          </w:tcPr>
          <w:p w14:paraId="53E44384" w14:textId="77777777" w:rsidR="00BE321F" w:rsidRDefault="00BE321F" w:rsidP="00BE321F">
            <w:pPr>
              <w:jc w:val="center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Úhradový kód</w:t>
            </w:r>
          </w:p>
        </w:tc>
        <w:tc>
          <w:tcPr>
            <w:tcW w:w="617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C0C0C0"/>
            <w:noWrap/>
            <w:hideMark/>
          </w:tcPr>
          <w:p w14:paraId="76FEEED3" w14:textId="77777777" w:rsidR="00BE321F" w:rsidRDefault="00BE321F" w:rsidP="00BE321F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Typ a název výrobku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BFBFBF"/>
            <w:hideMark/>
          </w:tcPr>
          <w:p w14:paraId="2D1D069F" w14:textId="77777777" w:rsidR="00BE321F" w:rsidRDefault="00BE321F" w:rsidP="00BE321F">
            <w:pPr>
              <w:jc w:val="center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Cena    ORTEX      bez DPH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BFBFBF"/>
            <w:hideMark/>
          </w:tcPr>
          <w:p w14:paraId="4D93BFE0" w14:textId="77777777" w:rsidR="00BE321F" w:rsidRDefault="00BE321F" w:rsidP="00BE321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Cena   ORTEX     vč. DPH</w:t>
            </w:r>
          </w:p>
        </w:tc>
        <w:tc>
          <w:tcPr>
            <w:tcW w:w="99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BFBFBF"/>
            <w:hideMark/>
          </w:tcPr>
          <w:p w14:paraId="3834E478" w14:textId="77777777" w:rsidR="00BE321F" w:rsidRDefault="00BE321F" w:rsidP="00BE321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Úhrada pojišťovny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vč.DPH</w:t>
            </w:r>
            <w:proofErr w:type="spellEnd"/>
          </w:p>
        </w:tc>
        <w:tc>
          <w:tcPr>
            <w:tcW w:w="83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BFBFBF"/>
            <w:hideMark/>
          </w:tcPr>
          <w:p w14:paraId="602D9F3E" w14:textId="77777777" w:rsidR="00BE321F" w:rsidRDefault="00BE321F" w:rsidP="00BE321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Doplatek pacienta</w:t>
            </w:r>
          </w:p>
        </w:tc>
      </w:tr>
      <w:tr w:rsidR="00BE321F" w14:paraId="5C4136EE" w14:textId="77777777" w:rsidTr="00BE321F">
        <w:trPr>
          <w:trHeight w:val="276"/>
        </w:trPr>
        <w:tc>
          <w:tcPr>
            <w:tcW w:w="10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F2E46E6" w14:textId="77777777" w:rsidR="00BE321F" w:rsidRDefault="00BE321F" w:rsidP="00BE321F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D62A730" w14:textId="77777777" w:rsidR="00BE321F" w:rsidRDefault="00BE321F" w:rsidP="00BE321F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CB4E123" w14:textId="77777777" w:rsidR="00BE321F" w:rsidRDefault="00BE321F" w:rsidP="00BE321F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22DC991" w14:textId="77777777" w:rsidR="00BE321F" w:rsidRDefault="00BE321F" w:rsidP="00BE321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19A8EF3" w14:textId="77777777" w:rsidR="00BE321F" w:rsidRDefault="00BE321F" w:rsidP="00BE321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16AE0DC" w14:textId="77777777" w:rsidR="00BE321F" w:rsidRDefault="00BE321F" w:rsidP="00BE321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</w:tr>
      <w:tr w:rsidR="00BE321F" w14:paraId="615E0B3F" w14:textId="77777777" w:rsidTr="00BE321F">
        <w:trPr>
          <w:trHeight w:val="276"/>
        </w:trPr>
        <w:tc>
          <w:tcPr>
            <w:tcW w:w="10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CE52E96" w14:textId="77777777" w:rsidR="00BE321F" w:rsidRDefault="00BE321F" w:rsidP="00BE321F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F392070" w14:textId="77777777" w:rsidR="00BE321F" w:rsidRDefault="00BE321F" w:rsidP="00BE321F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D9E2A67" w14:textId="77777777" w:rsidR="00BE321F" w:rsidRDefault="00BE321F" w:rsidP="00BE321F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7CD705B" w14:textId="77777777" w:rsidR="00BE321F" w:rsidRDefault="00BE321F" w:rsidP="00BE321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F5C4313" w14:textId="77777777" w:rsidR="00BE321F" w:rsidRDefault="00BE321F" w:rsidP="00BE321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1861EF3" w14:textId="77777777" w:rsidR="00BE321F" w:rsidRDefault="00BE321F" w:rsidP="00BE321F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</w:tr>
      <w:tr w:rsidR="00FE514A" w14:paraId="7C124EC9" w14:textId="77777777" w:rsidTr="00BE321F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247DA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5003354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5979" w14:textId="77777777" w:rsidR="00FE514A" w:rsidRDefault="00FE514A" w:rsidP="00FE514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Límec krční se zvýšenou zadní částí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46AB9" w14:textId="65400BC1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F0708" w14:textId="0278A4F8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DB737" w14:textId="2032D056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A95D1" w14:textId="0D359726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FE514A" w14:paraId="262E7551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6962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5000731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8B1E2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ORTEX 015A Límec polystyrenový bez výztuhy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30C6" w14:textId="2BE37535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F791" w14:textId="4064E504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5522" w14:textId="3B16338D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E2ED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779E6FC8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6862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5000732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C6E24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015B Límec krční PHILADELPHIA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1C32" w14:textId="32C6E846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57B9" w14:textId="554A236F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1877" w14:textId="55DE3B92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7946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2DFBE79E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4771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5000733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8703A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015C Límec krční PHILADELPHIA s otvorem pro tracheostomii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2110" w14:textId="39B362F2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1AEF" w14:textId="27AA87FF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1E89" w14:textId="228FD619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5432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6AA4BBE0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7024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5000734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7E374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ORTEX 015D Límec krční anatomický vyztužený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B2D5" w14:textId="1FAF8DBD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591E" w14:textId="535EB738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8F2B" w14:textId="6383BB1D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3218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1EEE573A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75A3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5000735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5D252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ORTEX 015E Límec krční anatomický s výztuhou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610B" w14:textId="410AD986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A0E4" w14:textId="03589EAF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FFA6" w14:textId="686B2FB8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85AE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08B9FD74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1EF1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5014620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0D958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016A Ortéza pro fixaci prstů ruky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DDFC" w14:textId="514A77D6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DE4B" w14:textId="2D13FCFC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C39A" w14:textId="287405D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DB8F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750FAE4B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1252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5014621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4C30E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016B Ortéza pro fixaci prstů ruky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E62C" w14:textId="3D3B61B2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0A04" w14:textId="273F2705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01BD" w14:textId="50EAAF11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71AC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5E08E47D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7924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5016265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A4AB2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016C Ortéza pro fixaci prstů ruky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68CD" w14:textId="1F5140E6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6E04" w14:textId="7CA338E8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7EB9" w14:textId="1875FB24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4EEE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27DBB644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7C0F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5016266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E0D76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016D Ortéza pro fixaci prstů ruky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42AE" w14:textId="531BAFD9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ECBF" w14:textId="37E54939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2591" w14:textId="35BCD2AC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FEC6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3BC9B282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C1B5B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5003314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44EE" w14:textId="77777777" w:rsidR="00FE514A" w:rsidRDefault="00FE514A" w:rsidP="00FE514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Páska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epikondylární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3441" w14:textId="78A1E3DC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7AA0" w14:textId="40EF42EB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443D" w14:textId="769A3869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F923C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5FBF586C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ED3C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5000736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F6A1" w14:textId="77777777" w:rsidR="00FE514A" w:rsidRDefault="00FE514A" w:rsidP="00FE514A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ORTEX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017A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Páska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epikondylární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648A" w14:textId="65C8760F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EB1B" w14:textId="7ACB721D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5701" w14:textId="7A875002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A64B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487C1A35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0485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5000738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A41A0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ORTEX 019 Ortéza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semirigidní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fixace prstů ruky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72C3" w14:textId="25F6E811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824D" w14:textId="2F4CD452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8730" w14:textId="346F7334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ED4A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1215ABAB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336D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5000739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FC412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ORTEX 020 Ortéza fixace kloubu palce ruky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E0D3" w14:textId="6FE6B112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C2E9" w14:textId="300829FD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50B1" w14:textId="569D58A9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6D4B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4EBDDEF3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754B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5000740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BA498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021 Ortéza podpůrná a rehabilitační zápěstí ruky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6012" w14:textId="7B9C014B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47F7" w14:textId="59BDD979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95C4" w14:textId="75E50350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3B2C" w14:textId="7A62CFA4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FE514A" w14:paraId="4B2EE895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F38E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5000741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28246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022 Ortéza prstů ruky rigidní 2.-4. prst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A2A8" w14:textId="0456B7CC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B7CF" w14:textId="1537F0AE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638F" w14:textId="0604F164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1307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41D8480B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6B7A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5000742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10EDE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ORTEX 023 Závěs paže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5BE6" w14:textId="5D10633D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6D22" w14:textId="41183473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7E62" w14:textId="3E11075F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1E96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46EEA216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A8E3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5013932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BCC9B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023A Závěs paže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1C5D" w14:textId="4102CC85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159F" w14:textId="350D579F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35BA" w14:textId="7FD00A96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E68D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4E40F809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114A" w14:textId="77777777" w:rsidR="00FE514A" w:rsidRDefault="00FE514A" w:rsidP="00FE514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D21EC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024 Noční bandáž HALLUX VALGUS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0CA4" w14:textId="2531706B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A201" w14:textId="4F24784B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E391" w14:textId="24DA93A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1E65" w14:textId="409B7350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FE514A" w14:paraId="77336800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481D" w14:textId="77777777" w:rsidR="00FE514A" w:rsidRDefault="00FE514A" w:rsidP="00FE514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34803" w14:textId="07B5E78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024</w:t>
            </w:r>
            <w:r w:rsidR="00E2679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 Denní bandáž HALLUX VALGUS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A63C" w14:textId="7F20DF67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0B1C" w14:textId="20F893B2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1DAB" w14:textId="0E0E488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0390" w14:textId="3FD95708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FE514A" w14:paraId="57F7BF7A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CD27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5000743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FFC1B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025 Ortéza pro korekci AC Luxace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4E5A" w14:textId="21096AAB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DBE3" w14:textId="6AA50472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8F52" w14:textId="27FD24A4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204B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65B263E7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8A41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5000744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9BEC7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ORTEX 026 Páska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infrapatelární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7FA1" w14:textId="26385004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2B31" w14:textId="781BBF69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B942" w14:textId="2AD6FBF1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1D99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764DBA45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6F49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5000745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CF93E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ORTEX 027 Dlaha pro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konzer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léčbu ruptury dorzální aponeurózy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tříčlán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prstů ruky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A26E" w14:textId="32DDD6B9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26D0" w14:textId="03F0A311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ACAB" w14:textId="5D98B3CB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CAF3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100F673D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DBC9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5000746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F6517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028 Ortéza zápěstí a palce ruky fixační s dlahou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109B" w14:textId="5E7E79E7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B77D" w14:textId="0D7F36CE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248F" w14:textId="307A763F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3606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25CB584A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4795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5000749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EF05B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031A Pás břišní elastický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82A3" w14:textId="60AB2984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8E2A" w14:textId="3F1061F8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D146" w14:textId="41C4D8CC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597A" w14:textId="473CDDD5" w:rsidR="00FE514A" w:rsidRDefault="004D1FF0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FE514A" w14:paraId="15B20E32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E6DA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5000750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2F61C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ORTEX 031B Pás břišní s výztuhami a přídavným tahem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83DC" w14:textId="29AABEE0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7A24" w14:textId="6166D81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B483" w14:textId="0C03E5C3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BBC4" w14:textId="7777777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E514A" w14:paraId="3C48D0D7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4C48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5000751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6683B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ORTEX 032 Ortéza ramenní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85DD" w14:textId="63ADD93B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2E60" w14:textId="6FD7C646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F078" w14:textId="5CA97C0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EC08" w14:textId="77D035B7" w:rsidR="00FE514A" w:rsidRDefault="004D1FF0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FE514A" w14:paraId="62F889C4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8B17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4DA07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033 Bandáž stehenní 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353B" w14:textId="32232CDD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E77C" w14:textId="45FF412B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4BBA" w14:textId="6677196D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E395" w14:textId="2092CED0" w:rsidR="00FE514A" w:rsidRDefault="004D1FF0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FE514A" w14:paraId="61D56D0D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1EB5" w14:textId="77777777" w:rsidR="00FE514A" w:rsidRDefault="00FE514A" w:rsidP="00FE514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90549" w14:textId="77777777" w:rsidR="00FE514A" w:rsidRDefault="00FE514A" w:rsidP="00FE51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ORTEX 034 Bandáž lýtková 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7AFD" w14:textId="76386699" w:rsidR="00FE514A" w:rsidRDefault="00FE514A" w:rsidP="00FE514A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21F6" w14:textId="365920A7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C37D" w14:textId="529AC37F" w:rsidR="00FE514A" w:rsidRDefault="00FE514A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color w:val="000000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8C9F" w14:textId="779AF54A" w:rsidR="00FE514A" w:rsidRDefault="004D1FF0" w:rsidP="00FE51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BE321F" w14:paraId="06998136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7BE4" w14:textId="77777777" w:rsidR="00BE321F" w:rsidRDefault="00BE321F" w:rsidP="00BE321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B072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DE5B" w14:textId="77777777" w:rsidR="00BE321F" w:rsidRDefault="00BE321F" w:rsidP="00BE3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13D5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DD39" w14:textId="77777777" w:rsidR="00BE321F" w:rsidRDefault="00BE321F" w:rsidP="00BE32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9D83" w14:textId="77777777" w:rsidR="00BE321F" w:rsidRDefault="00BE321F" w:rsidP="00BE321F">
            <w:pPr>
              <w:jc w:val="right"/>
              <w:rPr>
                <w:sz w:val="20"/>
                <w:szCs w:val="20"/>
              </w:rPr>
            </w:pPr>
          </w:p>
        </w:tc>
      </w:tr>
      <w:tr w:rsidR="00BE321F" w14:paraId="277B4908" w14:textId="77777777" w:rsidTr="00BE321F">
        <w:trPr>
          <w:trHeight w:val="24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A732" w14:textId="77777777" w:rsidR="00BE321F" w:rsidRDefault="00BE321F" w:rsidP="00BE3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Práva a povinnosti smluvních stran ohledně odpovědnosti prodávajícího za vady, včetně záruční odpovědnosti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F3F1" w14:textId="77777777" w:rsidR="00BE321F" w:rsidRDefault="00BE321F" w:rsidP="00BE3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321F" w14:paraId="60FD0409" w14:textId="77777777" w:rsidTr="00BE321F">
        <w:trPr>
          <w:trHeight w:val="24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81A3" w14:textId="77777777" w:rsidR="00BE321F" w:rsidRDefault="00BE321F" w:rsidP="00BE3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prodávajícího, se řídí příslušnými obecně závaznými předpisy občanského zákoníku.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19DC" w14:textId="77777777" w:rsidR="00BE321F" w:rsidRDefault="00BE321F" w:rsidP="00BE3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1058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F0E2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</w:tr>
      <w:tr w:rsidR="00BE321F" w14:paraId="47751BBE" w14:textId="77777777" w:rsidTr="00BE321F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C9E0" w14:textId="77777777" w:rsidR="00BE321F" w:rsidRDefault="00BE321F" w:rsidP="00BE32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72D5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5B1F" w14:textId="77777777" w:rsidR="00BE321F" w:rsidRDefault="00BE321F" w:rsidP="00BE3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BD4E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3BB7" w14:textId="77777777" w:rsidR="00BE321F" w:rsidRDefault="00BE321F" w:rsidP="00BE32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C846" w14:textId="77777777" w:rsidR="00BE321F" w:rsidRDefault="00BE321F" w:rsidP="00BE321F">
            <w:pPr>
              <w:jc w:val="right"/>
              <w:rPr>
                <w:sz w:val="20"/>
                <w:szCs w:val="20"/>
              </w:rPr>
            </w:pPr>
          </w:p>
        </w:tc>
      </w:tr>
      <w:tr w:rsidR="00BE321F" w14:paraId="524D23FD" w14:textId="77777777" w:rsidTr="00BE321F">
        <w:trPr>
          <w:trHeight w:val="255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1AAB" w14:textId="77777777" w:rsidR="00BE321F" w:rsidRDefault="00BE321F" w:rsidP="00BE3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Výrobek v základní sazbě DPH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F95F" w14:textId="77777777" w:rsidR="00BE321F" w:rsidRDefault="00BE321F" w:rsidP="00BE32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970B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3931" w14:textId="77777777" w:rsidR="00BE321F" w:rsidRDefault="00BE321F" w:rsidP="00BE32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EF7B" w14:textId="77777777" w:rsidR="00BE321F" w:rsidRDefault="00BE321F" w:rsidP="00BE321F">
            <w:pPr>
              <w:jc w:val="right"/>
              <w:rPr>
                <w:sz w:val="20"/>
                <w:szCs w:val="20"/>
              </w:rPr>
            </w:pPr>
          </w:p>
        </w:tc>
      </w:tr>
      <w:tr w:rsidR="00BE321F" w14:paraId="4DEECC72" w14:textId="77777777" w:rsidTr="00BE321F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86BC" w14:textId="77777777" w:rsidR="00BE321F" w:rsidRDefault="00BE321F" w:rsidP="00BE32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D4BB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DC48" w14:textId="77777777" w:rsidR="00BE321F" w:rsidRDefault="00BE321F" w:rsidP="00BE3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818A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3445" w14:textId="77777777" w:rsidR="00BE321F" w:rsidRDefault="00BE321F" w:rsidP="00BE32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0A31" w14:textId="77777777" w:rsidR="00BE321F" w:rsidRDefault="00BE321F" w:rsidP="00BE321F">
            <w:pPr>
              <w:jc w:val="right"/>
              <w:rPr>
                <w:sz w:val="20"/>
                <w:szCs w:val="20"/>
              </w:rPr>
            </w:pPr>
          </w:p>
        </w:tc>
      </w:tr>
      <w:tr w:rsidR="00BE321F" w14:paraId="198D1723" w14:textId="77777777" w:rsidTr="00BE321F">
        <w:trPr>
          <w:trHeight w:val="255"/>
        </w:trPr>
        <w:tc>
          <w:tcPr>
            <w:tcW w:w="10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18AA" w14:textId="77777777" w:rsidR="00BE321F" w:rsidRDefault="00BE321F" w:rsidP="00BE321F">
            <w:pPr>
              <w:jc w:val="right"/>
              <w:rPr>
                <w:sz w:val="20"/>
                <w:szCs w:val="20"/>
              </w:rPr>
            </w:pPr>
          </w:p>
        </w:tc>
      </w:tr>
      <w:tr w:rsidR="00BE321F" w14:paraId="01A5502B" w14:textId="77777777" w:rsidTr="00BE321F">
        <w:trPr>
          <w:trHeight w:val="255"/>
        </w:trPr>
        <w:tc>
          <w:tcPr>
            <w:tcW w:w="10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6A56" w14:textId="77777777" w:rsidR="00BE321F" w:rsidRDefault="00BE321F" w:rsidP="00BE321F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Náš katalog a další informace naleznete na internetových stránkách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www.ortexzlin.cz</w:t>
            </w:r>
          </w:p>
        </w:tc>
      </w:tr>
      <w:tr w:rsidR="00BE321F" w14:paraId="328C8F0E" w14:textId="77777777" w:rsidTr="00BE321F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3CD1" w14:textId="77777777" w:rsidR="00BE321F" w:rsidRDefault="00BE321F" w:rsidP="00BE321F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E46F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58B4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DE30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A763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5389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</w:tr>
      <w:tr w:rsidR="00BE321F" w14:paraId="4B128DF4" w14:textId="77777777" w:rsidTr="00BE321F">
        <w:trPr>
          <w:trHeight w:val="255"/>
        </w:trPr>
        <w:tc>
          <w:tcPr>
            <w:tcW w:w="10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CF39" w14:textId="77777777" w:rsidR="00BE321F" w:rsidRDefault="00BE321F" w:rsidP="00BE321F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  <w:u w:val="single"/>
              </w:rPr>
              <w:t>Objednávky</w:t>
            </w:r>
            <w:r>
              <w:rPr>
                <w:rFonts w:ascii="Arial CE" w:hAnsi="Arial CE" w:cs="Arial CE"/>
                <w:sz w:val="20"/>
                <w:szCs w:val="20"/>
              </w:rPr>
              <w:t xml:space="preserve">: 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Bezplatná zelená linka 800 122 133, TEL.: 577 011 272, email.: obchod@ortexzlin.cz</w:t>
            </w:r>
          </w:p>
        </w:tc>
      </w:tr>
      <w:tr w:rsidR="00BE321F" w14:paraId="696A1979" w14:textId="77777777" w:rsidTr="00BE321F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B816" w14:textId="77777777" w:rsidR="00BE321F" w:rsidRDefault="00BE321F" w:rsidP="00BE321F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F3CB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7762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ACC3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9D97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814C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</w:tr>
      <w:tr w:rsidR="00BE321F" w14:paraId="50E3D796" w14:textId="77777777" w:rsidTr="00BE321F">
        <w:trPr>
          <w:trHeight w:val="255"/>
        </w:trPr>
        <w:tc>
          <w:tcPr>
            <w:tcW w:w="10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2122" w14:textId="77777777" w:rsidR="00BE321F" w:rsidRDefault="00BE321F" w:rsidP="00BE321F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ORTEX, spol. s r.o., L. Váchy 173, 760 01 Zlín                                                TEL: 577 011 272-4</w:t>
            </w:r>
          </w:p>
        </w:tc>
      </w:tr>
      <w:tr w:rsidR="00BE321F" w14:paraId="4E5E4B78" w14:textId="77777777" w:rsidTr="00BE321F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8536" w14:textId="77777777" w:rsidR="00BE321F" w:rsidRDefault="00BE321F" w:rsidP="00BE321F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3BC9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7FAF" w14:textId="77777777" w:rsidR="00BE321F" w:rsidRDefault="00BE321F" w:rsidP="00BE321F">
            <w:pPr>
              <w:rPr>
                <w:sz w:val="20"/>
                <w:szCs w:val="20"/>
              </w:rPr>
            </w:pPr>
          </w:p>
        </w:tc>
      </w:tr>
    </w:tbl>
    <w:p w14:paraId="08AC7827" w14:textId="77777777" w:rsidR="006A0861" w:rsidRDefault="006A0861" w:rsidP="0033469B">
      <w:pPr>
        <w:spacing w:line="312" w:lineRule="auto"/>
      </w:pPr>
    </w:p>
    <w:sectPr w:rsidR="006A0861" w:rsidSect="00BE321F">
      <w:headerReference w:type="even" r:id="rId9"/>
      <w:headerReference w:type="first" r:id="rId10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12C56" w14:textId="77777777" w:rsidR="00A51628" w:rsidRDefault="00A51628">
      <w:r>
        <w:separator/>
      </w:r>
    </w:p>
  </w:endnote>
  <w:endnote w:type="continuationSeparator" w:id="0">
    <w:p w14:paraId="53CA1EDA" w14:textId="77777777" w:rsidR="00A51628" w:rsidRDefault="00A5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25E87" w14:textId="77777777" w:rsidR="00A51628" w:rsidRDefault="00A51628">
      <w:r>
        <w:separator/>
      </w:r>
    </w:p>
  </w:footnote>
  <w:footnote w:type="continuationSeparator" w:id="0">
    <w:p w14:paraId="498C4565" w14:textId="77777777" w:rsidR="00A51628" w:rsidRDefault="00A5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FCA4" w14:textId="77777777" w:rsidR="00BE321F" w:rsidRDefault="00BE321F" w:rsidP="006E24D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402D9F2" w14:textId="77777777" w:rsidR="00BE321F" w:rsidRDefault="00BE32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A514" w14:textId="77777777" w:rsidR="00BE321F" w:rsidRDefault="00BE321F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4"/>
    <w:lvl w:ilvl="0">
      <w:start w:val="1"/>
      <w:numFmt w:val="upperRoman"/>
      <w:suff w:val="nothing"/>
      <w:lvlText w:val="Článek %1."/>
      <w:lvlJc w:val="left"/>
      <w:pPr>
        <w:tabs>
          <w:tab w:val="num" w:pos="0"/>
        </w:tabs>
        <w:ind w:left="6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4"/>
    <w:multiLevelType w:val="single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BA43553"/>
    <w:multiLevelType w:val="hybridMultilevel"/>
    <w:tmpl w:val="44F4A77E"/>
    <w:lvl w:ilvl="0" w:tplc="0E4E35F4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A702A3"/>
    <w:multiLevelType w:val="hybridMultilevel"/>
    <w:tmpl w:val="8AAA01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42175"/>
    <w:multiLevelType w:val="hybridMultilevel"/>
    <w:tmpl w:val="621AF50E"/>
    <w:lvl w:ilvl="0" w:tplc="0405000F">
      <w:start w:val="1"/>
      <w:numFmt w:val="decimal"/>
      <w:pStyle w:val="rove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F654F"/>
    <w:multiLevelType w:val="hybridMultilevel"/>
    <w:tmpl w:val="A9C434A4"/>
    <w:lvl w:ilvl="0" w:tplc="0ADC033E">
      <w:start w:val="1"/>
      <w:numFmt w:val="decimal"/>
      <w:lvlText w:val="%1."/>
      <w:lvlJc w:val="left"/>
      <w:pPr>
        <w:ind w:left="1533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C57973"/>
    <w:multiLevelType w:val="hybridMultilevel"/>
    <w:tmpl w:val="753CFB60"/>
    <w:lvl w:ilvl="0" w:tplc="1AB4C1F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D8419B7"/>
    <w:multiLevelType w:val="hybridMultilevel"/>
    <w:tmpl w:val="934C5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00057"/>
    <w:multiLevelType w:val="hybridMultilevel"/>
    <w:tmpl w:val="968C172C"/>
    <w:lvl w:ilvl="0" w:tplc="FB162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9287AFC"/>
    <w:multiLevelType w:val="hybridMultilevel"/>
    <w:tmpl w:val="934C5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923D1"/>
    <w:multiLevelType w:val="hybridMultilevel"/>
    <w:tmpl w:val="71460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058BE"/>
    <w:multiLevelType w:val="hybridMultilevel"/>
    <w:tmpl w:val="934C5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C2665"/>
    <w:multiLevelType w:val="hybridMultilevel"/>
    <w:tmpl w:val="FBCC8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E420A"/>
    <w:multiLevelType w:val="hybridMultilevel"/>
    <w:tmpl w:val="FA00847C"/>
    <w:lvl w:ilvl="0" w:tplc="2D5463FE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7546B90"/>
    <w:multiLevelType w:val="hybridMultilevel"/>
    <w:tmpl w:val="7036511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5D084F4A"/>
    <w:multiLevelType w:val="hybridMultilevel"/>
    <w:tmpl w:val="43846BE6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 w15:restartNumberingAfterBreak="0">
    <w:nsid w:val="6B6D7607"/>
    <w:multiLevelType w:val="hybridMultilevel"/>
    <w:tmpl w:val="ED16F0DA"/>
    <w:lvl w:ilvl="0" w:tplc="B96626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2EB6239"/>
    <w:multiLevelType w:val="hybridMultilevel"/>
    <w:tmpl w:val="621AF5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929539">
    <w:abstractNumId w:val="14"/>
  </w:num>
  <w:num w:numId="2" w16cid:durableId="1243300567">
    <w:abstractNumId w:val="15"/>
  </w:num>
  <w:num w:numId="3" w16cid:durableId="491216650">
    <w:abstractNumId w:val="4"/>
  </w:num>
  <w:num w:numId="4" w16cid:durableId="1977950712">
    <w:abstractNumId w:val="5"/>
  </w:num>
  <w:num w:numId="5" w16cid:durableId="727656215">
    <w:abstractNumId w:val="8"/>
  </w:num>
  <w:num w:numId="6" w16cid:durableId="378088959">
    <w:abstractNumId w:val="10"/>
  </w:num>
  <w:num w:numId="7" w16cid:durableId="423696473">
    <w:abstractNumId w:val="16"/>
  </w:num>
  <w:num w:numId="8" w16cid:durableId="2105572903">
    <w:abstractNumId w:val="0"/>
  </w:num>
  <w:num w:numId="9" w16cid:durableId="1552695438">
    <w:abstractNumId w:val="1"/>
  </w:num>
  <w:num w:numId="10" w16cid:durableId="32465346">
    <w:abstractNumId w:val="3"/>
  </w:num>
  <w:num w:numId="11" w16cid:durableId="506868780">
    <w:abstractNumId w:val="11"/>
  </w:num>
  <w:num w:numId="12" w16cid:durableId="945037425">
    <w:abstractNumId w:val="12"/>
  </w:num>
  <w:num w:numId="13" w16cid:durableId="1562328229">
    <w:abstractNumId w:val="7"/>
  </w:num>
  <w:num w:numId="14" w16cid:durableId="1740134932">
    <w:abstractNumId w:val="17"/>
  </w:num>
  <w:num w:numId="15" w16cid:durableId="1127940191">
    <w:abstractNumId w:val="13"/>
  </w:num>
  <w:num w:numId="16" w16cid:durableId="1861240153">
    <w:abstractNumId w:val="6"/>
  </w:num>
  <w:num w:numId="17" w16cid:durableId="1827162954">
    <w:abstractNumId w:val="9"/>
  </w:num>
  <w:num w:numId="18" w16cid:durableId="859197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65"/>
    <w:rsid w:val="000101FA"/>
    <w:rsid w:val="000105E0"/>
    <w:rsid w:val="00012081"/>
    <w:rsid w:val="000208BB"/>
    <w:rsid w:val="00034C83"/>
    <w:rsid w:val="00046F62"/>
    <w:rsid w:val="00065762"/>
    <w:rsid w:val="00072616"/>
    <w:rsid w:val="00072E74"/>
    <w:rsid w:val="000916DE"/>
    <w:rsid w:val="00094769"/>
    <w:rsid w:val="000A2748"/>
    <w:rsid w:val="000A6D4C"/>
    <w:rsid w:val="000A75F6"/>
    <w:rsid w:val="000B0388"/>
    <w:rsid w:val="000B113E"/>
    <w:rsid w:val="000C7C54"/>
    <w:rsid w:val="000E6E8D"/>
    <w:rsid w:val="00107E7E"/>
    <w:rsid w:val="00115C92"/>
    <w:rsid w:val="001232D4"/>
    <w:rsid w:val="0012414D"/>
    <w:rsid w:val="00126ADB"/>
    <w:rsid w:val="00127F50"/>
    <w:rsid w:val="00134CA1"/>
    <w:rsid w:val="00146FE0"/>
    <w:rsid w:val="00176E43"/>
    <w:rsid w:val="00183AA2"/>
    <w:rsid w:val="0018423E"/>
    <w:rsid w:val="00195B80"/>
    <w:rsid w:val="001B4ACB"/>
    <w:rsid w:val="001D5D13"/>
    <w:rsid w:val="00200F2C"/>
    <w:rsid w:val="002012D5"/>
    <w:rsid w:val="00204548"/>
    <w:rsid w:val="002234C3"/>
    <w:rsid w:val="00235011"/>
    <w:rsid w:val="00240D76"/>
    <w:rsid w:val="00241DE1"/>
    <w:rsid w:val="002548C5"/>
    <w:rsid w:val="00263970"/>
    <w:rsid w:val="00290A83"/>
    <w:rsid w:val="00291812"/>
    <w:rsid w:val="002E4BA4"/>
    <w:rsid w:val="002F2AA9"/>
    <w:rsid w:val="002F2E27"/>
    <w:rsid w:val="00301C7D"/>
    <w:rsid w:val="0033469B"/>
    <w:rsid w:val="003404B2"/>
    <w:rsid w:val="00342C44"/>
    <w:rsid w:val="00345E43"/>
    <w:rsid w:val="003564CF"/>
    <w:rsid w:val="00362125"/>
    <w:rsid w:val="00377089"/>
    <w:rsid w:val="00382063"/>
    <w:rsid w:val="003948D3"/>
    <w:rsid w:val="003A1CEB"/>
    <w:rsid w:val="003A4B4C"/>
    <w:rsid w:val="003D198D"/>
    <w:rsid w:val="003F4348"/>
    <w:rsid w:val="003F44D1"/>
    <w:rsid w:val="00401984"/>
    <w:rsid w:val="00405AD0"/>
    <w:rsid w:val="004100FC"/>
    <w:rsid w:val="004112FC"/>
    <w:rsid w:val="0041256A"/>
    <w:rsid w:val="00425A38"/>
    <w:rsid w:val="004569A7"/>
    <w:rsid w:val="004609E1"/>
    <w:rsid w:val="004A537C"/>
    <w:rsid w:val="004A7326"/>
    <w:rsid w:val="004C1798"/>
    <w:rsid w:val="004D1FF0"/>
    <w:rsid w:val="004D2C6A"/>
    <w:rsid w:val="004D4FD0"/>
    <w:rsid w:val="004D74F6"/>
    <w:rsid w:val="004E2DFA"/>
    <w:rsid w:val="004E46F5"/>
    <w:rsid w:val="004E5EDB"/>
    <w:rsid w:val="004F3872"/>
    <w:rsid w:val="004F7F1C"/>
    <w:rsid w:val="005023A1"/>
    <w:rsid w:val="00503CB2"/>
    <w:rsid w:val="00517353"/>
    <w:rsid w:val="00522B27"/>
    <w:rsid w:val="00531C3A"/>
    <w:rsid w:val="00582BE3"/>
    <w:rsid w:val="005A04BA"/>
    <w:rsid w:val="005A24EE"/>
    <w:rsid w:val="005A54B8"/>
    <w:rsid w:val="005B5408"/>
    <w:rsid w:val="005E5624"/>
    <w:rsid w:val="005F776B"/>
    <w:rsid w:val="00601344"/>
    <w:rsid w:val="006116AB"/>
    <w:rsid w:val="00614249"/>
    <w:rsid w:val="00625B64"/>
    <w:rsid w:val="00635DD5"/>
    <w:rsid w:val="006535E0"/>
    <w:rsid w:val="00665629"/>
    <w:rsid w:val="00674491"/>
    <w:rsid w:val="0068669D"/>
    <w:rsid w:val="006A0861"/>
    <w:rsid w:val="006A4318"/>
    <w:rsid w:val="006B099D"/>
    <w:rsid w:val="006B791E"/>
    <w:rsid w:val="006C06D6"/>
    <w:rsid w:val="006C2EAC"/>
    <w:rsid w:val="006C3F70"/>
    <w:rsid w:val="006C47A7"/>
    <w:rsid w:val="006D47A2"/>
    <w:rsid w:val="006D5CB7"/>
    <w:rsid w:val="006E24DE"/>
    <w:rsid w:val="006E31BC"/>
    <w:rsid w:val="006F3C6E"/>
    <w:rsid w:val="00712842"/>
    <w:rsid w:val="00722F4F"/>
    <w:rsid w:val="007353A7"/>
    <w:rsid w:val="00737374"/>
    <w:rsid w:val="0075767C"/>
    <w:rsid w:val="00772374"/>
    <w:rsid w:val="0077399B"/>
    <w:rsid w:val="00777F87"/>
    <w:rsid w:val="00784E42"/>
    <w:rsid w:val="0079600A"/>
    <w:rsid w:val="007A7794"/>
    <w:rsid w:val="007D27F8"/>
    <w:rsid w:val="007E1D83"/>
    <w:rsid w:val="007E6068"/>
    <w:rsid w:val="007F33B2"/>
    <w:rsid w:val="007F632E"/>
    <w:rsid w:val="007F6C39"/>
    <w:rsid w:val="00812FF8"/>
    <w:rsid w:val="00820533"/>
    <w:rsid w:val="008270A3"/>
    <w:rsid w:val="00833BF3"/>
    <w:rsid w:val="008364CF"/>
    <w:rsid w:val="0086224B"/>
    <w:rsid w:val="008622A9"/>
    <w:rsid w:val="00886261"/>
    <w:rsid w:val="00891914"/>
    <w:rsid w:val="008A4D5F"/>
    <w:rsid w:val="008A5002"/>
    <w:rsid w:val="008A610C"/>
    <w:rsid w:val="008B5D33"/>
    <w:rsid w:val="008C0106"/>
    <w:rsid w:val="008C3F1C"/>
    <w:rsid w:val="008C6663"/>
    <w:rsid w:val="008D074D"/>
    <w:rsid w:val="008D725C"/>
    <w:rsid w:val="008E2865"/>
    <w:rsid w:val="00901AE4"/>
    <w:rsid w:val="00905449"/>
    <w:rsid w:val="00931989"/>
    <w:rsid w:val="00937DDA"/>
    <w:rsid w:val="00942D28"/>
    <w:rsid w:val="00943B13"/>
    <w:rsid w:val="00956663"/>
    <w:rsid w:val="00971F8D"/>
    <w:rsid w:val="0097329B"/>
    <w:rsid w:val="00983C80"/>
    <w:rsid w:val="009C5422"/>
    <w:rsid w:val="009E237A"/>
    <w:rsid w:val="009F4C5E"/>
    <w:rsid w:val="00A01683"/>
    <w:rsid w:val="00A05959"/>
    <w:rsid w:val="00A2130F"/>
    <w:rsid w:val="00A30CB4"/>
    <w:rsid w:val="00A471F5"/>
    <w:rsid w:val="00A5121A"/>
    <w:rsid w:val="00A51628"/>
    <w:rsid w:val="00A613A0"/>
    <w:rsid w:val="00A6379B"/>
    <w:rsid w:val="00A85D13"/>
    <w:rsid w:val="00A90AB9"/>
    <w:rsid w:val="00AA2D47"/>
    <w:rsid w:val="00AA37AB"/>
    <w:rsid w:val="00AA5B52"/>
    <w:rsid w:val="00AC3C6C"/>
    <w:rsid w:val="00AC7BBD"/>
    <w:rsid w:val="00AD6800"/>
    <w:rsid w:val="00AD768B"/>
    <w:rsid w:val="00AE2201"/>
    <w:rsid w:val="00AE2DE2"/>
    <w:rsid w:val="00AE36A8"/>
    <w:rsid w:val="00AF004F"/>
    <w:rsid w:val="00AF1FF4"/>
    <w:rsid w:val="00B03104"/>
    <w:rsid w:val="00B05FA5"/>
    <w:rsid w:val="00B11CB9"/>
    <w:rsid w:val="00B20370"/>
    <w:rsid w:val="00B26E64"/>
    <w:rsid w:val="00B33344"/>
    <w:rsid w:val="00B7244E"/>
    <w:rsid w:val="00B7749D"/>
    <w:rsid w:val="00B90A4E"/>
    <w:rsid w:val="00BB6816"/>
    <w:rsid w:val="00BC3620"/>
    <w:rsid w:val="00BC5064"/>
    <w:rsid w:val="00BD23C7"/>
    <w:rsid w:val="00BE321F"/>
    <w:rsid w:val="00BE3E82"/>
    <w:rsid w:val="00C0709B"/>
    <w:rsid w:val="00C45255"/>
    <w:rsid w:val="00C5583D"/>
    <w:rsid w:val="00C642C4"/>
    <w:rsid w:val="00CA008C"/>
    <w:rsid w:val="00CB2AFC"/>
    <w:rsid w:val="00CE390C"/>
    <w:rsid w:val="00CF62A7"/>
    <w:rsid w:val="00D148C0"/>
    <w:rsid w:val="00D15372"/>
    <w:rsid w:val="00D22C8D"/>
    <w:rsid w:val="00D27691"/>
    <w:rsid w:val="00D309B8"/>
    <w:rsid w:val="00D4310D"/>
    <w:rsid w:val="00D435CC"/>
    <w:rsid w:val="00D6203A"/>
    <w:rsid w:val="00D77C2C"/>
    <w:rsid w:val="00D81123"/>
    <w:rsid w:val="00D84D83"/>
    <w:rsid w:val="00DA2743"/>
    <w:rsid w:val="00DB25AE"/>
    <w:rsid w:val="00DB322A"/>
    <w:rsid w:val="00DC1A55"/>
    <w:rsid w:val="00DC78CA"/>
    <w:rsid w:val="00E10373"/>
    <w:rsid w:val="00E11406"/>
    <w:rsid w:val="00E22083"/>
    <w:rsid w:val="00E26798"/>
    <w:rsid w:val="00E26CDE"/>
    <w:rsid w:val="00E27209"/>
    <w:rsid w:val="00E508E0"/>
    <w:rsid w:val="00E76828"/>
    <w:rsid w:val="00E85942"/>
    <w:rsid w:val="00E9191D"/>
    <w:rsid w:val="00E927BB"/>
    <w:rsid w:val="00E94496"/>
    <w:rsid w:val="00EA0049"/>
    <w:rsid w:val="00EA519D"/>
    <w:rsid w:val="00EB3EB2"/>
    <w:rsid w:val="00EB7124"/>
    <w:rsid w:val="00ED188E"/>
    <w:rsid w:val="00EE0B0F"/>
    <w:rsid w:val="00EE1084"/>
    <w:rsid w:val="00F12610"/>
    <w:rsid w:val="00F23947"/>
    <w:rsid w:val="00F50BC2"/>
    <w:rsid w:val="00F5650E"/>
    <w:rsid w:val="00F630CA"/>
    <w:rsid w:val="00F706D8"/>
    <w:rsid w:val="00F91E86"/>
    <w:rsid w:val="00F96CE2"/>
    <w:rsid w:val="00F97252"/>
    <w:rsid w:val="00FA24B7"/>
    <w:rsid w:val="00FB461A"/>
    <w:rsid w:val="00FB521F"/>
    <w:rsid w:val="00FC50A1"/>
    <w:rsid w:val="00FE37DC"/>
    <w:rsid w:val="00FE514A"/>
    <w:rsid w:val="00F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5E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53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A50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44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A537C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3F44D1"/>
    <w:rPr>
      <w:rFonts w:cs="Times New Roman"/>
    </w:rPr>
  </w:style>
  <w:style w:type="paragraph" w:styleId="Textbubliny">
    <w:name w:val="Balloon Text"/>
    <w:basedOn w:val="Normln"/>
    <w:link w:val="TextbublinyChar"/>
    <w:rsid w:val="009732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7329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35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A50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rmlnTimesNewRoman">
    <w:name w:val="Normální + Times New Roman"/>
    <w:basedOn w:val="Normln"/>
    <w:rsid w:val="00F97252"/>
    <w:pPr>
      <w:suppressAutoHyphens/>
      <w:spacing w:after="200" w:line="276" w:lineRule="auto"/>
      <w:jc w:val="center"/>
    </w:pPr>
    <w:rPr>
      <w:rFonts w:eastAsia="Calibri" w:cs="Calibri"/>
      <w:b/>
      <w:lang w:eastAsia="ar-SA"/>
    </w:rPr>
  </w:style>
  <w:style w:type="paragraph" w:customStyle="1" w:styleId="rove2">
    <w:name w:val="úroveň 2"/>
    <w:basedOn w:val="Normln"/>
    <w:rsid w:val="003A1CEB"/>
    <w:pPr>
      <w:numPr>
        <w:numId w:val="3"/>
      </w:numPr>
      <w:tabs>
        <w:tab w:val="left" w:pos="851"/>
      </w:tabs>
      <w:suppressAutoHyphens/>
      <w:spacing w:after="120" w:line="100" w:lineRule="atLeast"/>
      <w:jc w:val="both"/>
    </w:pPr>
    <w:rPr>
      <w:rFonts w:ascii="Century Gothic" w:hAnsi="Century Gothic" w:cs="Calibri"/>
      <w:lang w:eastAsia="ar-SA"/>
    </w:rPr>
  </w:style>
  <w:style w:type="paragraph" w:styleId="Zpat">
    <w:name w:val="footer"/>
    <w:basedOn w:val="Normln"/>
    <w:link w:val="ZpatChar"/>
    <w:unhideWhenUsed/>
    <w:rsid w:val="006E31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31BC"/>
    <w:rPr>
      <w:sz w:val="24"/>
      <w:szCs w:val="24"/>
    </w:rPr>
  </w:style>
  <w:style w:type="table" w:styleId="Mkatabulky">
    <w:name w:val="Table Grid"/>
    <w:basedOn w:val="Normlntabulka"/>
    <w:rsid w:val="000C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2234C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234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234C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234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234C3"/>
    <w:rPr>
      <w:b/>
      <w:bCs/>
    </w:rPr>
  </w:style>
  <w:style w:type="paragraph" w:styleId="Revize">
    <w:name w:val="Revision"/>
    <w:hidden/>
    <w:uiPriority w:val="99"/>
    <w:semiHidden/>
    <w:rsid w:val="002234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30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20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43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5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17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91DA5-88E2-49C7-A296-00011B1E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2654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konsignačním   skladu</vt:lpstr>
    </vt:vector>
  </TitlesOfParts>
  <Manager/>
  <Company/>
  <LinksUpToDate>false</LinksUpToDate>
  <CharactersWithSpaces>17829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konsignačním   skladu</dc:title>
  <dc:subject/>
  <dc:creator/>
  <cp:keywords/>
  <dc:description/>
  <cp:lastModifiedBy/>
  <cp:revision>1</cp:revision>
  <cp:lastPrinted>2021-01-13T09:30:00Z</cp:lastPrinted>
  <dcterms:created xsi:type="dcterms:W3CDTF">2024-04-15T05:03:00Z</dcterms:created>
  <dcterms:modified xsi:type="dcterms:W3CDTF">2024-04-16T06:36:00Z</dcterms:modified>
</cp:coreProperties>
</file>