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A19B" w14:textId="77777777" w:rsidR="00112F2A" w:rsidRDefault="00F03AEA">
      <w:pPr>
        <w:jc w:val="center"/>
        <w:rPr>
          <w:rFonts w:cstheme="minorHAnsi"/>
          <w:b/>
          <w:bCs/>
          <w:sz w:val="28"/>
          <w:szCs w:val="28"/>
        </w:rPr>
      </w:pPr>
      <w:r>
        <w:rPr>
          <w:rFonts w:cstheme="minorHAnsi"/>
          <w:b/>
          <w:bCs/>
          <w:sz w:val="28"/>
          <w:szCs w:val="28"/>
        </w:rPr>
        <w:t>Zmluva o poskytovaní služieb</w:t>
      </w:r>
    </w:p>
    <w:p w14:paraId="23A9805E" w14:textId="77777777" w:rsidR="00112F2A" w:rsidRDefault="00112F2A">
      <w:pPr>
        <w:jc w:val="both"/>
        <w:rPr>
          <w:rFonts w:cstheme="minorHAnsi"/>
        </w:rPr>
      </w:pPr>
    </w:p>
    <w:p w14:paraId="38AE4D72" w14:textId="77777777" w:rsidR="00112F2A" w:rsidRDefault="00F03AEA">
      <w:pPr>
        <w:jc w:val="center"/>
        <w:rPr>
          <w:rFonts w:cstheme="minorHAnsi"/>
        </w:rPr>
      </w:pPr>
      <w:r>
        <w:rPr>
          <w:rFonts w:cstheme="minorHAnsi"/>
        </w:rPr>
        <w:t>uzatvorená podľa ustanovení § 269 ods. 2 zák. č. 513/1991 Zb. (Obchodný zákonník) v znení neskorších predpisov (ďalej len Zmluva)</w:t>
      </w:r>
    </w:p>
    <w:p w14:paraId="1238F1B4" w14:textId="33706D3D" w:rsidR="00162675" w:rsidRDefault="00162675" w:rsidP="00162675">
      <w:pPr>
        <w:pBdr>
          <w:top w:val="none" w:sz="0" w:space="0" w:color="000000"/>
          <w:left w:val="none" w:sz="0" w:space="0" w:color="000000"/>
          <w:bottom w:val="none" w:sz="0" w:space="0" w:color="000000"/>
          <w:right w:val="none" w:sz="0" w:space="0" w:color="000000"/>
        </w:pBdr>
      </w:pPr>
      <w:r>
        <w:rPr>
          <w:rFonts w:cs="Liberation Serif"/>
        </w:rPr>
        <w:t>č</w:t>
      </w:r>
      <w:r w:rsidR="00951523">
        <w:rPr>
          <w:rFonts w:cs="Liberation Serif"/>
        </w:rPr>
        <w:t>íslo</w:t>
      </w:r>
      <w:r>
        <w:rPr>
          <w:rFonts w:cs="Liberation Serif"/>
        </w:rPr>
        <w:t xml:space="preserve"> zmluvy Poskytovateľa: DTQ-SZ/24022</w:t>
      </w:r>
      <w:r w:rsidR="002B0BAD">
        <w:rPr>
          <w:rFonts w:cs="Liberation Serif"/>
        </w:rPr>
        <w:t>9</w:t>
      </w:r>
    </w:p>
    <w:p w14:paraId="096E93ED" w14:textId="77777777" w:rsidR="00112F2A" w:rsidRDefault="00F03AEA">
      <w:pPr>
        <w:jc w:val="center"/>
        <w:rPr>
          <w:rFonts w:cstheme="minorHAnsi"/>
          <w:b/>
          <w:bCs/>
        </w:rPr>
      </w:pPr>
      <w:r>
        <w:rPr>
          <w:rFonts w:cstheme="minorHAnsi"/>
          <w:b/>
          <w:bCs/>
        </w:rPr>
        <w:t>Zmluvné strany</w:t>
      </w:r>
    </w:p>
    <w:p w14:paraId="722DA610" w14:textId="77777777" w:rsidR="00112F2A" w:rsidRDefault="00F03AEA">
      <w:pPr>
        <w:jc w:val="both"/>
        <w:rPr>
          <w:rFonts w:cstheme="minorHAnsi"/>
          <w:b/>
          <w:bCs/>
        </w:rPr>
      </w:pPr>
      <w:r>
        <w:rPr>
          <w:rFonts w:cstheme="minorHAnsi"/>
          <w:b/>
          <w:bCs/>
        </w:rPr>
        <w:t xml:space="preserve">Objednávateľ: </w:t>
      </w:r>
    </w:p>
    <w:tbl>
      <w:tblPr>
        <w:tblStyle w:val="Mkatabulky"/>
        <w:tblW w:w="9015" w:type="dxa"/>
        <w:tblCellMar>
          <w:left w:w="118" w:type="dxa"/>
        </w:tblCellMar>
        <w:tblLook w:val="04A0" w:firstRow="1" w:lastRow="0" w:firstColumn="1" w:lastColumn="0" w:noHBand="0" w:noVBand="1"/>
      </w:tblPr>
      <w:tblGrid>
        <w:gridCol w:w="2835"/>
        <w:gridCol w:w="6180"/>
      </w:tblGrid>
      <w:tr w:rsidR="00112F2A" w:rsidRPr="005C4701" w14:paraId="15F2407E" w14:textId="77777777">
        <w:tc>
          <w:tcPr>
            <w:tcW w:w="2835" w:type="dxa"/>
            <w:tcBorders>
              <w:top w:val="nil"/>
              <w:left w:val="nil"/>
              <w:bottom w:val="nil"/>
              <w:right w:val="nil"/>
            </w:tcBorders>
            <w:shd w:val="clear" w:color="auto" w:fill="auto"/>
          </w:tcPr>
          <w:p w14:paraId="5C48B224"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b/>
                <w:color w:val="000000"/>
              </w:rPr>
              <w:t>Obchodné meno:</w:t>
            </w:r>
          </w:p>
        </w:tc>
        <w:tc>
          <w:tcPr>
            <w:tcW w:w="6179" w:type="dxa"/>
            <w:tcBorders>
              <w:top w:val="nil"/>
              <w:left w:val="nil"/>
              <w:bottom w:val="nil"/>
              <w:right w:val="nil"/>
            </w:tcBorders>
            <w:shd w:val="clear" w:color="auto" w:fill="auto"/>
          </w:tcPr>
          <w:p w14:paraId="6BE6F281" w14:textId="3F33E6BD" w:rsidR="00112F2A" w:rsidRPr="005C4701" w:rsidRDefault="005C4701">
            <w:pPr>
              <w:widowControl w:val="0"/>
              <w:tabs>
                <w:tab w:val="left" w:pos="2127"/>
              </w:tabs>
              <w:spacing w:after="0" w:line="276" w:lineRule="auto"/>
              <w:jc w:val="both"/>
              <w:rPr>
                <w:rFonts w:eastAsia="Times New Roman" w:cstheme="minorHAnsi"/>
                <w:color w:val="000000"/>
                <w14:ligatures w14:val="none"/>
              </w:rPr>
            </w:pPr>
            <w:r w:rsidRPr="005C4701">
              <w:rPr>
                <w:rFonts w:eastAsia="Times New Roman" w:cstheme="minorHAnsi"/>
                <w:color w:val="000000"/>
                <w14:ligatures w14:val="none"/>
              </w:rPr>
              <w:t xml:space="preserve">Technická univerzita v </w:t>
            </w:r>
            <w:proofErr w:type="spellStart"/>
            <w:r w:rsidRPr="005C4701">
              <w:rPr>
                <w:rFonts w:eastAsia="Times New Roman" w:cstheme="minorHAnsi"/>
                <w:color w:val="000000"/>
                <w14:ligatures w14:val="none"/>
              </w:rPr>
              <w:t>Liberci</w:t>
            </w:r>
            <w:proofErr w:type="spellEnd"/>
          </w:p>
        </w:tc>
      </w:tr>
      <w:tr w:rsidR="00112F2A" w:rsidRPr="005C4701" w14:paraId="67678690" w14:textId="77777777">
        <w:tc>
          <w:tcPr>
            <w:tcW w:w="2835" w:type="dxa"/>
            <w:tcBorders>
              <w:top w:val="nil"/>
              <w:left w:val="nil"/>
              <w:bottom w:val="nil"/>
              <w:right w:val="nil"/>
            </w:tcBorders>
            <w:shd w:val="clear" w:color="auto" w:fill="auto"/>
          </w:tcPr>
          <w:p w14:paraId="09A0DE8B"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Sídlo:</w:t>
            </w:r>
          </w:p>
        </w:tc>
        <w:tc>
          <w:tcPr>
            <w:tcW w:w="6179" w:type="dxa"/>
            <w:tcBorders>
              <w:top w:val="nil"/>
              <w:left w:val="nil"/>
              <w:bottom w:val="nil"/>
              <w:right w:val="nil"/>
            </w:tcBorders>
            <w:shd w:val="clear" w:color="auto" w:fill="auto"/>
          </w:tcPr>
          <w:p w14:paraId="7B8639E2" w14:textId="61398C21" w:rsidR="00112F2A" w:rsidRPr="005C4701" w:rsidRDefault="005C4701">
            <w:pPr>
              <w:widowControl w:val="0"/>
              <w:tabs>
                <w:tab w:val="left" w:pos="2127"/>
              </w:tabs>
              <w:spacing w:after="0" w:line="276" w:lineRule="auto"/>
              <w:jc w:val="both"/>
              <w:rPr>
                <w:rFonts w:eastAsia="Times New Roman" w:cstheme="minorHAnsi"/>
                <w:color w:val="000000"/>
                <w14:ligatures w14:val="none"/>
              </w:rPr>
            </w:pPr>
            <w:proofErr w:type="spellStart"/>
            <w:r w:rsidRPr="005C4701">
              <w:rPr>
                <w:rFonts w:eastAsia="Times New Roman" w:cstheme="minorHAnsi"/>
                <w:color w:val="000000"/>
                <w14:ligatures w14:val="none"/>
              </w:rPr>
              <w:t>Studentská</w:t>
            </w:r>
            <w:proofErr w:type="spellEnd"/>
            <w:r w:rsidRPr="005C4701">
              <w:rPr>
                <w:rFonts w:eastAsia="Times New Roman" w:cstheme="minorHAnsi"/>
                <w:color w:val="000000"/>
                <w14:ligatures w14:val="none"/>
              </w:rPr>
              <w:t xml:space="preserve"> 1402/2, 461 17 </w:t>
            </w:r>
            <w:proofErr w:type="spellStart"/>
            <w:r w:rsidRPr="005C4701">
              <w:rPr>
                <w:rFonts w:eastAsia="Times New Roman" w:cstheme="minorHAnsi"/>
                <w:color w:val="000000"/>
                <w14:ligatures w14:val="none"/>
              </w:rPr>
              <w:t>Liberec</w:t>
            </w:r>
            <w:proofErr w:type="spellEnd"/>
            <w:r w:rsidRPr="005C4701">
              <w:rPr>
                <w:rFonts w:eastAsia="Times New Roman" w:cstheme="minorHAnsi"/>
                <w:color w:val="000000"/>
                <w14:ligatures w14:val="none"/>
              </w:rPr>
              <w:t xml:space="preserve"> I</w:t>
            </w:r>
          </w:p>
        </w:tc>
      </w:tr>
      <w:tr w:rsidR="00112F2A" w:rsidRPr="005C4701" w14:paraId="152B338C" w14:textId="77777777">
        <w:tc>
          <w:tcPr>
            <w:tcW w:w="2835" w:type="dxa"/>
            <w:tcBorders>
              <w:top w:val="nil"/>
              <w:left w:val="nil"/>
              <w:bottom w:val="nil"/>
              <w:right w:val="nil"/>
            </w:tcBorders>
            <w:shd w:val="clear" w:color="auto" w:fill="auto"/>
          </w:tcPr>
          <w:p w14:paraId="09A23F12"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IČO:</w:t>
            </w:r>
          </w:p>
        </w:tc>
        <w:tc>
          <w:tcPr>
            <w:tcW w:w="6179" w:type="dxa"/>
            <w:tcBorders>
              <w:top w:val="nil"/>
              <w:left w:val="nil"/>
              <w:bottom w:val="nil"/>
              <w:right w:val="nil"/>
            </w:tcBorders>
            <w:shd w:val="clear" w:color="auto" w:fill="auto"/>
          </w:tcPr>
          <w:p w14:paraId="305A5993" w14:textId="530CFD46" w:rsidR="00112F2A" w:rsidRPr="005C4701" w:rsidRDefault="005C4701">
            <w:pPr>
              <w:widowControl w:val="0"/>
              <w:tabs>
                <w:tab w:val="left" w:pos="2127"/>
              </w:tabs>
              <w:spacing w:after="0" w:line="276" w:lineRule="auto"/>
              <w:jc w:val="both"/>
              <w:rPr>
                <w:rFonts w:eastAsia="Times New Roman" w:cstheme="minorHAnsi"/>
                <w:color w:val="000000"/>
                <w14:ligatures w14:val="none"/>
              </w:rPr>
            </w:pPr>
            <w:r w:rsidRPr="005C4701">
              <w:rPr>
                <w:rFonts w:eastAsia="Times New Roman" w:cstheme="minorHAnsi"/>
                <w:color w:val="000000"/>
                <w14:ligatures w14:val="none"/>
              </w:rPr>
              <w:t>46747885</w:t>
            </w:r>
          </w:p>
        </w:tc>
      </w:tr>
      <w:tr w:rsidR="00112F2A" w:rsidRPr="005C4701" w14:paraId="28C47383" w14:textId="77777777">
        <w:tc>
          <w:tcPr>
            <w:tcW w:w="2835" w:type="dxa"/>
            <w:tcBorders>
              <w:top w:val="nil"/>
              <w:left w:val="nil"/>
              <w:bottom w:val="nil"/>
              <w:right w:val="nil"/>
            </w:tcBorders>
            <w:shd w:val="clear" w:color="auto" w:fill="auto"/>
          </w:tcPr>
          <w:p w14:paraId="35653EDA"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DIČ:</w:t>
            </w:r>
          </w:p>
        </w:tc>
        <w:tc>
          <w:tcPr>
            <w:tcW w:w="6179" w:type="dxa"/>
            <w:tcBorders>
              <w:top w:val="nil"/>
              <w:left w:val="nil"/>
              <w:bottom w:val="nil"/>
              <w:right w:val="nil"/>
            </w:tcBorders>
            <w:shd w:val="clear" w:color="auto" w:fill="auto"/>
          </w:tcPr>
          <w:p w14:paraId="0829057E" w14:textId="78742F62" w:rsidR="00112F2A" w:rsidRPr="005C4701" w:rsidRDefault="005C4701">
            <w:pPr>
              <w:widowControl w:val="0"/>
              <w:tabs>
                <w:tab w:val="left" w:pos="2127"/>
              </w:tabs>
              <w:spacing w:after="0" w:line="276" w:lineRule="auto"/>
              <w:jc w:val="both"/>
              <w:rPr>
                <w:rFonts w:eastAsia="Times New Roman" w:cstheme="minorHAnsi"/>
                <w:color w:val="000000"/>
                <w14:ligatures w14:val="none"/>
              </w:rPr>
            </w:pPr>
            <w:r w:rsidRPr="005C4701">
              <w:rPr>
                <w:rFonts w:eastAsia="Times New Roman" w:cstheme="minorHAnsi"/>
                <w:color w:val="000000"/>
                <w14:ligatures w14:val="none"/>
              </w:rPr>
              <w:t>46747885</w:t>
            </w:r>
          </w:p>
        </w:tc>
      </w:tr>
      <w:tr w:rsidR="00112F2A" w:rsidRPr="005C4701" w14:paraId="2068AEBE" w14:textId="77777777">
        <w:tc>
          <w:tcPr>
            <w:tcW w:w="2835" w:type="dxa"/>
            <w:tcBorders>
              <w:top w:val="nil"/>
              <w:left w:val="nil"/>
              <w:bottom w:val="nil"/>
              <w:right w:val="nil"/>
            </w:tcBorders>
            <w:shd w:val="clear" w:color="auto" w:fill="auto"/>
          </w:tcPr>
          <w:p w14:paraId="13904009"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IČ DPH:</w:t>
            </w:r>
          </w:p>
        </w:tc>
        <w:tc>
          <w:tcPr>
            <w:tcW w:w="6179" w:type="dxa"/>
            <w:tcBorders>
              <w:top w:val="nil"/>
              <w:left w:val="nil"/>
              <w:bottom w:val="nil"/>
              <w:right w:val="nil"/>
            </w:tcBorders>
            <w:shd w:val="clear" w:color="auto" w:fill="auto"/>
          </w:tcPr>
          <w:p w14:paraId="1FF54BC6" w14:textId="21A7D4E7" w:rsidR="00112F2A" w:rsidRPr="005C4701" w:rsidRDefault="005C4701">
            <w:pPr>
              <w:widowControl w:val="0"/>
              <w:tabs>
                <w:tab w:val="left" w:pos="2127"/>
              </w:tabs>
              <w:spacing w:after="0" w:line="276" w:lineRule="auto"/>
              <w:jc w:val="both"/>
              <w:rPr>
                <w:rFonts w:eastAsia="Times New Roman" w:cstheme="minorHAnsi"/>
                <w:color w:val="000000"/>
                <w14:ligatures w14:val="none"/>
              </w:rPr>
            </w:pPr>
            <w:r w:rsidRPr="005C4701">
              <w:rPr>
                <w:rFonts w:eastAsia="Times New Roman" w:cstheme="minorHAnsi"/>
                <w:color w:val="000000"/>
                <w14:ligatures w14:val="none"/>
              </w:rPr>
              <w:t>CZ46747885</w:t>
            </w:r>
          </w:p>
        </w:tc>
      </w:tr>
      <w:tr w:rsidR="00112F2A" w:rsidRPr="005C4701" w14:paraId="72ADDFE8" w14:textId="77777777">
        <w:tc>
          <w:tcPr>
            <w:tcW w:w="2835" w:type="dxa"/>
            <w:tcBorders>
              <w:top w:val="nil"/>
              <w:left w:val="nil"/>
              <w:bottom w:val="nil"/>
              <w:right w:val="nil"/>
            </w:tcBorders>
            <w:shd w:val="clear" w:color="auto" w:fill="auto"/>
          </w:tcPr>
          <w:p w14:paraId="6B047142"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Zapísaný v OR:</w:t>
            </w:r>
          </w:p>
        </w:tc>
        <w:tc>
          <w:tcPr>
            <w:tcW w:w="6179" w:type="dxa"/>
            <w:tcBorders>
              <w:top w:val="nil"/>
              <w:left w:val="nil"/>
              <w:bottom w:val="nil"/>
              <w:right w:val="nil"/>
            </w:tcBorders>
            <w:shd w:val="clear" w:color="auto" w:fill="auto"/>
          </w:tcPr>
          <w:p w14:paraId="2479E0B2" w14:textId="6A5655D5" w:rsidR="00112F2A" w:rsidRPr="005C4701" w:rsidRDefault="00112F2A">
            <w:pPr>
              <w:widowControl w:val="0"/>
              <w:tabs>
                <w:tab w:val="left" w:pos="2127"/>
              </w:tabs>
              <w:spacing w:after="0" w:line="276" w:lineRule="auto"/>
              <w:jc w:val="both"/>
              <w:rPr>
                <w:rFonts w:eastAsia="Arial" w:cstheme="minorHAnsi"/>
                <w:color w:val="000000"/>
              </w:rPr>
            </w:pPr>
          </w:p>
        </w:tc>
      </w:tr>
      <w:tr w:rsidR="00112F2A" w:rsidRPr="005C4701" w14:paraId="55C4B204" w14:textId="77777777">
        <w:tc>
          <w:tcPr>
            <w:tcW w:w="2835" w:type="dxa"/>
            <w:tcBorders>
              <w:top w:val="nil"/>
              <w:left w:val="nil"/>
              <w:bottom w:val="nil"/>
              <w:right w:val="nil"/>
            </w:tcBorders>
            <w:shd w:val="clear" w:color="auto" w:fill="auto"/>
          </w:tcPr>
          <w:p w14:paraId="1373BFEB"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V mene spoločnosti koná:</w:t>
            </w:r>
          </w:p>
        </w:tc>
        <w:tc>
          <w:tcPr>
            <w:tcW w:w="6179" w:type="dxa"/>
            <w:tcBorders>
              <w:top w:val="nil"/>
              <w:left w:val="nil"/>
              <w:bottom w:val="nil"/>
              <w:right w:val="nil"/>
            </w:tcBorders>
            <w:shd w:val="clear" w:color="auto" w:fill="auto"/>
          </w:tcPr>
          <w:p w14:paraId="5A965EEE" w14:textId="458DBD28" w:rsidR="00112F2A" w:rsidRPr="005C4701" w:rsidRDefault="000C778F">
            <w:pPr>
              <w:widowControl w:val="0"/>
              <w:tabs>
                <w:tab w:val="left" w:pos="2127"/>
              </w:tabs>
              <w:spacing w:after="0" w:line="276" w:lineRule="auto"/>
              <w:jc w:val="both"/>
              <w:rPr>
                <w:rFonts w:eastAsia="Times New Roman" w:cstheme="minorHAnsi"/>
                <w:color w:val="000000"/>
                <w14:ligatures w14:val="none"/>
              </w:rPr>
            </w:pPr>
            <w:r w:rsidRPr="000C778F">
              <w:rPr>
                <w:rFonts w:eastAsia="Times New Roman" w:cstheme="minorHAnsi"/>
                <w:color w:val="000000"/>
                <w14:ligatures w14:val="none"/>
              </w:rPr>
              <w:t xml:space="preserve">doc. RNDr. Miroslav </w:t>
            </w:r>
            <w:proofErr w:type="spellStart"/>
            <w:r w:rsidRPr="000C778F">
              <w:rPr>
                <w:rFonts w:eastAsia="Times New Roman" w:cstheme="minorHAnsi"/>
                <w:color w:val="000000"/>
                <w14:ligatures w14:val="none"/>
              </w:rPr>
              <w:t>Brzezina</w:t>
            </w:r>
            <w:proofErr w:type="spellEnd"/>
            <w:r w:rsidRPr="000C778F">
              <w:rPr>
                <w:rFonts w:eastAsia="Times New Roman" w:cstheme="minorHAnsi"/>
                <w:color w:val="000000"/>
                <w14:ligatures w14:val="none"/>
              </w:rPr>
              <w:t>, CSc.</w:t>
            </w:r>
            <w:r w:rsidR="00DD4945">
              <w:rPr>
                <w:rFonts w:eastAsia="Times New Roman" w:cstheme="minorHAnsi"/>
                <w:color w:val="000000"/>
                <w14:ligatures w14:val="none"/>
              </w:rPr>
              <w:t xml:space="preserve">, </w:t>
            </w:r>
            <w:proofErr w:type="spellStart"/>
            <w:r w:rsidR="00DD4945">
              <w:rPr>
                <w:rFonts w:eastAsia="Times New Roman" w:cstheme="minorHAnsi"/>
                <w:color w:val="000000"/>
                <w14:ligatures w14:val="none"/>
              </w:rPr>
              <w:t>dr.</w:t>
            </w:r>
            <w:proofErr w:type="spellEnd"/>
            <w:r w:rsidR="00DD4945">
              <w:rPr>
                <w:rFonts w:eastAsia="Times New Roman" w:cstheme="minorHAnsi"/>
                <w:color w:val="000000"/>
                <w14:ligatures w14:val="none"/>
              </w:rPr>
              <w:t xml:space="preserve"> h. c.</w:t>
            </w:r>
          </w:p>
        </w:tc>
      </w:tr>
      <w:tr w:rsidR="00112F2A" w:rsidRPr="005C4701" w14:paraId="753BFBFC" w14:textId="77777777">
        <w:tc>
          <w:tcPr>
            <w:tcW w:w="2835" w:type="dxa"/>
            <w:tcBorders>
              <w:top w:val="nil"/>
              <w:left w:val="nil"/>
              <w:bottom w:val="nil"/>
              <w:right w:val="nil"/>
            </w:tcBorders>
            <w:shd w:val="clear" w:color="auto" w:fill="auto"/>
          </w:tcPr>
          <w:p w14:paraId="75EE3052"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Bankové spojenie</w:t>
            </w:r>
          </w:p>
        </w:tc>
        <w:tc>
          <w:tcPr>
            <w:tcW w:w="6179" w:type="dxa"/>
            <w:tcBorders>
              <w:top w:val="nil"/>
              <w:left w:val="nil"/>
              <w:bottom w:val="nil"/>
              <w:right w:val="nil"/>
            </w:tcBorders>
            <w:shd w:val="clear" w:color="auto" w:fill="auto"/>
          </w:tcPr>
          <w:p w14:paraId="4DC0B712" w14:textId="48D63630" w:rsidR="00112F2A" w:rsidRPr="005C4701" w:rsidRDefault="00112F2A">
            <w:pPr>
              <w:widowControl w:val="0"/>
              <w:tabs>
                <w:tab w:val="left" w:pos="2127"/>
              </w:tabs>
              <w:spacing w:after="0" w:line="276" w:lineRule="auto"/>
              <w:jc w:val="both"/>
              <w:rPr>
                <w:rFonts w:eastAsia="Times New Roman" w:cstheme="minorHAnsi"/>
                <w:color w:val="000000"/>
                <w14:ligatures w14:val="none"/>
              </w:rPr>
            </w:pPr>
          </w:p>
        </w:tc>
      </w:tr>
      <w:tr w:rsidR="00112F2A" w:rsidRPr="005C4701" w14:paraId="31C6496B" w14:textId="77777777">
        <w:tc>
          <w:tcPr>
            <w:tcW w:w="2835" w:type="dxa"/>
            <w:tcBorders>
              <w:top w:val="nil"/>
              <w:left w:val="nil"/>
              <w:bottom w:val="nil"/>
              <w:right w:val="nil"/>
            </w:tcBorders>
            <w:shd w:val="clear" w:color="auto" w:fill="auto"/>
          </w:tcPr>
          <w:p w14:paraId="193EF992"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Číslo účtu:</w:t>
            </w:r>
          </w:p>
        </w:tc>
        <w:tc>
          <w:tcPr>
            <w:tcW w:w="6179" w:type="dxa"/>
            <w:tcBorders>
              <w:top w:val="nil"/>
              <w:left w:val="nil"/>
              <w:bottom w:val="nil"/>
              <w:right w:val="nil"/>
            </w:tcBorders>
            <w:shd w:val="clear" w:color="auto" w:fill="auto"/>
          </w:tcPr>
          <w:p w14:paraId="1FF915CE" w14:textId="5CE9AD06" w:rsidR="00112F2A" w:rsidRPr="005C4701" w:rsidRDefault="00112F2A">
            <w:pPr>
              <w:widowControl w:val="0"/>
              <w:tabs>
                <w:tab w:val="left" w:pos="2127"/>
              </w:tabs>
              <w:spacing w:after="0" w:line="276" w:lineRule="auto"/>
              <w:jc w:val="both"/>
              <w:rPr>
                <w:rFonts w:eastAsia="Times New Roman" w:cstheme="minorHAnsi"/>
                <w:color w:val="000000"/>
                <w14:ligatures w14:val="none"/>
              </w:rPr>
            </w:pPr>
          </w:p>
        </w:tc>
      </w:tr>
    </w:tbl>
    <w:p w14:paraId="1EFB4F96" w14:textId="77777777" w:rsidR="00112F2A" w:rsidRDefault="00112F2A">
      <w:pPr>
        <w:jc w:val="both"/>
        <w:rPr>
          <w:rFonts w:cstheme="minorHAnsi"/>
        </w:rPr>
      </w:pPr>
    </w:p>
    <w:p w14:paraId="2A28EC6F" w14:textId="77777777" w:rsidR="00112F2A" w:rsidRDefault="00F03AEA">
      <w:pPr>
        <w:jc w:val="both"/>
        <w:rPr>
          <w:rFonts w:cstheme="minorHAnsi"/>
          <w:b/>
          <w:bCs/>
        </w:rPr>
      </w:pPr>
      <w:r>
        <w:rPr>
          <w:rFonts w:cstheme="minorHAnsi"/>
          <w:b/>
          <w:bCs/>
        </w:rPr>
        <w:t xml:space="preserve">Poskytovateľ: </w:t>
      </w:r>
    </w:p>
    <w:tbl>
      <w:tblPr>
        <w:tblStyle w:val="Mkatabulky"/>
        <w:tblW w:w="9015" w:type="dxa"/>
        <w:tblCellMar>
          <w:left w:w="118" w:type="dxa"/>
        </w:tblCellMar>
        <w:tblLook w:val="04A0" w:firstRow="1" w:lastRow="0" w:firstColumn="1" w:lastColumn="0" w:noHBand="0" w:noVBand="1"/>
      </w:tblPr>
      <w:tblGrid>
        <w:gridCol w:w="2835"/>
        <w:gridCol w:w="6180"/>
      </w:tblGrid>
      <w:tr w:rsidR="00112F2A" w:rsidRPr="005C4701" w14:paraId="1DBF4F9F" w14:textId="77777777">
        <w:tc>
          <w:tcPr>
            <w:tcW w:w="2835" w:type="dxa"/>
            <w:tcBorders>
              <w:top w:val="nil"/>
              <w:left w:val="nil"/>
              <w:bottom w:val="nil"/>
              <w:right w:val="nil"/>
            </w:tcBorders>
            <w:shd w:val="clear" w:color="auto" w:fill="auto"/>
          </w:tcPr>
          <w:p w14:paraId="7F0327FA"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b/>
                <w:color w:val="000000"/>
              </w:rPr>
              <w:t>Obchodné meno:</w:t>
            </w:r>
          </w:p>
        </w:tc>
        <w:tc>
          <w:tcPr>
            <w:tcW w:w="6179" w:type="dxa"/>
            <w:tcBorders>
              <w:top w:val="nil"/>
              <w:left w:val="nil"/>
              <w:bottom w:val="nil"/>
              <w:right w:val="nil"/>
            </w:tcBorders>
            <w:shd w:val="clear" w:color="auto" w:fill="auto"/>
          </w:tcPr>
          <w:p w14:paraId="372190DD" w14:textId="77777777" w:rsidR="00112F2A" w:rsidRPr="005C4701" w:rsidRDefault="00F03AEA">
            <w:pPr>
              <w:widowControl w:val="0"/>
              <w:tabs>
                <w:tab w:val="left" w:pos="2127"/>
              </w:tabs>
              <w:spacing w:after="0" w:line="276" w:lineRule="auto"/>
              <w:jc w:val="both"/>
              <w:rPr>
                <w:rFonts w:eastAsia="Arial" w:cstheme="minorHAnsi"/>
                <w:b/>
                <w:bCs/>
                <w:color w:val="000000"/>
              </w:rPr>
            </w:pPr>
            <w:proofErr w:type="spellStart"/>
            <w:r w:rsidRPr="005C4701">
              <w:rPr>
                <w:rFonts w:eastAsia="Arial" w:cstheme="minorHAnsi"/>
                <w:b/>
                <w:bCs/>
                <w:color w:val="000000"/>
              </w:rPr>
              <w:t>dataquest</w:t>
            </w:r>
            <w:proofErr w:type="spellEnd"/>
            <w:r w:rsidRPr="005C4701">
              <w:rPr>
                <w:rFonts w:eastAsia="Arial" w:cstheme="minorHAnsi"/>
                <w:b/>
                <w:bCs/>
                <w:color w:val="000000"/>
              </w:rPr>
              <w:t xml:space="preserve"> s.r.o.</w:t>
            </w:r>
          </w:p>
        </w:tc>
      </w:tr>
      <w:tr w:rsidR="00112F2A" w:rsidRPr="005C4701" w14:paraId="1771F881" w14:textId="77777777">
        <w:tc>
          <w:tcPr>
            <w:tcW w:w="2835" w:type="dxa"/>
            <w:tcBorders>
              <w:top w:val="nil"/>
              <w:left w:val="nil"/>
              <w:bottom w:val="nil"/>
              <w:right w:val="nil"/>
            </w:tcBorders>
            <w:shd w:val="clear" w:color="auto" w:fill="auto"/>
          </w:tcPr>
          <w:p w14:paraId="4F5E385D"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Sídlo:</w:t>
            </w:r>
          </w:p>
        </w:tc>
        <w:tc>
          <w:tcPr>
            <w:tcW w:w="6179" w:type="dxa"/>
            <w:tcBorders>
              <w:top w:val="nil"/>
              <w:left w:val="nil"/>
              <w:bottom w:val="nil"/>
              <w:right w:val="nil"/>
            </w:tcBorders>
            <w:shd w:val="clear" w:color="auto" w:fill="auto"/>
          </w:tcPr>
          <w:p w14:paraId="6CA52B10"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Veľká Okružná 26A, 01001 Žilina</w:t>
            </w:r>
          </w:p>
        </w:tc>
      </w:tr>
      <w:tr w:rsidR="00112F2A" w:rsidRPr="005C4701" w14:paraId="0AD622D2" w14:textId="77777777">
        <w:tc>
          <w:tcPr>
            <w:tcW w:w="2835" w:type="dxa"/>
            <w:tcBorders>
              <w:top w:val="nil"/>
              <w:left w:val="nil"/>
              <w:bottom w:val="nil"/>
              <w:right w:val="nil"/>
            </w:tcBorders>
            <w:shd w:val="clear" w:color="auto" w:fill="auto"/>
          </w:tcPr>
          <w:p w14:paraId="0A5731BA"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IČO:</w:t>
            </w:r>
          </w:p>
        </w:tc>
        <w:tc>
          <w:tcPr>
            <w:tcW w:w="6179" w:type="dxa"/>
            <w:tcBorders>
              <w:top w:val="nil"/>
              <w:left w:val="nil"/>
              <w:bottom w:val="nil"/>
              <w:right w:val="nil"/>
            </w:tcBorders>
            <w:shd w:val="clear" w:color="auto" w:fill="auto"/>
          </w:tcPr>
          <w:p w14:paraId="4E1B5D46"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46960881</w:t>
            </w:r>
          </w:p>
        </w:tc>
      </w:tr>
      <w:tr w:rsidR="00112F2A" w:rsidRPr="005C4701" w14:paraId="1A936BD8" w14:textId="77777777">
        <w:tc>
          <w:tcPr>
            <w:tcW w:w="2835" w:type="dxa"/>
            <w:tcBorders>
              <w:top w:val="nil"/>
              <w:left w:val="nil"/>
              <w:bottom w:val="nil"/>
              <w:right w:val="nil"/>
            </w:tcBorders>
            <w:shd w:val="clear" w:color="auto" w:fill="auto"/>
          </w:tcPr>
          <w:p w14:paraId="54028457"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DIČ:</w:t>
            </w:r>
          </w:p>
        </w:tc>
        <w:tc>
          <w:tcPr>
            <w:tcW w:w="6179" w:type="dxa"/>
            <w:tcBorders>
              <w:top w:val="nil"/>
              <w:left w:val="nil"/>
              <w:bottom w:val="nil"/>
              <w:right w:val="nil"/>
            </w:tcBorders>
            <w:shd w:val="clear" w:color="auto" w:fill="auto"/>
          </w:tcPr>
          <w:p w14:paraId="7F9BE454"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2023683277</w:t>
            </w:r>
          </w:p>
        </w:tc>
      </w:tr>
      <w:tr w:rsidR="00112F2A" w:rsidRPr="005C4701" w14:paraId="2A1B9805" w14:textId="77777777">
        <w:tc>
          <w:tcPr>
            <w:tcW w:w="2835" w:type="dxa"/>
            <w:tcBorders>
              <w:top w:val="nil"/>
              <w:left w:val="nil"/>
              <w:bottom w:val="nil"/>
              <w:right w:val="nil"/>
            </w:tcBorders>
            <w:shd w:val="clear" w:color="auto" w:fill="auto"/>
          </w:tcPr>
          <w:p w14:paraId="249D04BA"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IČ DPH:</w:t>
            </w:r>
          </w:p>
        </w:tc>
        <w:tc>
          <w:tcPr>
            <w:tcW w:w="6179" w:type="dxa"/>
            <w:tcBorders>
              <w:top w:val="nil"/>
              <w:left w:val="nil"/>
              <w:bottom w:val="nil"/>
              <w:right w:val="nil"/>
            </w:tcBorders>
            <w:shd w:val="clear" w:color="auto" w:fill="auto"/>
          </w:tcPr>
          <w:p w14:paraId="36CB2372"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SK2023683277</w:t>
            </w:r>
          </w:p>
        </w:tc>
      </w:tr>
      <w:tr w:rsidR="00112F2A" w:rsidRPr="005C4701" w14:paraId="6389BC6B" w14:textId="77777777">
        <w:tc>
          <w:tcPr>
            <w:tcW w:w="2835" w:type="dxa"/>
            <w:tcBorders>
              <w:top w:val="nil"/>
              <w:left w:val="nil"/>
              <w:bottom w:val="nil"/>
              <w:right w:val="nil"/>
            </w:tcBorders>
            <w:shd w:val="clear" w:color="auto" w:fill="auto"/>
          </w:tcPr>
          <w:p w14:paraId="7FA3B5DA"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Zapísaný v OR:</w:t>
            </w:r>
          </w:p>
        </w:tc>
        <w:tc>
          <w:tcPr>
            <w:tcW w:w="6179" w:type="dxa"/>
            <w:tcBorders>
              <w:top w:val="nil"/>
              <w:left w:val="nil"/>
              <w:bottom w:val="nil"/>
              <w:right w:val="nil"/>
            </w:tcBorders>
            <w:shd w:val="clear" w:color="auto" w:fill="auto"/>
          </w:tcPr>
          <w:p w14:paraId="46847BAF"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 xml:space="preserve">Spoločnosť zapísaná v Obchodnom registri Okresného súdu Žilina, Oddiel: </w:t>
            </w:r>
            <w:proofErr w:type="spellStart"/>
            <w:r w:rsidRPr="005C4701">
              <w:rPr>
                <w:rFonts w:eastAsia="Arial" w:cstheme="minorHAnsi"/>
                <w:color w:val="000000"/>
              </w:rPr>
              <w:t>Sro</w:t>
            </w:r>
            <w:proofErr w:type="spellEnd"/>
            <w:r w:rsidRPr="005C4701">
              <w:rPr>
                <w:rFonts w:eastAsia="Arial" w:cstheme="minorHAnsi"/>
                <w:color w:val="000000"/>
              </w:rPr>
              <w:t>, Vložka číslo: 75631/L</w:t>
            </w:r>
            <w:r w:rsidRPr="005C4701">
              <w:rPr>
                <w:rFonts w:eastAsia="Arial" w:cstheme="minorHAnsi"/>
                <w:color w:val="000000"/>
                <w:shd w:val="clear" w:color="auto" w:fill="FFFF00"/>
              </w:rPr>
              <w:t xml:space="preserve"> </w:t>
            </w:r>
          </w:p>
        </w:tc>
      </w:tr>
      <w:tr w:rsidR="00112F2A" w:rsidRPr="005C4701" w14:paraId="1545C774" w14:textId="77777777">
        <w:tc>
          <w:tcPr>
            <w:tcW w:w="2835" w:type="dxa"/>
            <w:tcBorders>
              <w:top w:val="nil"/>
              <w:left w:val="nil"/>
              <w:bottom w:val="nil"/>
              <w:right w:val="nil"/>
            </w:tcBorders>
            <w:shd w:val="clear" w:color="auto" w:fill="auto"/>
          </w:tcPr>
          <w:p w14:paraId="360E3887"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V mene spoločnosti koná:</w:t>
            </w:r>
          </w:p>
        </w:tc>
        <w:tc>
          <w:tcPr>
            <w:tcW w:w="6179" w:type="dxa"/>
            <w:tcBorders>
              <w:top w:val="nil"/>
              <w:left w:val="nil"/>
              <w:bottom w:val="nil"/>
              <w:right w:val="nil"/>
            </w:tcBorders>
            <w:shd w:val="clear" w:color="auto" w:fill="auto"/>
          </w:tcPr>
          <w:p w14:paraId="5A9B5CD9" w14:textId="180E65CD" w:rsidR="00112F2A" w:rsidRPr="005C4701" w:rsidRDefault="0098021A">
            <w:pPr>
              <w:widowControl w:val="0"/>
              <w:tabs>
                <w:tab w:val="left" w:pos="2127"/>
              </w:tabs>
              <w:spacing w:after="0" w:line="276" w:lineRule="auto"/>
              <w:jc w:val="both"/>
              <w:rPr>
                <w:rFonts w:eastAsia="Arial" w:cstheme="minorHAnsi"/>
                <w:color w:val="000000"/>
              </w:rPr>
            </w:pPr>
            <w:r w:rsidRPr="0098021A">
              <w:rPr>
                <w:rFonts w:eastAsia="Arial" w:cstheme="minorHAnsi"/>
                <w:color w:val="000000"/>
              </w:rPr>
              <w:t xml:space="preserve">RNDr. Jozef </w:t>
            </w:r>
            <w:proofErr w:type="spellStart"/>
            <w:r w:rsidRPr="0098021A">
              <w:rPr>
                <w:rFonts w:eastAsia="Arial" w:cstheme="minorHAnsi"/>
                <w:color w:val="000000"/>
              </w:rPr>
              <w:t>Mišutka</w:t>
            </w:r>
            <w:proofErr w:type="spellEnd"/>
            <w:r w:rsidRPr="0098021A">
              <w:rPr>
                <w:rFonts w:eastAsia="Arial" w:cstheme="minorHAnsi"/>
                <w:color w:val="000000"/>
              </w:rPr>
              <w:t>, PhD.</w:t>
            </w:r>
            <w:r w:rsidR="00F03AEA" w:rsidRPr="005C4701">
              <w:rPr>
                <w:rFonts w:eastAsia="Arial" w:cstheme="minorHAnsi"/>
                <w:color w:val="000000"/>
              </w:rPr>
              <w:t>, Mgr. Peter Urda</w:t>
            </w:r>
          </w:p>
        </w:tc>
      </w:tr>
      <w:tr w:rsidR="00112F2A" w:rsidRPr="005C4701" w14:paraId="54D3183D" w14:textId="77777777">
        <w:tc>
          <w:tcPr>
            <w:tcW w:w="2835" w:type="dxa"/>
            <w:tcBorders>
              <w:top w:val="nil"/>
              <w:left w:val="nil"/>
              <w:bottom w:val="nil"/>
              <w:right w:val="nil"/>
            </w:tcBorders>
            <w:shd w:val="clear" w:color="auto" w:fill="auto"/>
          </w:tcPr>
          <w:p w14:paraId="31015FB8"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Bankové spojenie</w:t>
            </w:r>
          </w:p>
        </w:tc>
        <w:tc>
          <w:tcPr>
            <w:tcW w:w="6179" w:type="dxa"/>
            <w:tcBorders>
              <w:top w:val="nil"/>
              <w:left w:val="nil"/>
              <w:bottom w:val="nil"/>
              <w:right w:val="nil"/>
            </w:tcBorders>
            <w:shd w:val="clear" w:color="auto" w:fill="auto"/>
          </w:tcPr>
          <w:p w14:paraId="1CC1E0A0" w14:textId="0B9FAB01" w:rsidR="00112F2A" w:rsidRPr="005C4701" w:rsidRDefault="00112F2A">
            <w:pPr>
              <w:widowControl w:val="0"/>
              <w:tabs>
                <w:tab w:val="left" w:pos="2127"/>
              </w:tabs>
              <w:spacing w:after="0" w:line="276" w:lineRule="auto"/>
              <w:jc w:val="both"/>
              <w:rPr>
                <w:rFonts w:eastAsia="Arial" w:cstheme="minorHAnsi"/>
                <w:color w:val="000000"/>
              </w:rPr>
            </w:pPr>
          </w:p>
        </w:tc>
      </w:tr>
      <w:tr w:rsidR="00112F2A" w:rsidRPr="005C4701" w14:paraId="232F4C67" w14:textId="77777777">
        <w:tc>
          <w:tcPr>
            <w:tcW w:w="2835" w:type="dxa"/>
            <w:tcBorders>
              <w:top w:val="nil"/>
              <w:left w:val="nil"/>
              <w:bottom w:val="nil"/>
              <w:right w:val="nil"/>
            </w:tcBorders>
            <w:shd w:val="clear" w:color="auto" w:fill="auto"/>
          </w:tcPr>
          <w:p w14:paraId="4155CC41" w14:textId="77777777" w:rsidR="00112F2A" w:rsidRPr="005C4701" w:rsidRDefault="00F03AEA">
            <w:pPr>
              <w:widowControl w:val="0"/>
              <w:tabs>
                <w:tab w:val="left" w:pos="2127"/>
              </w:tabs>
              <w:spacing w:after="0" w:line="276" w:lineRule="auto"/>
              <w:jc w:val="both"/>
              <w:rPr>
                <w:rFonts w:eastAsia="Arial" w:cstheme="minorHAnsi"/>
                <w:color w:val="000000"/>
              </w:rPr>
            </w:pPr>
            <w:r w:rsidRPr="005C4701">
              <w:rPr>
                <w:rFonts w:eastAsia="Arial" w:cstheme="minorHAnsi"/>
                <w:color w:val="000000"/>
              </w:rPr>
              <w:t>Číslo účtu:</w:t>
            </w:r>
          </w:p>
        </w:tc>
        <w:tc>
          <w:tcPr>
            <w:tcW w:w="6179" w:type="dxa"/>
            <w:tcBorders>
              <w:top w:val="nil"/>
              <w:left w:val="nil"/>
              <w:bottom w:val="nil"/>
              <w:right w:val="nil"/>
            </w:tcBorders>
            <w:shd w:val="clear" w:color="auto" w:fill="auto"/>
          </w:tcPr>
          <w:p w14:paraId="1389A944" w14:textId="07700774" w:rsidR="00112F2A" w:rsidRPr="005C4701" w:rsidRDefault="00112F2A">
            <w:pPr>
              <w:widowControl w:val="0"/>
              <w:tabs>
                <w:tab w:val="left" w:pos="2127"/>
              </w:tabs>
              <w:spacing w:after="0" w:line="276" w:lineRule="auto"/>
              <w:jc w:val="both"/>
              <w:rPr>
                <w:rFonts w:eastAsia="Arial" w:cstheme="minorHAnsi"/>
                <w:color w:val="000000"/>
              </w:rPr>
            </w:pPr>
          </w:p>
        </w:tc>
      </w:tr>
    </w:tbl>
    <w:p w14:paraId="6892D5D2" w14:textId="77777777" w:rsidR="00112F2A" w:rsidRDefault="00112F2A">
      <w:pPr>
        <w:jc w:val="both"/>
        <w:rPr>
          <w:rFonts w:cstheme="minorHAnsi"/>
          <w:b/>
          <w:bCs/>
        </w:rPr>
      </w:pPr>
    </w:p>
    <w:p w14:paraId="441D80C3" w14:textId="77777777" w:rsidR="00524B81" w:rsidRDefault="00524B81">
      <w:pPr>
        <w:jc w:val="both"/>
        <w:rPr>
          <w:rFonts w:cstheme="minorHAnsi"/>
          <w:b/>
          <w:bCs/>
        </w:rPr>
      </w:pPr>
    </w:p>
    <w:p w14:paraId="6421C14A" w14:textId="77777777" w:rsidR="00112F2A" w:rsidRDefault="00F03AEA">
      <w:pPr>
        <w:spacing w:after="0"/>
        <w:jc w:val="center"/>
        <w:rPr>
          <w:rFonts w:cstheme="minorHAnsi"/>
          <w:b/>
          <w:bCs/>
        </w:rPr>
      </w:pPr>
      <w:r>
        <w:rPr>
          <w:rFonts w:cstheme="minorHAnsi"/>
          <w:b/>
          <w:bCs/>
        </w:rPr>
        <w:t>Článok I</w:t>
      </w:r>
    </w:p>
    <w:p w14:paraId="7E011237" w14:textId="77777777" w:rsidR="00112F2A" w:rsidRDefault="00F03AEA">
      <w:pPr>
        <w:jc w:val="center"/>
        <w:rPr>
          <w:rFonts w:cstheme="minorHAnsi"/>
          <w:b/>
          <w:bCs/>
        </w:rPr>
      </w:pPr>
      <w:r>
        <w:rPr>
          <w:rFonts w:cstheme="minorHAnsi"/>
          <w:b/>
          <w:bCs/>
        </w:rPr>
        <w:t>Predmet zmluvy</w:t>
      </w:r>
    </w:p>
    <w:p w14:paraId="0A24BC1F" w14:textId="77777777" w:rsidR="00112F2A" w:rsidRDefault="00112F2A">
      <w:pPr>
        <w:jc w:val="both"/>
        <w:rPr>
          <w:rFonts w:cstheme="minorHAnsi"/>
        </w:rPr>
      </w:pPr>
    </w:p>
    <w:p w14:paraId="3E51B9B8" w14:textId="77777777" w:rsidR="00112F2A" w:rsidRDefault="00F03AEA" w:rsidP="00C52DDB">
      <w:pPr>
        <w:pStyle w:val="Odstavecseseznamem"/>
        <w:numPr>
          <w:ilvl w:val="1"/>
          <w:numId w:val="1"/>
        </w:numPr>
        <w:ind w:left="426"/>
        <w:jc w:val="both"/>
        <w:rPr>
          <w:rFonts w:cstheme="minorHAnsi"/>
        </w:rPr>
      </w:pPr>
      <w:r>
        <w:rPr>
          <w:rFonts w:cstheme="minorHAnsi"/>
        </w:rPr>
        <w:t>Predmetom zmluvy je záväzok Poskytovateľa vykonať pre Objednávateľa služby podľa podmienok uvedených v tejto Zmluve (ďalej iba „Služby“) a záväzok Objednávateľa Služby prevziať a zaplatiť za ne cenu podľa podmienok uvedených v tejto Zmluve.</w:t>
      </w:r>
    </w:p>
    <w:p w14:paraId="604E941E" w14:textId="77777777" w:rsidR="00112F2A" w:rsidRDefault="00112F2A">
      <w:pPr>
        <w:jc w:val="both"/>
        <w:rPr>
          <w:rFonts w:cstheme="minorHAnsi"/>
        </w:rPr>
      </w:pPr>
    </w:p>
    <w:p w14:paraId="795ABF2D" w14:textId="77777777" w:rsidR="00524B81" w:rsidRDefault="00524B81">
      <w:pPr>
        <w:jc w:val="both"/>
        <w:rPr>
          <w:rFonts w:cstheme="minorHAnsi"/>
        </w:rPr>
      </w:pPr>
    </w:p>
    <w:p w14:paraId="41953FA7" w14:textId="77777777" w:rsidR="00112F2A" w:rsidRDefault="00F03AEA">
      <w:pPr>
        <w:spacing w:after="0"/>
        <w:jc w:val="center"/>
        <w:rPr>
          <w:rFonts w:cstheme="minorHAnsi"/>
          <w:b/>
          <w:bCs/>
        </w:rPr>
      </w:pPr>
      <w:r>
        <w:rPr>
          <w:rFonts w:cstheme="minorHAnsi"/>
          <w:b/>
          <w:bCs/>
        </w:rPr>
        <w:lastRenderedPageBreak/>
        <w:t>Článok II</w:t>
      </w:r>
    </w:p>
    <w:p w14:paraId="15B7D412" w14:textId="77777777" w:rsidR="00112F2A" w:rsidRDefault="00F03AEA">
      <w:pPr>
        <w:jc w:val="center"/>
        <w:rPr>
          <w:rFonts w:cstheme="minorHAnsi"/>
          <w:b/>
          <w:bCs/>
        </w:rPr>
      </w:pPr>
      <w:r>
        <w:rPr>
          <w:rFonts w:cstheme="minorHAnsi"/>
          <w:b/>
          <w:bCs/>
        </w:rPr>
        <w:t>Predmet plnenia (Služby)</w:t>
      </w:r>
    </w:p>
    <w:p w14:paraId="484F6751" w14:textId="77777777" w:rsidR="00112F2A" w:rsidRDefault="00112F2A">
      <w:pPr>
        <w:jc w:val="both"/>
        <w:rPr>
          <w:rFonts w:cstheme="minorHAnsi"/>
        </w:rPr>
      </w:pPr>
    </w:p>
    <w:p w14:paraId="293B71C8" w14:textId="77777777" w:rsidR="00112F2A" w:rsidRDefault="00112F2A">
      <w:pPr>
        <w:pStyle w:val="Odstavecseseznamem"/>
        <w:numPr>
          <w:ilvl w:val="0"/>
          <w:numId w:val="2"/>
        </w:numPr>
        <w:jc w:val="both"/>
        <w:rPr>
          <w:rFonts w:cstheme="minorHAnsi"/>
          <w:vanish/>
        </w:rPr>
      </w:pPr>
    </w:p>
    <w:p w14:paraId="6888D9F3" w14:textId="77777777" w:rsidR="00112F2A" w:rsidRDefault="00112F2A">
      <w:pPr>
        <w:pStyle w:val="Odstavecseseznamem"/>
        <w:numPr>
          <w:ilvl w:val="0"/>
          <w:numId w:val="2"/>
        </w:numPr>
        <w:jc w:val="both"/>
        <w:rPr>
          <w:rFonts w:cstheme="minorHAnsi"/>
          <w:vanish/>
        </w:rPr>
      </w:pPr>
    </w:p>
    <w:p w14:paraId="0E1AB784" w14:textId="48852487" w:rsidR="00112F2A" w:rsidRPr="00C52DDB" w:rsidRDefault="00F03AEA" w:rsidP="00C52DDB">
      <w:pPr>
        <w:pStyle w:val="Odstavecseseznamem"/>
        <w:numPr>
          <w:ilvl w:val="1"/>
          <w:numId w:val="2"/>
        </w:numPr>
        <w:ind w:left="426"/>
        <w:jc w:val="both"/>
        <w:rPr>
          <w:rFonts w:cstheme="minorHAnsi"/>
        </w:rPr>
      </w:pPr>
      <w:r>
        <w:rPr>
          <w:rFonts w:cstheme="minorHAnsi"/>
        </w:rPr>
        <w:t>Poskytovateľ sa zaväzuje dodať Objednávateľovi nasledovné Služby:</w:t>
      </w:r>
    </w:p>
    <w:p w14:paraId="31FF0E42" w14:textId="188045FB" w:rsidR="00112F2A" w:rsidRDefault="00C52DDB">
      <w:pPr>
        <w:pStyle w:val="Odstavecseseznamem"/>
        <w:numPr>
          <w:ilvl w:val="2"/>
          <w:numId w:val="2"/>
        </w:numPr>
        <w:jc w:val="both"/>
      </w:pPr>
      <w:r>
        <w:rPr>
          <w:rFonts w:cstheme="minorHAnsi"/>
        </w:rPr>
        <w:t xml:space="preserve"> Monitoring systému</w:t>
      </w:r>
    </w:p>
    <w:p w14:paraId="20D2C282" w14:textId="77777777" w:rsidR="00112F2A" w:rsidRDefault="00F03AEA">
      <w:pPr>
        <w:pStyle w:val="Odstavecseseznamem"/>
        <w:numPr>
          <w:ilvl w:val="2"/>
          <w:numId w:val="2"/>
        </w:numPr>
        <w:jc w:val="both"/>
        <w:rPr>
          <w:rFonts w:cstheme="minorHAnsi"/>
        </w:rPr>
      </w:pPr>
      <w:r>
        <w:rPr>
          <w:rFonts w:cstheme="minorHAnsi"/>
        </w:rPr>
        <w:t xml:space="preserve"> Zabezpečenie prevádzky systému</w:t>
      </w:r>
    </w:p>
    <w:p w14:paraId="507CC879" w14:textId="77777777" w:rsidR="00112F2A" w:rsidRDefault="00F03AEA">
      <w:pPr>
        <w:pStyle w:val="Odstavecseseznamem"/>
        <w:numPr>
          <w:ilvl w:val="2"/>
          <w:numId w:val="2"/>
        </w:numPr>
        <w:jc w:val="both"/>
        <w:rPr>
          <w:rFonts w:cstheme="minorHAnsi"/>
        </w:rPr>
      </w:pPr>
      <w:r>
        <w:rPr>
          <w:rFonts w:cstheme="minorHAnsi"/>
        </w:rPr>
        <w:t xml:space="preserve"> Telefonická podpora</w:t>
      </w:r>
    </w:p>
    <w:p w14:paraId="4723CB16" w14:textId="7CA75E8A" w:rsidR="00C25648" w:rsidRDefault="00F03AEA" w:rsidP="00C25648">
      <w:pPr>
        <w:pStyle w:val="Odstavecseseznamem"/>
        <w:numPr>
          <w:ilvl w:val="2"/>
          <w:numId w:val="2"/>
        </w:numPr>
        <w:jc w:val="both"/>
        <w:rPr>
          <w:rFonts w:cstheme="minorHAnsi"/>
        </w:rPr>
      </w:pPr>
      <w:r>
        <w:rPr>
          <w:rFonts w:cstheme="minorHAnsi"/>
        </w:rPr>
        <w:t xml:space="preserve"> Profylaktické služby</w:t>
      </w:r>
    </w:p>
    <w:p w14:paraId="31524C91" w14:textId="507C902C" w:rsidR="00F24DE8" w:rsidRPr="00C25648" w:rsidRDefault="00522AF1" w:rsidP="00C25648">
      <w:pPr>
        <w:pStyle w:val="Odstavecseseznamem"/>
        <w:numPr>
          <w:ilvl w:val="2"/>
          <w:numId w:val="2"/>
        </w:numPr>
        <w:jc w:val="both"/>
        <w:rPr>
          <w:rFonts w:cstheme="minorHAnsi"/>
        </w:rPr>
      </w:pPr>
      <w:r>
        <w:rPr>
          <w:rFonts w:cstheme="minorHAnsi"/>
        </w:rPr>
        <w:t xml:space="preserve"> </w:t>
      </w:r>
      <w:r w:rsidR="00E610DB">
        <w:rPr>
          <w:rFonts w:cstheme="minorHAnsi"/>
        </w:rPr>
        <w:t>Predplatené hodiny</w:t>
      </w:r>
      <w:r w:rsidR="0032688D">
        <w:rPr>
          <w:rFonts w:cstheme="minorHAnsi"/>
        </w:rPr>
        <w:t xml:space="preserve"> v rozsahu 30 hodín ročne</w:t>
      </w:r>
    </w:p>
    <w:p w14:paraId="172D47D9" w14:textId="62B52816" w:rsidR="00112F2A" w:rsidRDefault="00F03AEA">
      <w:pPr>
        <w:pStyle w:val="Odstavecseseznamem"/>
        <w:numPr>
          <w:ilvl w:val="1"/>
          <w:numId w:val="2"/>
        </w:numPr>
        <w:ind w:left="426"/>
        <w:jc w:val="both"/>
        <w:rPr>
          <w:rFonts w:cstheme="minorHAnsi"/>
        </w:rPr>
      </w:pPr>
      <w:r>
        <w:rPr>
          <w:rFonts w:cstheme="minorHAnsi"/>
        </w:rPr>
        <w:t>Podrobnejší popis jednotlivých Služieb je uvedený v Prílohe č. 1: Popis servisných činností. Tento popis Služieb je pre zmluvné strany záväzný.</w:t>
      </w:r>
    </w:p>
    <w:p w14:paraId="3F29FD17" w14:textId="3019FF69" w:rsidR="00112F2A" w:rsidRDefault="00F03AEA">
      <w:pPr>
        <w:pStyle w:val="Odstavecseseznamem"/>
        <w:numPr>
          <w:ilvl w:val="1"/>
          <w:numId w:val="2"/>
        </w:numPr>
        <w:ind w:left="426"/>
        <w:jc w:val="both"/>
      </w:pPr>
      <w:bookmarkStart w:id="0" w:name="_Ref154572462"/>
      <w:r>
        <w:rPr>
          <w:rFonts w:cstheme="minorHAnsi"/>
        </w:rPr>
        <w:t xml:space="preserve">Objekt poskytovaných Služieb je digitálny repozitár </w:t>
      </w:r>
      <w:proofErr w:type="spellStart"/>
      <w:r>
        <w:rPr>
          <w:rFonts w:cstheme="minorHAnsi"/>
        </w:rPr>
        <w:t>DSpace</w:t>
      </w:r>
      <w:proofErr w:type="spellEnd"/>
      <w:r>
        <w:rPr>
          <w:rFonts w:cstheme="minorHAnsi"/>
        </w:rPr>
        <w:t xml:space="preserve">, ktorý je v prevádzke na Technickej univerzite v </w:t>
      </w:r>
      <w:proofErr w:type="spellStart"/>
      <w:r>
        <w:rPr>
          <w:rFonts w:cstheme="minorHAnsi"/>
        </w:rPr>
        <w:t>Liberci</w:t>
      </w:r>
      <w:proofErr w:type="spellEnd"/>
      <w:r>
        <w:rPr>
          <w:rFonts w:cstheme="minorHAnsi"/>
        </w:rPr>
        <w:t xml:space="preserve"> (TUL) na webovej adrese </w:t>
      </w:r>
      <w:hyperlink r:id="rId12">
        <w:r>
          <w:rPr>
            <w:rStyle w:val="Internetovodkaz"/>
            <w:rFonts w:cstheme="minorHAnsi"/>
          </w:rPr>
          <w:t>https://dspace.tul.cz/</w:t>
        </w:r>
      </w:hyperlink>
      <w:r>
        <w:rPr>
          <w:rFonts w:cstheme="minorHAnsi"/>
        </w:rPr>
        <w:t xml:space="preserve">. K správe </w:t>
      </w:r>
      <w:proofErr w:type="spellStart"/>
      <w:r>
        <w:rPr>
          <w:rFonts w:cstheme="minorHAnsi"/>
        </w:rPr>
        <w:t>DSpace</w:t>
      </w:r>
      <w:proofErr w:type="spellEnd"/>
      <w:r>
        <w:rPr>
          <w:rFonts w:cstheme="minorHAnsi"/>
        </w:rPr>
        <w:t xml:space="preserve"> repozitára v rozsahu Služieb uvedených v bode 2.1. tohto článku patrí aj správa systémov: </w:t>
      </w:r>
      <w:proofErr w:type="spellStart"/>
      <w:r>
        <w:rPr>
          <w:rFonts w:cstheme="minorHAnsi"/>
        </w:rPr>
        <w:t>nginx</w:t>
      </w:r>
      <w:proofErr w:type="spellEnd"/>
      <w:r>
        <w:rPr>
          <w:rFonts w:cstheme="minorHAnsi"/>
        </w:rPr>
        <w:t xml:space="preserve">, </w:t>
      </w:r>
      <w:proofErr w:type="spellStart"/>
      <w:r>
        <w:rPr>
          <w:rFonts w:cstheme="minorHAnsi"/>
        </w:rPr>
        <w:t>dspace-backend</w:t>
      </w:r>
      <w:proofErr w:type="spellEnd"/>
      <w:r>
        <w:rPr>
          <w:rFonts w:cstheme="minorHAnsi"/>
        </w:rPr>
        <w:t xml:space="preserve">, </w:t>
      </w:r>
      <w:proofErr w:type="spellStart"/>
      <w:r>
        <w:rPr>
          <w:rFonts w:cstheme="minorHAnsi"/>
        </w:rPr>
        <w:t>solr</w:t>
      </w:r>
      <w:proofErr w:type="spellEnd"/>
      <w:r>
        <w:rPr>
          <w:rFonts w:cstheme="minorHAnsi"/>
        </w:rPr>
        <w:t xml:space="preserve">, </w:t>
      </w:r>
      <w:proofErr w:type="spellStart"/>
      <w:r>
        <w:rPr>
          <w:rFonts w:cstheme="minorHAnsi"/>
        </w:rPr>
        <w:t>shibboleth</w:t>
      </w:r>
      <w:proofErr w:type="spellEnd"/>
      <w:r w:rsidR="00C52DDB">
        <w:rPr>
          <w:rFonts w:cstheme="minorHAnsi"/>
        </w:rPr>
        <w:t>.</w:t>
      </w:r>
      <w:r>
        <w:rPr>
          <w:rFonts w:cstheme="minorHAnsi"/>
        </w:rPr>
        <w:t xml:space="preserve"> </w:t>
      </w:r>
      <w:bookmarkEnd w:id="0"/>
    </w:p>
    <w:p w14:paraId="48DF2A1B" w14:textId="77777777" w:rsidR="00112F2A" w:rsidRDefault="00F03AEA">
      <w:pPr>
        <w:pStyle w:val="Odstavecseseznamem"/>
        <w:numPr>
          <w:ilvl w:val="1"/>
          <w:numId w:val="2"/>
        </w:numPr>
        <w:ind w:left="426"/>
        <w:jc w:val="both"/>
        <w:rPr>
          <w:rFonts w:cstheme="minorHAnsi"/>
        </w:rPr>
      </w:pPr>
      <w:r>
        <w:rPr>
          <w:rFonts w:cstheme="minorHAnsi"/>
        </w:rPr>
        <w:t xml:space="preserve">Služby podľa tejto Zmluvy budú vykonávané diaľkovo, v priestoroch Poskytovateľa, v priestoroch Objednávateľa alebo kdekoľvek inde podľa písomnej dohody. </w:t>
      </w:r>
    </w:p>
    <w:p w14:paraId="345F23FA" w14:textId="6F909720" w:rsidR="00112F2A" w:rsidRDefault="00F03AEA">
      <w:pPr>
        <w:pStyle w:val="Odstavecseseznamem"/>
        <w:numPr>
          <w:ilvl w:val="1"/>
          <w:numId w:val="2"/>
        </w:numPr>
        <w:ind w:left="426"/>
        <w:jc w:val="both"/>
        <w:rPr>
          <w:rFonts w:cstheme="minorHAnsi"/>
        </w:rPr>
      </w:pPr>
      <w:r>
        <w:rPr>
          <w:rFonts w:cstheme="minorHAnsi"/>
        </w:rPr>
        <w:t xml:space="preserve">Objednávateľ berie na vedomie, že na účely plnenia predmetu Zmluvy Poskytovateľ nainštaluje na jeho infraštruktúre produkt tretej strany, slúžiaci na monitorovanie a zber logov. </w:t>
      </w:r>
    </w:p>
    <w:p w14:paraId="40F40350" w14:textId="77777777" w:rsidR="00112F2A" w:rsidRDefault="00112F2A">
      <w:pPr>
        <w:jc w:val="both"/>
        <w:rPr>
          <w:rFonts w:cstheme="minorHAnsi"/>
        </w:rPr>
      </w:pPr>
    </w:p>
    <w:p w14:paraId="6C2FF791" w14:textId="77777777" w:rsidR="00112F2A" w:rsidRDefault="00F03AEA">
      <w:pPr>
        <w:spacing w:after="0"/>
        <w:jc w:val="center"/>
        <w:rPr>
          <w:rFonts w:cstheme="minorHAnsi"/>
          <w:b/>
          <w:bCs/>
        </w:rPr>
      </w:pPr>
      <w:r>
        <w:rPr>
          <w:rFonts w:cstheme="minorHAnsi"/>
          <w:b/>
          <w:bCs/>
        </w:rPr>
        <w:t>Článok III</w:t>
      </w:r>
    </w:p>
    <w:p w14:paraId="073957E9" w14:textId="77777777" w:rsidR="00112F2A" w:rsidRDefault="00F03AEA">
      <w:pPr>
        <w:jc w:val="center"/>
        <w:rPr>
          <w:rFonts w:cstheme="minorHAnsi"/>
          <w:b/>
          <w:bCs/>
        </w:rPr>
      </w:pPr>
      <w:r>
        <w:rPr>
          <w:rFonts w:cstheme="minorHAnsi"/>
          <w:b/>
          <w:bCs/>
        </w:rPr>
        <w:t>Cena a platobné podmienky</w:t>
      </w:r>
    </w:p>
    <w:p w14:paraId="3DEE3E37" w14:textId="77777777" w:rsidR="00112F2A" w:rsidRDefault="00112F2A">
      <w:pPr>
        <w:jc w:val="both"/>
        <w:rPr>
          <w:rFonts w:cstheme="minorHAnsi"/>
        </w:rPr>
      </w:pPr>
    </w:p>
    <w:p w14:paraId="77D5A323" w14:textId="77777777" w:rsidR="00112F2A" w:rsidRDefault="00112F2A">
      <w:pPr>
        <w:pStyle w:val="Odstavecseseznamem"/>
        <w:numPr>
          <w:ilvl w:val="0"/>
          <w:numId w:val="3"/>
        </w:numPr>
        <w:jc w:val="both"/>
        <w:rPr>
          <w:rFonts w:cstheme="minorHAnsi"/>
          <w:vanish/>
        </w:rPr>
      </w:pPr>
    </w:p>
    <w:p w14:paraId="59E069C7" w14:textId="77777777" w:rsidR="00112F2A" w:rsidRDefault="00112F2A">
      <w:pPr>
        <w:pStyle w:val="Odstavecseseznamem"/>
        <w:numPr>
          <w:ilvl w:val="0"/>
          <w:numId w:val="3"/>
        </w:numPr>
        <w:jc w:val="both"/>
        <w:rPr>
          <w:rFonts w:cstheme="minorHAnsi"/>
          <w:vanish/>
        </w:rPr>
      </w:pPr>
    </w:p>
    <w:p w14:paraId="1146DF12" w14:textId="77777777" w:rsidR="00112F2A" w:rsidRDefault="00112F2A">
      <w:pPr>
        <w:pStyle w:val="Odstavecseseznamem"/>
        <w:numPr>
          <w:ilvl w:val="0"/>
          <w:numId w:val="3"/>
        </w:numPr>
        <w:jc w:val="both"/>
        <w:rPr>
          <w:rFonts w:cstheme="minorHAnsi"/>
          <w:vanish/>
        </w:rPr>
      </w:pPr>
    </w:p>
    <w:p w14:paraId="66E87EF7" w14:textId="7165A986" w:rsidR="00112F2A" w:rsidRDefault="00F03AEA">
      <w:pPr>
        <w:pStyle w:val="Odstavecseseznamem"/>
        <w:numPr>
          <w:ilvl w:val="1"/>
          <w:numId w:val="3"/>
        </w:numPr>
        <w:ind w:left="426"/>
        <w:jc w:val="both"/>
        <w:rPr>
          <w:rFonts w:cstheme="minorHAnsi"/>
        </w:rPr>
      </w:pPr>
      <w:r>
        <w:rPr>
          <w:rFonts w:cstheme="minorHAnsi"/>
        </w:rPr>
        <w:t xml:space="preserve">Za Služby poskytované podľa tejto Zmluvy je Objednávateľ povinný zaplatiť Poskytovateľovi odmenu vo výške </w:t>
      </w:r>
      <w:r w:rsidR="00EE33D9">
        <w:rPr>
          <w:rFonts w:cstheme="minorHAnsi"/>
          <w:b/>
          <w:bCs/>
        </w:rPr>
        <w:t>85</w:t>
      </w:r>
      <w:r>
        <w:rPr>
          <w:rFonts w:cstheme="minorHAnsi"/>
          <w:b/>
          <w:bCs/>
        </w:rPr>
        <w:t xml:space="preserve">0 </w:t>
      </w:r>
      <w:r w:rsidR="008D5A41">
        <w:rPr>
          <w:rFonts w:cstheme="minorHAnsi"/>
          <w:b/>
          <w:bCs/>
        </w:rPr>
        <w:t>EUR</w:t>
      </w:r>
      <w:r>
        <w:rPr>
          <w:rFonts w:cstheme="minorHAnsi"/>
        </w:rPr>
        <w:t xml:space="preserve"> bez DPH za kalendárny mesiac.</w:t>
      </w:r>
    </w:p>
    <w:p w14:paraId="1AEA089D" w14:textId="64032596" w:rsidR="00400E19" w:rsidRDefault="008D5A41">
      <w:pPr>
        <w:pStyle w:val="Odstavecseseznamem"/>
        <w:numPr>
          <w:ilvl w:val="1"/>
          <w:numId w:val="3"/>
        </w:numPr>
        <w:ind w:left="426"/>
        <w:jc w:val="both"/>
        <w:rPr>
          <w:rFonts w:cstheme="minorHAnsi"/>
        </w:rPr>
      </w:pPr>
      <w:r w:rsidRPr="008D5A41">
        <w:rPr>
          <w:rFonts w:cstheme="minorHAnsi"/>
        </w:rPr>
        <w:t xml:space="preserve">Hodinová sadzba za programátorské práce poskytované v rámci tejto Zmluvy je stanovená na </w:t>
      </w:r>
      <w:r w:rsidRPr="008D5A41">
        <w:rPr>
          <w:rFonts w:cstheme="minorHAnsi"/>
          <w:b/>
          <w:bCs/>
        </w:rPr>
        <w:t>60</w:t>
      </w:r>
      <w:r>
        <w:rPr>
          <w:rFonts w:cstheme="minorHAnsi"/>
        </w:rPr>
        <w:t> </w:t>
      </w:r>
      <w:r w:rsidRPr="008D5A41">
        <w:rPr>
          <w:rFonts w:cstheme="minorHAnsi"/>
          <w:b/>
          <w:bCs/>
        </w:rPr>
        <w:t>EUR</w:t>
      </w:r>
      <w:r w:rsidRPr="008D5A41">
        <w:rPr>
          <w:rFonts w:cstheme="minorHAnsi"/>
        </w:rPr>
        <w:t xml:space="preserve"> bez DPH. Táto sadzba sa vzťahuje na programátorské služby vykonané nad rámec garantovaných predplatených hodín, ako aj na dodatočné programátorské práce vyžiadané Objednávateľom, ktoré presahujú rozsah služieb uvedených v Článku II.</w:t>
      </w:r>
    </w:p>
    <w:p w14:paraId="607BE1E6" w14:textId="415DD9B9" w:rsidR="00112F2A" w:rsidRPr="00741A24" w:rsidRDefault="00F03AEA" w:rsidP="00741A24">
      <w:pPr>
        <w:pStyle w:val="Odstavecseseznamem"/>
        <w:numPr>
          <w:ilvl w:val="1"/>
          <w:numId w:val="3"/>
        </w:numPr>
        <w:ind w:left="426"/>
        <w:jc w:val="both"/>
      </w:pPr>
      <w:r>
        <w:rPr>
          <w:rFonts w:cstheme="minorHAnsi"/>
        </w:rPr>
        <w:t xml:space="preserve">Služby poskytované podľa tejto Zmluvy budú fakturované mesačne, vždy k poslednému kalendárnemu dňu príslušného mesiaca, a to do 15 dní od uskutočniteľného zdaniteľného plnenia. </w:t>
      </w:r>
    </w:p>
    <w:p w14:paraId="0B961823" w14:textId="09441963" w:rsidR="00112F2A" w:rsidRPr="00077BE7" w:rsidRDefault="00F03AEA">
      <w:pPr>
        <w:pStyle w:val="Odstavecseseznamem"/>
        <w:numPr>
          <w:ilvl w:val="1"/>
          <w:numId w:val="3"/>
        </w:numPr>
        <w:ind w:left="426"/>
        <w:jc w:val="both"/>
      </w:pPr>
      <w:r>
        <w:rPr>
          <w:rFonts w:cstheme="minorHAnsi"/>
        </w:rPr>
        <w:t>Faktúry bud</w:t>
      </w:r>
      <w:r w:rsidR="0085164E">
        <w:rPr>
          <w:rFonts w:cstheme="minorHAnsi"/>
        </w:rPr>
        <w:t>ú</w:t>
      </w:r>
      <w:r>
        <w:rPr>
          <w:rFonts w:cstheme="minorHAnsi"/>
        </w:rPr>
        <w:t xml:space="preserve"> vystavené elektronicky a dodané na emailovú adresu Objednávateľa:</w:t>
      </w:r>
      <w:r w:rsidR="009D12F9">
        <w:rPr>
          <w:rFonts w:cstheme="minorHAnsi"/>
        </w:rPr>
        <w:t xml:space="preserve"> </w:t>
      </w:r>
    </w:p>
    <w:p w14:paraId="1828B98E" w14:textId="77777777" w:rsidR="00112F2A" w:rsidRDefault="00F03AEA">
      <w:pPr>
        <w:pStyle w:val="Odstavecseseznamem"/>
        <w:numPr>
          <w:ilvl w:val="1"/>
          <w:numId w:val="3"/>
        </w:numPr>
        <w:ind w:left="426"/>
        <w:jc w:val="both"/>
        <w:rPr>
          <w:rFonts w:cstheme="minorHAnsi"/>
        </w:rPr>
      </w:pPr>
      <w:r>
        <w:rPr>
          <w:rFonts w:cstheme="minorHAnsi"/>
        </w:rPr>
        <w:t xml:space="preserve">K dohodnutým cenám bez DPH sa pripočíta sadzba DPH v súlade so zák. č. 222/2004 </w:t>
      </w:r>
      <w:proofErr w:type="spellStart"/>
      <w:r>
        <w:rPr>
          <w:rFonts w:cstheme="minorHAnsi"/>
        </w:rPr>
        <w:t>Z.z</w:t>
      </w:r>
      <w:proofErr w:type="spellEnd"/>
      <w:r>
        <w:rPr>
          <w:rFonts w:cstheme="minorHAnsi"/>
        </w:rPr>
        <w:t>. o dani z pridanej hodnoty, platným v deň vzniku daňovej povinnosti.</w:t>
      </w:r>
    </w:p>
    <w:p w14:paraId="569E5F98" w14:textId="3AAA2E3D" w:rsidR="00B62640" w:rsidRDefault="00C6087C">
      <w:pPr>
        <w:pStyle w:val="Odstavecseseznamem"/>
        <w:numPr>
          <w:ilvl w:val="1"/>
          <w:numId w:val="3"/>
        </w:numPr>
        <w:ind w:left="426"/>
        <w:jc w:val="both"/>
        <w:rPr>
          <w:rFonts w:cstheme="minorHAnsi"/>
        </w:rPr>
      </w:pPr>
      <w:r w:rsidRPr="00C6087C">
        <w:rPr>
          <w:rFonts w:cstheme="minorHAnsi"/>
        </w:rPr>
        <w:t xml:space="preserve">Lehota splatnosti faktúr je 14 dní odo dňa ich doručenia </w:t>
      </w:r>
      <w:r w:rsidR="00077BE7">
        <w:rPr>
          <w:rFonts w:cstheme="minorHAnsi"/>
        </w:rPr>
        <w:t>O</w:t>
      </w:r>
      <w:r w:rsidR="00DD4945">
        <w:rPr>
          <w:rFonts w:cstheme="minorHAnsi"/>
        </w:rPr>
        <w:t>bjednávateľ</w:t>
      </w:r>
      <w:r w:rsidR="0099570E">
        <w:rPr>
          <w:rFonts w:cstheme="minorHAnsi"/>
        </w:rPr>
        <w:t>ovi</w:t>
      </w:r>
      <w:r w:rsidRPr="00C6087C">
        <w:rPr>
          <w:rFonts w:cstheme="minorHAnsi"/>
        </w:rPr>
        <w:t xml:space="preserve">. Za deň splnenia peňažného záväzku sa považuje deň odpísania dlžnej sumy z účtu </w:t>
      </w:r>
      <w:r w:rsidR="00077BE7">
        <w:rPr>
          <w:rFonts w:cstheme="minorHAnsi"/>
        </w:rPr>
        <w:t>O</w:t>
      </w:r>
      <w:r w:rsidR="00DD4945">
        <w:rPr>
          <w:rFonts w:cstheme="minorHAnsi"/>
        </w:rPr>
        <w:t>bjednávateľ</w:t>
      </w:r>
      <w:r w:rsidR="0099570E">
        <w:rPr>
          <w:rFonts w:cstheme="minorHAnsi"/>
        </w:rPr>
        <w:t>a</w:t>
      </w:r>
      <w:r w:rsidRPr="00C6087C">
        <w:rPr>
          <w:rFonts w:cstheme="minorHAnsi"/>
        </w:rPr>
        <w:t xml:space="preserve"> v prospech účtu </w:t>
      </w:r>
      <w:r w:rsidR="00077BE7">
        <w:rPr>
          <w:rFonts w:cstheme="minorHAnsi"/>
        </w:rPr>
        <w:t>P</w:t>
      </w:r>
      <w:r w:rsidR="00DD4945">
        <w:rPr>
          <w:rFonts w:cstheme="minorHAnsi"/>
        </w:rPr>
        <w:t>oskytovateľ</w:t>
      </w:r>
      <w:r w:rsidR="0099570E">
        <w:rPr>
          <w:rFonts w:cstheme="minorHAnsi"/>
        </w:rPr>
        <w:t>a</w:t>
      </w:r>
      <w:r w:rsidRPr="00C6087C">
        <w:rPr>
          <w:rFonts w:cstheme="minorHAnsi"/>
        </w:rPr>
        <w:t>. Pokiaľ posledný deň lehoty splatnosti pripadne podľa slovenského kalendára na deň pracovného voľna, pokoja alebo sviatok, ako deň splnenia peňažného záväzku bude zmluvným partnerom za rovnako dohodnutých cenových a platobných podmienok akceptovaný nasledujúci prvý pracovný deň.</w:t>
      </w:r>
    </w:p>
    <w:p w14:paraId="6D6330F5" w14:textId="77777777" w:rsidR="00112F2A" w:rsidRDefault="00112F2A">
      <w:pPr>
        <w:jc w:val="both"/>
        <w:rPr>
          <w:rFonts w:cstheme="minorHAnsi"/>
        </w:rPr>
      </w:pPr>
    </w:p>
    <w:p w14:paraId="115A25F0" w14:textId="77777777" w:rsidR="00112F2A" w:rsidRDefault="00F03AEA">
      <w:pPr>
        <w:spacing w:after="0"/>
        <w:jc w:val="center"/>
        <w:rPr>
          <w:rFonts w:cstheme="minorHAnsi"/>
          <w:b/>
          <w:bCs/>
        </w:rPr>
      </w:pPr>
      <w:r>
        <w:rPr>
          <w:rFonts w:cstheme="minorHAnsi"/>
          <w:b/>
          <w:bCs/>
        </w:rPr>
        <w:t>Článok IV</w:t>
      </w:r>
    </w:p>
    <w:p w14:paraId="4A6E1046" w14:textId="77777777" w:rsidR="00112F2A" w:rsidRDefault="00F03AEA">
      <w:pPr>
        <w:jc w:val="center"/>
        <w:rPr>
          <w:rFonts w:cstheme="minorHAnsi"/>
          <w:b/>
          <w:bCs/>
        </w:rPr>
      </w:pPr>
      <w:r>
        <w:rPr>
          <w:rFonts w:cstheme="minorHAnsi"/>
          <w:b/>
          <w:bCs/>
        </w:rPr>
        <w:lastRenderedPageBreak/>
        <w:t>Práva a povinnosti Poskytovateľa</w:t>
      </w:r>
    </w:p>
    <w:p w14:paraId="7B732E15" w14:textId="77777777" w:rsidR="00112F2A" w:rsidRDefault="00112F2A">
      <w:pPr>
        <w:jc w:val="both"/>
        <w:rPr>
          <w:rFonts w:cstheme="minorHAnsi"/>
        </w:rPr>
      </w:pPr>
    </w:p>
    <w:p w14:paraId="0CBBE7F9" w14:textId="77777777" w:rsidR="00112F2A" w:rsidRDefault="00112F2A">
      <w:pPr>
        <w:pStyle w:val="Odstavecseseznamem"/>
        <w:numPr>
          <w:ilvl w:val="0"/>
          <w:numId w:val="4"/>
        </w:numPr>
        <w:jc w:val="both"/>
        <w:rPr>
          <w:rFonts w:cstheme="minorHAnsi"/>
          <w:vanish/>
        </w:rPr>
      </w:pPr>
    </w:p>
    <w:p w14:paraId="1FBEF72D" w14:textId="77777777" w:rsidR="00112F2A" w:rsidRDefault="00112F2A">
      <w:pPr>
        <w:pStyle w:val="Odstavecseseznamem"/>
        <w:numPr>
          <w:ilvl w:val="0"/>
          <w:numId w:val="4"/>
        </w:numPr>
        <w:jc w:val="both"/>
        <w:rPr>
          <w:rFonts w:cstheme="minorHAnsi"/>
          <w:vanish/>
        </w:rPr>
      </w:pPr>
    </w:p>
    <w:p w14:paraId="7C1D4A44" w14:textId="77777777" w:rsidR="00112F2A" w:rsidRDefault="00112F2A">
      <w:pPr>
        <w:pStyle w:val="Odstavecseseznamem"/>
        <w:numPr>
          <w:ilvl w:val="0"/>
          <w:numId w:val="4"/>
        </w:numPr>
        <w:jc w:val="both"/>
        <w:rPr>
          <w:rFonts w:cstheme="minorHAnsi"/>
          <w:vanish/>
        </w:rPr>
      </w:pPr>
    </w:p>
    <w:p w14:paraId="0AB71981" w14:textId="77777777" w:rsidR="00112F2A" w:rsidRDefault="00112F2A">
      <w:pPr>
        <w:pStyle w:val="Odstavecseseznamem"/>
        <w:numPr>
          <w:ilvl w:val="0"/>
          <w:numId w:val="4"/>
        </w:numPr>
        <w:jc w:val="both"/>
        <w:rPr>
          <w:rFonts w:cstheme="minorHAnsi"/>
          <w:vanish/>
        </w:rPr>
      </w:pPr>
    </w:p>
    <w:p w14:paraId="2D5A14A6" w14:textId="77777777" w:rsidR="00112F2A" w:rsidRDefault="00F03AEA">
      <w:pPr>
        <w:pStyle w:val="Odstavecseseznamem"/>
        <w:numPr>
          <w:ilvl w:val="1"/>
          <w:numId w:val="4"/>
        </w:numPr>
        <w:ind w:left="426"/>
        <w:jc w:val="both"/>
        <w:rPr>
          <w:rFonts w:cstheme="minorHAnsi"/>
        </w:rPr>
      </w:pPr>
      <w:r>
        <w:rPr>
          <w:rFonts w:cstheme="minorHAnsi"/>
        </w:rPr>
        <w:t>Poskytovateľ je oprávnený poveriť plnením tejto Zmluvy alebo jej časti aj inú osobu (subdodávateľa). Pri plnení tejto Zmluvy alebo jej časti inou osobou má Poskytovateľ zodpovednosť akoby plnenie poskytoval sám.</w:t>
      </w:r>
    </w:p>
    <w:p w14:paraId="73D6F347" w14:textId="3615F3F8" w:rsidR="00112F2A" w:rsidRDefault="00F03AEA">
      <w:pPr>
        <w:pStyle w:val="Odstavecseseznamem"/>
        <w:numPr>
          <w:ilvl w:val="1"/>
          <w:numId w:val="4"/>
        </w:numPr>
        <w:ind w:left="426"/>
        <w:jc w:val="both"/>
      </w:pPr>
      <w:r>
        <w:rPr>
          <w:rFonts w:cstheme="minorHAnsi"/>
        </w:rPr>
        <w:t>Včasné a riadne plnenie predmetu Zmluvy zo strany Poskytovateľa je podmienené včasným a riadnym plnením (tzv. nevyhnutným spolupôsobením) zo strany Objednávateľa a pripravenosťou technických prostriedkov Objednávateľa. Ak Objednávateľ neplní svoje povinnosti podľa Zmluvy, prípadne vzájomne písomne odsúhlasené termíny riadne a včas, príp. neposkytne Poskytovateľovi súčinnosť pri plnení Zmluvy, nie je Poskytovateľ v omeškaní s plnením predmetu Zmluvy. O čas omeškania Objednávateľa s plnením predmetu Zmluvy alebo s poskytnutím súčinnosti sa posúvajú všetky termíny plnenia Poskytovateľa.</w:t>
      </w:r>
    </w:p>
    <w:p w14:paraId="183FD5DE" w14:textId="77777777" w:rsidR="00112F2A" w:rsidRDefault="00112F2A">
      <w:pPr>
        <w:jc w:val="both"/>
        <w:rPr>
          <w:rFonts w:cstheme="minorHAnsi"/>
        </w:rPr>
      </w:pPr>
    </w:p>
    <w:p w14:paraId="63FC6EDA" w14:textId="77777777" w:rsidR="00112F2A" w:rsidRDefault="00F03AEA">
      <w:pPr>
        <w:spacing w:after="0"/>
        <w:jc w:val="center"/>
        <w:rPr>
          <w:rFonts w:cstheme="minorHAnsi"/>
          <w:b/>
          <w:bCs/>
        </w:rPr>
      </w:pPr>
      <w:r>
        <w:rPr>
          <w:rFonts w:cstheme="minorHAnsi"/>
          <w:b/>
          <w:bCs/>
        </w:rPr>
        <w:t>Článok V</w:t>
      </w:r>
    </w:p>
    <w:p w14:paraId="66358CCA" w14:textId="77777777" w:rsidR="00112F2A" w:rsidRDefault="00F03AEA">
      <w:pPr>
        <w:jc w:val="center"/>
        <w:rPr>
          <w:rFonts w:cstheme="minorHAnsi"/>
          <w:b/>
          <w:bCs/>
        </w:rPr>
      </w:pPr>
      <w:r>
        <w:rPr>
          <w:rFonts w:cstheme="minorHAnsi"/>
          <w:b/>
          <w:bCs/>
        </w:rPr>
        <w:t>Práva a povinnosti Objednávateľa</w:t>
      </w:r>
    </w:p>
    <w:p w14:paraId="2F671B4B" w14:textId="77777777" w:rsidR="00112F2A" w:rsidRDefault="00112F2A">
      <w:pPr>
        <w:jc w:val="both"/>
        <w:rPr>
          <w:rFonts w:cstheme="minorHAnsi"/>
        </w:rPr>
      </w:pPr>
    </w:p>
    <w:p w14:paraId="218ED408" w14:textId="77777777" w:rsidR="00112F2A" w:rsidRDefault="00112F2A">
      <w:pPr>
        <w:pStyle w:val="Odstavecseseznamem"/>
        <w:numPr>
          <w:ilvl w:val="0"/>
          <w:numId w:val="5"/>
        </w:numPr>
        <w:jc w:val="both"/>
        <w:rPr>
          <w:rFonts w:cstheme="minorHAnsi"/>
          <w:vanish/>
        </w:rPr>
      </w:pPr>
    </w:p>
    <w:p w14:paraId="7F68EAD4" w14:textId="77777777" w:rsidR="00112F2A" w:rsidRDefault="00112F2A">
      <w:pPr>
        <w:pStyle w:val="Odstavecseseznamem"/>
        <w:numPr>
          <w:ilvl w:val="0"/>
          <w:numId w:val="5"/>
        </w:numPr>
        <w:jc w:val="both"/>
        <w:rPr>
          <w:rFonts w:cstheme="minorHAnsi"/>
          <w:vanish/>
        </w:rPr>
      </w:pPr>
    </w:p>
    <w:p w14:paraId="7705C27F" w14:textId="77777777" w:rsidR="00112F2A" w:rsidRDefault="00112F2A">
      <w:pPr>
        <w:pStyle w:val="Odstavecseseznamem"/>
        <w:numPr>
          <w:ilvl w:val="0"/>
          <w:numId w:val="5"/>
        </w:numPr>
        <w:jc w:val="both"/>
        <w:rPr>
          <w:rFonts w:cstheme="minorHAnsi"/>
          <w:vanish/>
        </w:rPr>
      </w:pPr>
    </w:p>
    <w:p w14:paraId="3303692A" w14:textId="77777777" w:rsidR="00112F2A" w:rsidRDefault="00112F2A">
      <w:pPr>
        <w:pStyle w:val="Odstavecseseznamem"/>
        <w:numPr>
          <w:ilvl w:val="0"/>
          <w:numId w:val="5"/>
        </w:numPr>
        <w:jc w:val="both"/>
        <w:rPr>
          <w:rFonts w:cstheme="minorHAnsi"/>
          <w:vanish/>
        </w:rPr>
      </w:pPr>
    </w:p>
    <w:p w14:paraId="24E640CF" w14:textId="77777777" w:rsidR="00112F2A" w:rsidRDefault="00112F2A">
      <w:pPr>
        <w:pStyle w:val="Odstavecseseznamem"/>
        <w:numPr>
          <w:ilvl w:val="0"/>
          <w:numId w:val="5"/>
        </w:numPr>
        <w:jc w:val="both"/>
        <w:rPr>
          <w:rFonts w:cstheme="minorHAnsi"/>
          <w:vanish/>
        </w:rPr>
      </w:pPr>
    </w:p>
    <w:p w14:paraId="305102CB" w14:textId="427A41C9" w:rsidR="00112F2A" w:rsidRDefault="00F03AEA">
      <w:pPr>
        <w:pStyle w:val="Odstavecseseznamem"/>
        <w:numPr>
          <w:ilvl w:val="1"/>
          <w:numId w:val="5"/>
        </w:numPr>
        <w:ind w:left="426"/>
        <w:jc w:val="both"/>
      </w:pPr>
      <w:r>
        <w:rPr>
          <w:rFonts w:cstheme="minorHAnsi"/>
        </w:rPr>
        <w:t xml:space="preserve">Objednávateľ nie je oprávnený zasahovať a vykonávať akékoľvek zmeny v riešení v rozsahu uvedenom v článku II bod </w:t>
      </w:r>
      <w:r>
        <w:rPr>
          <w:rFonts w:cstheme="minorHAnsi"/>
        </w:rPr>
        <w:fldChar w:fldCharType="begin"/>
      </w:r>
      <w:r>
        <w:instrText>REF _Ref154572462 \r \h</w:instrText>
      </w:r>
      <w:r>
        <w:rPr>
          <w:rFonts w:cstheme="minorHAnsi"/>
        </w:rPr>
      </w:r>
      <w:r>
        <w:fldChar w:fldCharType="separate"/>
      </w:r>
      <w:r w:rsidR="00CB326E">
        <w:t>2.3</w:t>
      </w:r>
      <w:r>
        <w:fldChar w:fldCharType="end"/>
      </w:r>
      <w:r>
        <w:rPr>
          <w:rFonts w:cstheme="minorHAnsi"/>
        </w:rPr>
        <w:t>.</w:t>
      </w:r>
    </w:p>
    <w:p w14:paraId="2EE4E510" w14:textId="77777777" w:rsidR="00112F2A" w:rsidRDefault="00F03AEA">
      <w:pPr>
        <w:pStyle w:val="Odstavecseseznamem"/>
        <w:numPr>
          <w:ilvl w:val="1"/>
          <w:numId w:val="5"/>
        </w:numPr>
        <w:ind w:left="426"/>
        <w:jc w:val="both"/>
        <w:rPr>
          <w:rFonts w:cstheme="minorHAnsi"/>
        </w:rPr>
      </w:pPr>
      <w:r>
        <w:rPr>
          <w:rFonts w:cstheme="minorHAnsi"/>
        </w:rPr>
        <w:t>Objednávateľ je povinný riadne a včas poskytnúť Poskytovateľovi potrebnú súčinnosť pri plnení predmetu Zmluvy. Objednávateľ je povinný najmä:</w:t>
      </w:r>
    </w:p>
    <w:p w14:paraId="1E345CF3" w14:textId="77777777" w:rsidR="00112F2A" w:rsidRDefault="00F03AEA">
      <w:pPr>
        <w:pStyle w:val="Odstavecseseznamem"/>
        <w:numPr>
          <w:ilvl w:val="2"/>
          <w:numId w:val="5"/>
        </w:numPr>
        <w:jc w:val="both"/>
        <w:rPr>
          <w:rFonts w:cstheme="minorHAnsi"/>
        </w:rPr>
      </w:pPr>
      <w:r>
        <w:rPr>
          <w:rFonts w:cstheme="minorHAnsi"/>
        </w:rPr>
        <w:t xml:space="preserve"> poskytnúť Poskytovateľovi písomne všetky podklady potrebné pre poskytnutie Služieb;</w:t>
      </w:r>
    </w:p>
    <w:p w14:paraId="496E81C0" w14:textId="2088B046" w:rsidR="00112F2A" w:rsidRPr="00741A24" w:rsidRDefault="00F03AEA" w:rsidP="00741A24">
      <w:pPr>
        <w:pStyle w:val="Odstavecseseznamem"/>
        <w:numPr>
          <w:ilvl w:val="2"/>
          <w:numId w:val="5"/>
        </w:numPr>
        <w:jc w:val="both"/>
        <w:rPr>
          <w:rFonts w:cstheme="minorHAnsi"/>
        </w:rPr>
      </w:pPr>
      <w:r>
        <w:rPr>
          <w:rFonts w:cstheme="minorHAnsi"/>
        </w:rPr>
        <w:t xml:space="preserve"> sprístupniť Poskytovateľovi miesto inštalácie a poskytnúť mu súčinnosť pri analýze a odstraňovaní </w:t>
      </w:r>
      <w:proofErr w:type="spellStart"/>
      <w:r>
        <w:rPr>
          <w:rFonts w:cstheme="minorHAnsi"/>
        </w:rPr>
        <w:t>vád</w:t>
      </w:r>
      <w:proofErr w:type="spellEnd"/>
      <w:r>
        <w:rPr>
          <w:rFonts w:cstheme="minorHAnsi"/>
        </w:rPr>
        <w:t>;</w:t>
      </w:r>
    </w:p>
    <w:p w14:paraId="2F748189" w14:textId="77777777" w:rsidR="00112F2A" w:rsidRDefault="00F03AEA">
      <w:pPr>
        <w:pStyle w:val="Odstavecseseznamem"/>
        <w:numPr>
          <w:ilvl w:val="2"/>
          <w:numId w:val="5"/>
        </w:numPr>
        <w:jc w:val="both"/>
        <w:rPr>
          <w:rFonts w:cstheme="minorHAnsi"/>
        </w:rPr>
      </w:pPr>
      <w:r>
        <w:rPr>
          <w:rFonts w:cstheme="minorHAnsi"/>
        </w:rPr>
        <w:t xml:space="preserve"> zabezpečiť vhodnú diaľkovú sieťovú konektivitu;</w:t>
      </w:r>
    </w:p>
    <w:p w14:paraId="239A35FE" w14:textId="0CE43EAF" w:rsidR="00112F2A" w:rsidRDefault="00F03AEA">
      <w:pPr>
        <w:pStyle w:val="Odstavecseseznamem"/>
        <w:numPr>
          <w:ilvl w:val="2"/>
          <w:numId w:val="5"/>
        </w:numPr>
        <w:jc w:val="both"/>
        <w:rPr>
          <w:rFonts w:cstheme="minorHAnsi"/>
        </w:rPr>
      </w:pPr>
      <w:r>
        <w:rPr>
          <w:rFonts w:cstheme="minorHAnsi"/>
        </w:rPr>
        <w:t xml:space="preserve"> pri diaľkovej diagnostike umožniť zriadenie diaľkového prístupu zo sídla Poskytovateľa do siete LAN na strane Objednávateľa s prenosovou rýchlosťou min. 1024 </w:t>
      </w:r>
      <w:proofErr w:type="spellStart"/>
      <w:r>
        <w:rPr>
          <w:rFonts w:cstheme="minorHAnsi"/>
        </w:rPr>
        <w:t>kbit</w:t>
      </w:r>
      <w:proofErr w:type="spellEnd"/>
      <w:r>
        <w:rPr>
          <w:rFonts w:cstheme="minorHAnsi"/>
        </w:rPr>
        <w:t>/s s vhodným stupňom zabezpečenia pred neoprávneným prístupom (preferuje sa VPN);</w:t>
      </w:r>
    </w:p>
    <w:p w14:paraId="6E162737" w14:textId="36DF2600" w:rsidR="00112F2A" w:rsidRDefault="00F03AEA">
      <w:pPr>
        <w:pStyle w:val="Odstavecseseznamem"/>
        <w:numPr>
          <w:ilvl w:val="2"/>
          <w:numId w:val="5"/>
        </w:numPr>
        <w:jc w:val="both"/>
        <w:rPr>
          <w:rFonts w:cstheme="minorHAnsi"/>
        </w:rPr>
      </w:pPr>
      <w:r>
        <w:rPr>
          <w:rFonts w:cstheme="minorHAnsi"/>
        </w:rPr>
        <w:t xml:space="preserve"> zabezpečiť Poskytovateľovi </w:t>
      </w:r>
      <w:proofErr w:type="spellStart"/>
      <w:r>
        <w:rPr>
          <w:rFonts w:cstheme="minorHAnsi"/>
        </w:rPr>
        <w:t>admin</w:t>
      </w:r>
      <w:proofErr w:type="spellEnd"/>
      <w:r>
        <w:rPr>
          <w:rFonts w:cstheme="minorHAnsi"/>
        </w:rPr>
        <w:t xml:space="preserve"> prístup do systémov, ktoré sú Objektom poskytovaných služieb;</w:t>
      </w:r>
    </w:p>
    <w:p w14:paraId="62EB4FEE" w14:textId="77777777" w:rsidR="00112F2A" w:rsidRDefault="00F03AEA">
      <w:pPr>
        <w:pStyle w:val="Odstavecseseznamem"/>
        <w:numPr>
          <w:ilvl w:val="2"/>
          <w:numId w:val="5"/>
        </w:numPr>
        <w:jc w:val="both"/>
        <w:rPr>
          <w:rFonts w:cstheme="minorHAnsi"/>
        </w:rPr>
      </w:pPr>
      <w:r>
        <w:rPr>
          <w:rFonts w:cstheme="minorHAnsi"/>
        </w:rPr>
        <w:t xml:space="preserve"> v prípade servisného incidentu, ktorého riešenie si vyžaduje prítomnosť Servisného technika Poskytovateľa v priestoroch Objednávateľa, umožniť Servisnému technikovi Poskytovateľa fyzický prístup do týchto priestorov Objednávateľa. </w:t>
      </w:r>
    </w:p>
    <w:p w14:paraId="78664D7A" w14:textId="77777777" w:rsidR="00112F2A" w:rsidRDefault="00F03AEA">
      <w:pPr>
        <w:pStyle w:val="Odstavecseseznamem"/>
        <w:numPr>
          <w:ilvl w:val="1"/>
          <w:numId w:val="5"/>
        </w:numPr>
        <w:ind w:left="426"/>
        <w:jc w:val="both"/>
        <w:rPr>
          <w:rFonts w:cstheme="minorHAnsi"/>
        </w:rPr>
      </w:pPr>
      <w:r>
        <w:rPr>
          <w:rFonts w:cstheme="minorHAnsi"/>
        </w:rPr>
        <w:t xml:space="preserve">Objednávateľ je povinný určiť Oprávnenú osobu, ktorá bude zodpovedná za súčinnosť Objednávateľa pri servisnom incidente. </w:t>
      </w:r>
    </w:p>
    <w:p w14:paraId="07B7305E" w14:textId="77777777" w:rsidR="00112F2A" w:rsidRDefault="00112F2A">
      <w:pPr>
        <w:jc w:val="both"/>
        <w:rPr>
          <w:rFonts w:cstheme="minorHAnsi"/>
        </w:rPr>
      </w:pPr>
    </w:p>
    <w:p w14:paraId="19C7411F" w14:textId="77777777" w:rsidR="00112F2A" w:rsidRDefault="00F03AEA">
      <w:pPr>
        <w:spacing w:after="0"/>
        <w:jc w:val="center"/>
        <w:rPr>
          <w:rFonts w:cstheme="minorHAnsi"/>
          <w:b/>
          <w:bCs/>
        </w:rPr>
      </w:pPr>
      <w:r>
        <w:rPr>
          <w:rFonts w:cstheme="minorHAnsi"/>
          <w:b/>
          <w:bCs/>
        </w:rPr>
        <w:t>Článok VI</w:t>
      </w:r>
    </w:p>
    <w:p w14:paraId="0C19F3DE" w14:textId="77777777" w:rsidR="00112F2A" w:rsidRDefault="00F03AEA">
      <w:pPr>
        <w:jc w:val="center"/>
        <w:rPr>
          <w:rFonts w:cstheme="minorHAnsi"/>
          <w:b/>
          <w:bCs/>
        </w:rPr>
      </w:pPr>
      <w:r>
        <w:rPr>
          <w:rFonts w:cstheme="minorHAnsi"/>
          <w:b/>
          <w:bCs/>
        </w:rPr>
        <w:t>Zmluvné sankcie</w:t>
      </w:r>
    </w:p>
    <w:p w14:paraId="5AAD4890" w14:textId="77777777" w:rsidR="00112F2A" w:rsidRDefault="00112F2A">
      <w:pPr>
        <w:jc w:val="both"/>
        <w:rPr>
          <w:rFonts w:cstheme="minorHAnsi"/>
        </w:rPr>
      </w:pPr>
    </w:p>
    <w:p w14:paraId="44C5B000" w14:textId="77777777" w:rsidR="00112F2A" w:rsidRDefault="00112F2A">
      <w:pPr>
        <w:pStyle w:val="Odstavecseseznamem"/>
        <w:numPr>
          <w:ilvl w:val="0"/>
          <w:numId w:val="6"/>
        </w:numPr>
        <w:jc w:val="both"/>
        <w:rPr>
          <w:rFonts w:cstheme="minorHAnsi"/>
          <w:vanish/>
        </w:rPr>
      </w:pPr>
    </w:p>
    <w:p w14:paraId="6EFDDB38" w14:textId="77777777" w:rsidR="00112F2A" w:rsidRDefault="00112F2A">
      <w:pPr>
        <w:pStyle w:val="Odstavecseseznamem"/>
        <w:numPr>
          <w:ilvl w:val="0"/>
          <w:numId w:val="6"/>
        </w:numPr>
        <w:jc w:val="both"/>
        <w:rPr>
          <w:rFonts w:cstheme="minorHAnsi"/>
          <w:vanish/>
        </w:rPr>
      </w:pPr>
    </w:p>
    <w:p w14:paraId="1BCFF0C7" w14:textId="77777777" w:rsidR="00112F2A" w:rsidRDefault="00112F2A">
      <w:pPr>
        <w:pStyle w:val="Odstavecseseznamem"/>
        <w:numPr>
          <w:ilvl w:val="0"/>
          <w:numId w:val="6"/>
        </w:numPr>
        <w:jc w:val="both"/>
        <w:rPr>
          <w:rFonts w:cstheme="minorHAnsi"/>
          <w:vanish/>
        </w:rPr>
      </w:pPr>
    </w:p>
    <w:p w14:paraId="1354B878" w14:textId="77777777" w:rsidR="00112F2A" w:rsidRDefault="00112F2A">
      <w:pPr>
        <w:pStyle w:val="Odstavecseseznamem"/>
        <w:numPr>
          <w:ilvl w:val="0"/>
          <w:numId w:val="6"/>
        </w:numPr>
        <w:jc w:val="both"/>
        <w:rPr>
          <w:rFonts w:cstheme="minorHAnsi"/>
          <w:vanish/>
        </w:rPr>
      </w:pPr>
    </w:p>
    <w:p w14:paraId="34359395" w14:textId="77777777" w:rsidR="00112F2A" w:rsidRDefault="00112F2A">
      <w:pPr>
        <w:pStyle w:val="Odstavecseseznamem"/>
        <w:numPr>
          <w:ilvl w:val="0"/>
          <w:numId w:val="6"/>
        </w:numPr>
        <w:jc w:val="both"/>
        <w:rPr>
          <w:rFonts w:cstheme="minorHAnsi"/>
          <w:vanish/>
        </w:rPr>
      </w:pPr>
    </w:p>
    <w:p w14:paraId="066B999E" w14:textId="77777777" w:rsidR="00112F2A" w:rsidRDefault="00112F2A">
      <w:pPr>
        <w:pStyle w:val="Odstavecseseznamem"/>
        <w:numPr>
          <w:ilvl w:val="0"/>
          <w:numId w:val="6"/>
        </w:numPr>
        <w:jc w:val="both"/>
        <w:rPr>
          <w:rFonts w:cstheme="minorHAnsi"/>
          <w:vanish/>
        </w:rPr>
      </w:pPr>
    </w:p>
    <w:p w14:paraId="68F0F7BF" w14:textId="77015659" w:rsidR="00112F2A" w:rsidRDefault="00F03AEA">
      <w:pPr>
        <w:pStyle w:val="Odstavecseseznamem"/>
        <w:numPr>
          <w:ilvl w:val="1"/>
          <w:numId w:val="6"/>
        </w:numPr>
        <w:ind w:left="426"/>
        <w:jc w:val="both"/>
        <w:rPr>
          <w:rFonts w:cstheme="minorHAnsi"/>
        </w:rPr>
      </w:pPr>
      <w:r>
        <w:rPr>
          <w:rFonts w:cstheme="minorHAnsi"/>
        </w:rPr>
        <w:t xml:space="preserve">V prípade omeškania povinnosti Poskytovateľa nastúpiť na odstránenie </w:t>
      </w:r>
      <w:proofErr w:type="spellStart"/>
      <w:r>
        <w:rPr>
          <w:rFonts w:cstheme="minorHAnsi"/>
        </w:rPr>
        <w:t>vady</w:t>
      </w:r>
      <w:proofErr w:type="spellEnd"/>
      <w:r>
        <w:rPr>
          <w:rFonts w:cstheme="minorHAnsi"/>
        </w:rPr>
        <w:t xml:space="preserve"> (</w:t>
      </w:r>
      <w:proofErr w:type="spellStart"/>
      <w:r>
        <w:rPr>
          <w:rFonts w:cstheme="minorHAnsi"/>
        </w:rPr>
        <w:t>Response</w:t>
      </w:r>
      <w:proofErr w:type="spellEnd"/>
      <w:r>
        <w:rPr>
          <w:rFonts w:cstheme="minorHAnsi"/>
        </w:rPr>
        <w:t xml:space="preserve"> </w:t>
      </w:r>
      <w:proofErr w:type="spellStart"/>
      <w:r>
        <w:rPr>
          <w:rFonts w:cstheme="minorHAnsi"/>
        </w:rPr>
        <w:t>Time</w:t>
      </w:r>
      <w:proofErr w:type="spellEnd"/>
      <w:r>
        <w:rPr>
          <w:rFonts w:cstheme="minorHAnsi"/>
        </w:rPr>
        <w:t>) alebo omeškania Poskytovateľa s jej odstránením (</w:t>
      </w:r>
      <w:proofErr w:type="spellStart"/>
      <w:r>
        <w:rPr>
          <w:rFonts w:cstheme="minorHAnsi"/>
        </w:rPr>
        <w:t>Repair</w:t>
      </w:r>
      <w:proofErr w:type="spellEnd"/>
      <w:r>
        <w:rPr>
          <w:rFonts w:cstheme="minorHAnsi"/>
        </w:rPr>
        <w:t xml:space="preserve"> </w:t>
      </w:r>
      <w:proofErr w:type="spellStart"/>
      <w:r>
        <w:rPr>
          <w:rFonts w:cstheme="minorHAnsi"/>
        </w:rPr>
        <w:t>Time</w:t>
      </w:r>
      <w:proofErr w:type="spellEnd"/>
      <w:r>
        <w:rPr>
          <w:rFonts w:cstheme="minorHAnsi"/>
        </w:rPr>
        <w:t xml:space="preserve">, má Objednávateľ právo voči Poskytovateľovi na zmluvnú pokutu vo výške 0,05% z ročnej dohodnutej ceny za Predmet plnenia za každý i začatý deň omeškania, maximálne však do výšky jednej mesačnej splátky. </w:t>
      </w:r>
      <w:r>
        <w:rPr>
          <w:rFonts w:cstheme="minorHAnsi"/>
        </w:rPr>
        <w:lastRenderedPageBreak/>
        <w:t>Zmluvná pokuta je splatná do 15 dní odo dňa doručenia písomnej výzvy Objednávateľa Poskytovateľovi.</w:t>
      </w:r>
    </w:p>
    <w:p w14:paraId="7F5D40CF" w14:textId="437284BF" w:rsidR="00112F2A" w:rsidRDefault="00F03AEA">
      <w:pPr>
        <w:pStyle w:val="Odstavecseseznamem"/>
        <w:numPr>
          <w:ilvl w:val="1"/>
          <w:numId w:val="6"/>
        </w:numPr>
        <w:ind w:left="426"/>
        <w:jc w:val="both"/>
        <w:rPr>
          <w:rFonts w:cstheme="minorHAnsi"/>
        </w:rPr>
      </w:pPr>
      <w:r>
        <w:rPr>
          <w:rFonts w:cstheme="minorHAnsi"/>
        </w:rPr>
        <w:t>V prípade omeškania Objednávateľa s úhradou ceny za služby podľa platobných podmienok má Poskytovateľ právo voči Objednávateľovi na zmluvnú pokutu vo výške 0,05% z fakturovanej čiastky za každý i začatý deň omeškania, maximálne však do výšky jednej mesačnej splátky. Zmluvná pokuta je splatná do 15 dní odo dňa doručenia písomnej výzvy Poskytovateľa Objednávateľovi.</w:t>
      </w:r>
    </w:p>
    <w:p w14:paraId="378C5104" w14:textId="5BD8CAEC" w:rsidR="00112F2A" w:rsidRDefault="00F03AEA">
      <w:pPr>
        <w:pStyle w:val="Odstavecseseznamem"/>
        <w:numPr>
          <w:ilvl w:val="1"/>
          <w:numId w:val="6"/>
        </w:numPr>
        <w:ind w:left="426"/>
        <w:jc w:val="both"/>
      </w:pPr>
      <w:r>
        <w:rPr>
          <w:rFonts w:cstheme="minorHAnsi"/>
        </w:rPr>
        <w:t xml:space="preserve">V prípade, že akýkoľvek technický zásah, jeho neprevedenie alebo porušenie inej povinnosti Poskytovateľa, kde nie je stanovená osobitná výška zmluvnej pokuty, bude mať za následok vznik škody na strane Objednávateľa, Poskytovateľ sa zaväzuje zaplatiť Objednávateľovi zmluvnú pokutu vo výške skutočnej škody, maximálne však do výšky 5 % z ročnej dohodnutej ceny za Predmet zmluvy. </w:t>
      </w:r>
    </w:p>
    <w:p w14:paraId="11B4F28B" w14:textId="77777777" w:rsidR="00112F2A" w:rsidRDefault="00112F2A">
      <w:pPr>
        <w:jc w:val="both"/>
        <w:rPr>
          <w:rFonts w:cstheme="minorHAnsi"/>
        </w:rPr>
      </w:pPr>
    </w:p>
    <w:p w14:paraId="65C971D2" w14:textId="77777777" w:rsidR="00112F2A" w:rsidRDefault="00F03AEA">
      <w:pPr>
        <w:spacing w:after="0"/>
        <w:jc w:val="center"/>
        <w:rPr>
          <w:rFonts w:cstheme="minorHAnsi"/>
          <w:b/>
          <w:bCs/>
        </w:rPr>
      </w:pPr>
      <w:r>
        <w:rPr>
          <w:rFonts w:cstheme="minorHAnsi"/>
          <w:b/>
          <w:bCs/>
        </w:rPr>
        <w:t>Článok VII</w:t>
      </w:r>
    </w:p>
    <w:p w14:paraId="7C206F62" w14:textId="77777777" w:rsidR="00112F2A" w:rsidRDefault="00F03AEA">
      <w:pPr>
        <w:jc w:val="center"/>
        <w:rPr>
          <w:rFonts w:cstheme="minorHAnsi"/>
          <w:b/>
          <w:bCs/>
        </w:rPr>
      </w:pPr>
      <w:r>
        <w:rPr>
          <w:rFonts w:cstheme="minorHAnsi"/>
          <w:b/>
          <w:bCs/>
        </w:rPr>
        <w:t>Trvanie a ukončenie zmluvy</w:t>
      </w:r>
    </w:p>
    <w:p w14:paraId="035E0A9A" w14:textId="77777777" w:rsidR="00112F2A" w:rsidRDefault="00112F2A">
      <w:pPr>
        <w:jc w:val="both"/>
        <w:rPr>
          <w:rFonts w:cstheme="minorHAnsi"/>
        </w:rPr>
      </w:pPr>
    </w:p>
    <w:p w14:paraId="49C95D22" w14:textId="77777777" w:rsidR="00112F2A" w:rsidRDefault="00112F2A">
      <w:pPr>
        <w:pStyle w:val="Odstavecseseznamem"/>
        <w:numPr>
          <w:ilvl w:val="0"/>
          <w:numId w:val="7"/>
        </w:numPr>
        <w:jc w:val="both"/>
        <w:rPr>
          <w:rFonts w:cstheme="minorHAnsi"/>
          <w:vanish/>
        </w:rPr>
      </w:pPr>
    </w:p>
    <w:p w14:paraId="4D06BB1D" w14:textId="77777777" w:rsidR="00112F2A" w:rsidRDefault="00112F2A">
      <w:pPr>
        <w:pStyle w:val="Odstavecseseznamem"/>
        <w:numPr>
          <w:ilvl w:val="0"/>
          <w:numId w:val="7"/>
        </w:numPr>
        <w:jc w:val="both"/>
        <w:rPr>
          <w:rFonts w:cstheme="minorHAnsi"/>
          <w:vanish/>
        </w:rPr>
      </w:pPr>
    </w:p>
    <w:p w14:paraId="1645389B" w14:textId="77777777" w:rsidR="00112F2A" w:rsidRDefault="00112F2A">
      <w:pPr>
        <w:pStyle w:val="Odstavecseseznamem"/>
        <w:numPr>
          <w:ilvl w:val="0"/>
          <w:numId w:val="7"/>
        </w:numPr>
        <w:jc w:val="both"/>
        <w:rPr>
          <w:rFonts w:cstheme="minorHAnsi"/>
          <w:vanish/>
        </w:rPr>
      </w:pPr>
    </w:p>
    <w:p w14:paraId="78994974" w14:textId="77777777" w:rsidR="00112F2A" w:rsidRDefault="00112F2A">
      <w:pPr>
        <w:pStyle w:val="Odstavecseseznamem"/>
        <w:numPr>
          <w:ilvl w:val="0"/>
          <w:numId w:val="7"/>
        </w:numPr>
        <w:jc w:val="both"/>
        <w:rPr>
          <w:rFonts w:cstheme="minorHAnsi"/>
          <w:vanish/>
        </w:rPr>
      </w:pPr>
    </w:p>
    <w:p w14:paraId="2BA3DB5B" w14:textId="77777777" w:rsidR="00112F2A" w:rsidRDefault="00112F2A">
      <w:pPr>
        <w:pStyle w:val="Odstavecseseznamem"/>
        <w:numPr>
          <w:ilvl w:val="0"/>
          <w:numId w:val="7"/>
        </w:numPr>
        <w:jc w:val="both"/>
        <w:rPr>
          <w:rFonts w:cstheme="minorHAnsi"/>
          <w:vanish/>
        </w:rPr>
      </w:pPr>
    </w:p>
    <w:p w14:paraId="48230168" w14:textId="77777777" w:rsidR="00112F2A" w:rsidRDefault="00112F2A">
      <w:pPr>
        <w:pStyle w:val="Odstavecseseznamem"/>
        <w:numPr>
          <w:ilvl w:val="0"/>
          <w:numId w:val="7"/>
        </w:numPr>
        <w:jc w:val="both"/>
        <w:rPr>
          <w:rFonts w:cstheme="minorHAnsi"/>
          <w:vanish/>
        </w:rPr>
      </w:pPr>
    </w:p>
    <w:p w14:paraId="01F9DA56" w14:textId="77777777" w:rsidR="00112F2A" w:rsidRDefault="00112F2A">
      <w:pPr>
        <w:pStyle w:val="Odstavecseseznamem"/>
        <w:numPr>
          <w:ilvl w:val="0"/>
          <w:numId w:val="7"/>
        </w:numPr>
        <w:jc w:val="both"/>
        <w:rPr>
          <w:rFonts w:cstheme="minorHAnsi"/>
          <w:vanish/>
        </w:rPr>
      </w:pPr>
    </w:p>
    <w:p w14:paraId="6939C9C4" w14:textId="00885390" w:rsidR="00112F2A" w:rsidRDefault="00F03AEA">
      <w:pPr>
        <w:pStyle w:val="Odstavecseseznamem"/>
        <w:numPr>
          <w:ilvl w:val="1"/>
          <w:numId w:val="7"/>
        </w:numPr>
        <w:ind w:left="426"/>
        <w:jc w:val="both"/>
        <w:rPr>
          <w:rFonts w:cstheme="minorHAnsi"/>
        </w:rPr>
      </w:pPr>
      <w:r>
        <w:rPr>
          <w:rFonts w:cstheme="minorHAnsi"/>
        </w:rPr>
        <w:t>Zmluva sa uzatvára na dobu neurčitú.</w:t>
      </w:r>
    </w:p>
    <w:p w14:paraId="68FE4AB5" w14:textId="77777777" w:rsidR="00112F2A" w:rsidRDefault="00F03AEA">
      <w:pPr>
        <w:pStyle w:val="Odstavecseseznamem"/>
        <w:numPr>
          <w:ilvl w:val="1"/>
          <w:numId w:val="7"/>
        </w:numPr>
        <w:ind w:left="426"/>
        <w:jc w:val="both"/>
        <w:rPr>
          <w:rFonts w:cstheme="minorHAnsi"/>
        </w:rPr>
      </w:pPr>
      <w:r>
        <w:rPr>
          <w:rFonts w:cstheme="minorHAnsi"/>
        </w:rPr>
        <w:t>Platnosť tejto zmluvy môže byť ukončená:</w:t>
      </w:r>
    </w:p>
    <w:p w14:paraId="7E84DED0" w14:textId="77777777" w:rsidR="00112F2A" w:rsidRDefault="00F03AEA">
      <w:pPr>
        <w:pStyle w:val="Odstavecseseznamem"/>
        <w:numPr>
          <w:ilvl w:val="2"/>
          <w:numId w:val="7"/>
        </w:numPr>
        <w:jc w:val="both"/>
        <w:rPr>
          <w:rFonts w:cstheme="minorHAnsi"/>
        </w:rPr>
      </w:pPr>
      <w:r>
        <w:rPr>
          <w:rFonts w:cstheme="minorHAnsi"/>
        </w:rPr>
        <w:t xml:space="preserve"> písomnou dohodou zmluvných strán;</w:t>
      </w:r>
    </w:p>
    <w:p w14:paraId="4A64C254" w14:textId="77777777" w:rsidR="00112F2A" w:rsidRDefault="00F03AEA">
      <w:pPr>
        <w:pStyle w:val="Odstavecseseznamem"/>
        <w:numPr>
          <w:ilvl w:val="2"/>
          <w:numId w:val="7"/>
        </w:numPr>
        <w:jc w:val="both"/>
        <w:rPr>
          <w:rFonts w:cstheme="minorHAnsi"/>
        </w:rPr>
      </w:pPr>
      <w:r>
        <w:rPr>
          <w:rFonts w:cstheme="minorHAnsi"/>
        </w:rPr>
        <w:t xml:space="preserve"> zánikom niektorej zo zmluvných strán bez právneho nástupcu;</w:t>
      </w:r>
    </w:p>
    <w:p w14:paraId="167FF898" w14:textId="31240F4C" w:rsidR="00112F2A" w:rsidRDefault="00F03AEA">
      <w:pPr>
        <w:pStyle w:val="Odstavecseseznamem"/>
        <w:numPr>
          <w:ilvl w:val="2"/>
          <w:numId w:val="7"/>
        </w:numPr>
        <w:jc w:val="both"/>
        <w:rPr>
          <w:rFonts w:cstheme="minorHAnsi"/>
        </w:rPr>
      </w:pPr>
      <w:r>
        <w:rPr>
          <w:rFonts w:cstheme="minorHAnsi"/>
        </w:rPr>
        <w:t xml:space="preserve"> odstúpením od zmluvy</w:t>
      </w:r>
      <w:r w:rsidR="003C44FC">
        <w:rPr>
          <w:rFonts w:cstheme="minorHAnsi"/>
        </w:rPr>
        <w:t>;</w:t>
      </w:r>
    </w:p>
    <w:p w14:paraId="4970E8C8" w14:textId="74F043A6" w:rsidR="003C44FC" w:rsidRPr="003C44FC" w:rsidRDefault="003C44FC" w:rsidP="00685950">
      <w:pPr>
        <w:pStyle w:val="Odstavecseseznamem"/>
        <w:numPr>
          <w:ilvl w:val="2"/>
          <w:numId w:val="7"/>
        </w:numPr>
        <w:jc w:val="both"/>
        <w:rPr>
          <w:rFonts w:cstheme="minorHAnsi"/>
        </w:rPr>
      </w:pPr>
      <w:r w:rsidRPr="003C44FC">
        <w:rPr>
          <w:rFonts w:cstheme="minorHAnsi"/>
        </w:rPr>
        <w:t xml:space="preserve"> vypovedaním zmluvy ktoroukoľvek zo strán bez udania dôvodu s dodržaním 3 mesačnej výpovednej lehoty, ktorá začína plynúť prvým dňom nasledujúceho mesiaca po doručení výpovede druhej strane.</w:t>
      </w:r>
    </w:p>
    <w:p w14:paraId="46709E29" w14:textId="77777777" w:rsidR="00112F2A" w:rsidRDefault="00F03AEA">
      <w:pPr>
        <w:pStyle w:val="Odstavecseseznamem"/>
        <w:numPr>
          <w:ilvl w:val="1"/>
          <w:numId w:val="7"/>
        </w:numPr>
        <w:ind w:left="426"/>
        <w:jc w:val="both"/>
        <w:rPr>
          <w:rFonts w:cstheme="minorHAnsi"/>
        </w:rPr>
      </w:pPr>
      <w:r>
        <w:rPr>
          <w:rFonts w:cstheme="minorHAnsi"/>
        </w:rPr>
        <w:t xml:space="preserve">Ktorákoľvek zo zmluvných strán je oprávnená odstúpiť od Zmluvy v prípade jej podstatného porušenia druhou zmluvnou stranou. Odstúpenie od Zmluvy musí byť vykonané v písomnej forme a musia v ňom byť uvedené dôvody odstúpenia. Odstúpenie od Zmluvy nadobúda právne účinky doručením oznámenia o odstúpení od Zmluvy druhej zmluvnej strane. Za podstatné porušenie sa pre účely Zmluvy rozumie porušenie akejkoľvek zmluvnej povinnosti, ak k náprave nedôjde ani po poskytnutí dodatočnej primeranej lehoty poskytnutej druhou zmluvnou stranou na odstránenie tohto porušenia. </w:t>
      </w:r>
    </w:p>
    <w:p w14:paraId="6970548C" w14:textId="77777777" w:rsidR="00112F2A" w:rsidRDefault="00F03AEA">
      <w:pPr>
        <w:pStyle w:val="Odstavecseseznamem"/>
        <w:numPr>
          <w:ilvl w:val="1"/>
          <w:numId w:val="7"/>
        </w:numPr>
        <w:ind w:left="426"/>
        <w:jc w:val="both"/>
        <w:rPr>
          <w:rFonts w:cstheme="minorHAnsi"/>
        </w:rPr>
      </w:pPr>
      <w:r>
        <w:rPr>
          <w:rFonts w:cstheme="minorHAnsi"/>
        </w:rPr>
        <w:t>Odstúpením od Zmluvy zmluva zaniká a zanikajú aj práva a povinnosti strán vyplývajúce zo zmluvy. Odstúpenie od Zmluvy sa však nedotýka nároku na náhradu škody vzniknutej porušením Zmluvy v zmysle tejto Zmluvy, riešenia sporov medzi zmluvnými stranami a iných ustanovení, ktoré podľa prejavenej vôle strán alebo vzhľadom na svoju povahu majú trvať aj po ukončení Zmluvy.</w:t>
      </w:r>
    </w:p>
    <w:p w14:paraId="15686DE8" w14:textId="77777777" w:rsidR="00112F2A" w:rsidRDefault="00F03AEA">
      <w:pPr>
        <w:pStyle w:val="Odstavecseseznamem"/>
        <w:numPr>
          <w:ilvl w:val="1"/>
          <w:numId w:val="7"/>
        </w:numPr>
        <w:ind w:left="426"/>
        <w:jc w:val="both"/>
        <w:rPr>
          <w:rFonts w:cstheme="minorHAnsi"/>
        </w:rPr>
      </w:pPr>
      <w:r>
        <w:rPr>
          <w:rFonts w:cstheme="minorHAnsi"/>
        </w:rPr>
        <w:t>Plnenia poskytnuté pred odstúpením od Zmluvy si zmluvné strany vracať nebudú.</w:t>
      </w:r>
    </w:p>
    <w:p w14:paraId="42A2677A" w14:textId="77777777" w:rsidR="00112F2A" w:rsidRDefault="00112F2A">
      <w:pPr>
        <w:jc w:val="both"/>
        <w:rPr>
          <w:rFonts w:cstheme="minorHAnsi"/>
        </w:rPr>
      </w:pPr>
    </w:p>
    <w:p w14:paraId="6B68787A" w14:textId="77777777" w:rsidR="00112F2A" w:rsidRDefault="00F03AEA">
      <w:pPr>
        <w:spacing w:after="0"/>
        <w:jc w:val="center"/>
        <w:rPr>
          <w:rFonts w:cstheme="minorHAnsi"/>
          <w:b/>
          <w:bCs/>
        </w:rPr>
      </w:pPr>
      <w:r>
        <w:rPr>
          <w:rFonts w:cstheme="minorHAnsi"/>
          <w:b/>
          <w:bCs/>
        </w:rPr>
        <w:t>Článok VIII</w:t>
      </w:r>
    </w:p>
    <w:p w14:paraId="21E2D343" w14:textId="77777777" w:rsidR="00112F2A" w:rsidRDefault="00F03AEA">
      <w:pPr>
        <w:jc w:val="center"/>
        <w:rPr>
          <w:rFonts w:cstheme="minorHAnsi"/>
          <w:b/>
          <w:bCs/>
        </w:rPr>
      </w:pPr>
      <w:r>
        <w:rPr>
          <w:rFonts w:cstheme="minorHAnsi"/>
          <w:b/>
          <w:bCs/>
        </w:rPr>
        <w:t>Záverečné ustanovenia</w:t>
      </w:r>
    </w:p>
    <w:p w14:paraId="540A4D2E" w14:textId="77777777" w:rsidR="00112F2A" w:rsidRDefault="00112F2A">
      <w:pPr>
        <w:pStyle w:val="Odstavecseseznamem"/>
        <w:numPr>
          <w:ilvl w:val="0"/>
          <w:numId w:val="8"/>
        </w:numPr>
        <w:jc w:val="both"/>
        <w:rPr>
          <w:rFonts w:cstheme="minorHAnsi"/>
          <w:vanish/>
        </w:rPr>
      </w:pPr>
    </w:p>
    <w:p w14:paraId="2A3FAE1C" w14:textId="77777777" w:rsidR="00112F2A" w:rsidRDefault="00112F2A">
      <w:pPr>
        <w:pStyle w:val="Odstavecseseznamem"/>
        <w:numPr>
          <w:ilvl w:val="0"/>
          <w:numId w:val="8"/>
        </w:numPr>
        <w:jc w:val="both"/>
        <w:rPr>
          <w:rFonts w:cstheme="minorHAnsi"/>
          <w:vanish/>
        </w:rPr>
      </w:pPr>
    </w:p>
    <w:p w14:paraId="68073E30" w14:textId="77777777" w:rsidR="00112F2A" w:rsidRDefault="00112F2A">
      <w:pPr>
        <w:pStyle w:val="Odstavecseseznamem"/>
        <w:numPr>
          <w:ilvl w:val="0"/>
          <w:numId w:val="8"/>
        </w:numPr>
        <w:jc w:val="both"/>
        <w:rPr>
          <w:rFonts w:cstheme="minorHAnsi"/>
          <w:vanish/>
        </w:rPr>
      </w:pPr>
    </w:p>
    <w:p w14:paraId="78E9A55B" w14:textId="77777777" w:rsidR="00112F2A" w:rsidRDefault="00112F2A">
      <w:pPr>
        <w:pStyle w:val="Odstavecseseznamem"/>
        <w:numPr>
          <w:ilvl w:val="0"/>
          <w:numId w:val="8"/>
        </w:numPr>
        <w:jc w:val="both"/>
        <w:rPr>
          <w:rFonts w:cstheme="minorHAnsi"/>
          <w:vanish/>
        </w:rPr>
      </w:pPr>
    </w:p>
    <w:p w14:paraId="36797FCE" w14:textId="77777777" w:rsidR="00112F2A" w:rsidRDefault="00112F2A">
      <w:pPr>
        <w:pStyle w:val="Odstavecseseznamem"/>
        <w:numPr>
          <w:ilvl w:val="0"/>
          <w:numId w:val="8"/>
        </w:numPr>
        <w:jc w:val="both"/>
        <w:rPr>
          <w:rFonts w:cstheme="minorHAnsi"/>
          <w:vanish/>
        </w:rPr>
      </w:pPr>
    </w:p>
    <w:p w14:paraId="6E28E377" w14:textId="77777777" w:rsidR="00112F2A" w:rsidRDefault="00112F2A">
      <w:pPr>
        <w:pStyle w:val="Odstavecseseznamem"/>
        <w:numPr>
          <w:ilvl w:val="0"/>
          <w:numId w:val="8"/>
        </w:numPr>
        <w:jc w:val="both"/>
        <w:rPr>
          <w:rFonts w:cstheme="minorHAnsi"/>
          <w:vanish/>
        </w:rPr>
      </w:pPr>
    </w:p>
    <w:p w14:paraId="31AB4012" w14:textId="77777777" w:rsidR="00112F2A" w:rsidRDefault="00112F2A">
      <w:pPr>
        <w:pStyle w:val="Odstavecseseznamem"/>
        <w:numPr>
          <w:ilvl w:val="0"/>
          <w:numId w:val="8"/>
        </w:numPr>
        <w:jc w:val="both"/>
        <w:rPr>
          <w:rFonts w:cstheme="minorHAnsi"/>
          <w:vanish/>
        </w:rPr>
      </w:pPr>
    </w:p>
    <w:p w14:paraId="11C5C57D" w14:textId="77777777" w:rsidR="00112F2A" w:rsidRDefault="00112F2A">
      <w:pPr>
        <w:pStyle w:val="Odstavecseseznamem"/>
        <w:numPr>
          <w:ilvl w:val="0"/>
          <w:numId w:val="8"/>
        </w:numPr>
        <w:jc w:val="both"/>
        <w:rPr>
          <w:rFonts w:cstheme="minorHAnsi"/>
          <w:vanish/>
        </w:rPr>
      </w:pPr>
    </w:p>
    <w:p w14:paraId="6B3602CE" w14:textId="330BD16C" w:rsidR="00112F2A" w:rsidRPr="00F128B0" w:rsidRDefault="00112F2A" w:rsidP="00F128B0">
      <w:pPr>
        <w:jc w:val="both"/>
        <w:rPr>
          <w:rFonts w:cstheme="minorHAnsi"/>
        </w:rPr>
      </w:pPr>
    </w:p>
    <w:p w14:paraId="073C2EEB" w14:textId="4DF265AE" w:rsidR="00112F2A" w:rsidRPr="00F128B0" w:rsidRDefault="00F03AEA" w:rsidP="00F128B0">
      <w:pPr>
        <w:pStyle w:val="Odstavecseseznamem"/>
        <w:numPr>
          <w:ilvl w:val="1"/>
          <w:numId w:val="8"/>
        </w:numPr>
        <w:ind w:left="426"/>
        <w:jc w:val="both"/>
        <w:rPr>
          <w:rFonts w:cstheme="minorHAnsi"/>
        </w:rPr>
      </w:pPr>
      <w:r>
        <w:rPr>
          <w:rFonts w:cstheme="minorHAnsi"/>
        </w:rPr>
        <w:t>Táto Zmluva môže byť zmenená alebo doplnená len formou písomných dodatkov.</w:t>
      </w:r>
    </w:p>
    <w:p w14:paraId="2AE0AAD0" w14:textId="77777777" w:rsidR="00112F2A" w:rsidRDefault="00F03AEA">
      <w:pPr>
        <w:pStyle w:val="Odstavecseseznamem"/>
        <w:numPr>
          <w:ilvl w:val="1"/>
          <w:numId w:val="8"/>
        </w:numPr>
        <w:ind w:left="426"/>
        <w:jc w:val="both"/>
      </w:pPr>
      <w:r>
        <w:rPr>
          <w:rFonts w:cstheme="minorHAnsi"/>
        </w:rPr>
        <w:lastRenderedPageBreak/>
        <w:t>Vzťahy touto Zmluvou neupravené sa riadia príslušnými ustanoveniami zákona č. 513/1991 Zb. (Obchodný zákonník) a ďalšími predpismi platnými v Slovenskej republike.</w:t>
      </w:r>
    </w:p>
    <w:p w14:paraId="1FBA92CF" w14:textId="4536E23C" w:rsidR="00112F2A" w:rsidRPr="00F128B0" w:rsidRDefault="00F03AEA" w:rsidP="00F128B0">
      <w:pPr>
        <w:pStyle w:val="Odstavecseseznamem"/>
        <w:numPr>
          <w:ilvl w:val="1"/>
          <w:numId w:val="8"/>
        </w:numPr>
        <w:ind w:left="426"/>
        <w:jc w:val="both"/>
        <w:rPr>
          <w:rFonts w:cstheme="minorHAnsi"/>
        </w:rPr>
      </w:pPr>
      <w:r>
        <w:rPr>
          <w:rFonts w:cstheme="minorHAnsi"/>
        </w:rPr>
        <w:t>Cenu podľa Článku III. tejto Zmluvy je možné medziročne navýšiť maximálne mierou medziročného rastu inflácie vo výške aritmetických priemerov indexov jadrovej inflácie zverejnenej Štatistickým úradom Slovenskej republiky za predchádzajúci kalendárny rok.</w:t>
      </w:r>
    </w:p>
    <w:p w14:paraId="539ED2EF" w14:textId="77777777" w:rsidR="00112F2A" w:rsidRDefault="00F03AEA">
      <w:pPr>
        <w:pStyle w:val="Odstavecseseznamem"/>
        <w:numPr>
          <w:ilvl w:val="1"/>
          <w:numId w:val="8"/>
        </w:numPr>
        <w:ind w:left="426"/>
        <w:jc w:val="both"/>
        <w:rPr>
          <w:rFonts w:cstheme="minorHAnsi"/>
        </w:rPr>
      </w:pPr>
      <w:r>
        <w:rPr>
          <w:rFonts w:cstheme="minorHAnsi"/>
        </w:rPr>
        <w:t xml:space="preserve">Zmluvné strany vyhlasujú, že sa dôkladne oboznámili s obsahom tejto Zmluvy a porozumeli jej, a že táto Zmluva bola uzatvorená po vzájomnom </w:t>
      </w:r>
      <w:proofErr w:type="spellStart"/>
      <w:r>
        <w:rPr>
          <w:rFonts w:cstheme="minorHAnsi"/>
        </w:rPr>
        <w:t>prejednaní</w:t>
      </w:r>
      <w:proofErr w:type="spellEnd"/>
      <w:r>
        <w:rPr>
          <w:rFonts w:cstheme="minorHAnsi"/>
        </w:rPr>
        <w:t xml:space="preserve">, podľa ich slobodnej vôle, nie v tiesni ani za nápadne nevýhodných podmienok. </w:t>
      </w:r>
    </w:p>
    <w:p w14:paraId="0F0EFC76" w14:textId="6CB1333F" w:rsidR="00112F2A" w:rsidRDefault="00F03AEA">
      <w:pPr>
        <w:pStyle w:val="Odstavecseseznamem"/>
        <w:numPr>
          <w:ilvl w:val="1"/>
          <w:numId w:val="8"/>
        </w:numPr>
        <w:ind w:left="426"/>
        <w:jc w:val="both"/>
      </w:pPr>
      <w:r>
        <w:rPr>
          <w:rFonts w:cstheme="minorHAnsi"/>
        </w:rPr>
        <w:t>Táto zmluva nadobúda platnosť dňom jej podpisu oprávnenými zástupcami zmluvných strán a účinnosť dňom zverejnenia v centrálnom registri zmlúv v krajine sídla Objednávateľa.</w:t>
      </w:r>
    </w:p>
    <w:p w14:paraId="4CF7E1FB" w14:textId="6CA27FFB" w:rsidR="00112F2A" w:rsidRDefault="00F03AEA">
      <w:pPr>
        <w:pStyle w:val="Odstavecseseznamem"/>
        <w:numPr>
          <w:ilvl w:val="1"/>
          <w:numId w:val="8"/>
        </w:numPr>
        <w:ind w:left="426"/>
        <w:jc w:val="both"/>
        <w:rPr>
          <w:rFonts w:cstheme="minorHAnsi"/>
        </w:rPr>
      </w:pPr>
      <w:r>
        <w:rPr>
          <w:rFonts w:cstheme="minorHAnsi"/>
        </w:rPr>
        <w:t xml:space="preserve">Táto Zmluva je vyhotovená v jednom (1) rovnopise v slovenskom jazyku a je elektronicky podpísaná obomi zmluvnými stranami. </w:t>
      </w:r>
    </w:p>
    <w:p w14:paraId="5CA52CFA" w14:textId="77777777" w:rsidR="00112F2A" w:rsidRDefault="00112F2A">
      <w:pPr>
        <w:jc w:val="both"/>
        <w:rPr>
          <w:rFonts w:cstheme="minorHAnsi"/>
        </w:rPr>
      </w:pPr>
    </w:p>
    <w:p w14:paraId="28F87CA9" w14:textId="111D64C2" w:rsidR="00112F2A" w:rsidRDefault="00F03AEA">
      <w:pPr>
        <w:jc w:val="both"/>
        <w:rPr>
          <w:rFonts w:cstheme="minorHAnsi"/>
        </w:rPr>
      </w:pPr>
      <w:r>
        <w:rPr>
          <w:rFonts w:cstheme="minorHAnsi"/>
        </w:rPr>
        <w:t>Záväzný zoznam Príloh, ktoré sú neoddeliteľnou časťou Zmluvy:</w:t>
      </w:r>
    </w:p>
    <w:p w14:paraId="410EB518" w14:textId="01819B6D" w:rsidR="00112F2A" w:rsidRDefault="00F03AEA" w:rsidP="00BB5034">
      <w:pPr>
        <w:pStyle w:val="Odstavecseseznamem"/>
        <w:numPr>
          <w:ilvl w:val="0"/>
          <w:numId w:val="10"/>
        </w:numPr>
        <w:jc w:val="both"/>
      </w:pPr>
      <w:r w:rsidRPr="00BB5034">
        <w:rPr>
          <w:rFonts w:cstheme="minorHAnsi"/>
        </w:rPr>
        <w:t>Príloha č.1: Popis servisných činností</w:t>
      </w:r>
      <w:r w:rsidRPr="00BB5034">
        <w:rPr>
          <w:rFonts w:cstheme="minorHAnsi"/>
        </w:rPr>
        <w:tab/>
      </w:r>
    </w:p>
    <w:p w14:paraId="6C464217" w14:textId="3A6FAA8F" w:rsidR="00112F2A" w:rsidRDefault="00112F2A">
      <w:pPr>
        <w:jc w:val="both"/>
        <w:rPr>
          <w:rFonts w:cstheme="minorHAnsi"/>
        </w:rPr>
      </w:pPr>
    </w:p>
    <w:p w14:paraId="5E626D88" w14:textId="265E7D28" w:rsidR="00112F2A" w:rsidRDefault="00112F2A">
      <w:pPr>
        <w:jc w:val="both"/>
        <w:rPr>
          <w:rFonts w:cstheme="minorHAnsi"/>
        </w:rPr>
      </w:pPr>
    </w:p>
    <w:p w14:paraId="0110D9F2" w14:textId="54C56BC6" w:rsidR="00112F2A" w:rsidRDefault="00112F2A">
      <w:pPr>
        <w:jc w:val="both"/>
        <w:rPr>
          <w:rFonts w:cstheme="minorHAnsi"/>
        </w:rPr>
      </w:pPr>
    </w:p>
    <w:p w14:paraId="5FE773DA" w14:textId="3EB4B07E" w:rsidR="00112F2A" w:rsidRDefault="00112F2A">
      <w:pPr>
        <w:jc w:val="both"/>
        <w:rPr>
          <w:rFonts w:cstheme="minorHAnsi"/>
        </w:rPr>
      </w:pPr>
    </w:p>
    <w:p w14:paraId="4D546B34" w14:textId="77777777" w:rsidR="00112F2A" w:rsidRDefault="00F03AEA">
      <w:pPr>
        <w:jc w:val="both"/>
        <w:rPr>
          <w:rFonts w:cstheme="minorHAnsi"/>
        </w:rPr>
      </w:pPr>
      <w:r>
        <w:rPr>
          <w:rFonts w:cstheme="minorHAnsi"/>
        </w:rPr>
        <w:tab/>
      </w:r>
      <w:r>
        <w:rPr>
          <w:rFonts w:cstheme="minorHAnsi"/>
        </w:rPr>
        <w:tab/>
      </w:r>
      <w:r>
        <w:rPr>
          <w:rFonts w:cstheme="minorHAnsi"/>
        </w:rPr>
        <w:tab/>
      </w:r>
      <w:r>
        <w:rPr>
          <w:rFonts w:cstheme="minorHAnsi"/>
        </w:rPr>
        <w:tab/>
      </w:r>
    </w:p>
    <w:tbl>
      <w:tblPr>
        <w:tblW w:w="9210" w:type="dxa"/>
        <w:tblCellMar>
          <w:left w:w="70" w:type="dxa"/>
          <w:right w:w="70" w:type="dxa"/>
        </w:tblCellMar>
        <w:tblLook w:val="0000" w:firstRow="0" w:lastRow="0" w:firstColumn="0" w:lastColumn="0" w:noHBand="0" w:noVBand="0"/>
      </w:tblPr>
      <w:tblGrid>
        <w:gridCol w:w="4606"/>
        <w:gridCol w:w="4604"/>
      </w:tblGrid>
      <w:tr w:rsidR="00112F2A" w14:paraId="27A71421" w14:textId="77777777" w:rsidTr="00B55EE4">
        <w:tc>
          <w:tcPr>
            <w:tcW w:w="4606" w:type="dxa"/>
            <w:shd w:val="clear" w:color="auto" w:fill="auto"/>
          </w:tcPr>
          <w:p w14:paraId="3AA19124" w14:textId="77777777" w:rsidR="00112F2A" w:rsidRDefault="00F03AEA">
            <w:pPr>
              <w:spacing w:line="276" w:lineRule="auto"/>
              <w:ind w:left="284"/>
              <w:jc w:val="center"/>
              <w:rPr>
                <w:rFonts w:cstheme="minorHAnsi"/>
                <w:szCs w:val="20"/>
              </w:rPr>
            </w:pPr>
            <w:r>
              <w:rPr>
                <w:rFonts w:cstheme="minorHAnsi"/>
                <w:szCs w:val="20"/>
              </w:rPr>
              <w:t>Za Objednávateľa:</w:t>
            </w:r>
          </w:p>
        </w:tc>
        <w:tc>
          <w:tcPr>
            <w:tcW w:w="4604" w:type="dxa"/>
            <w:shd w:val="clear" w:color="auto" w:fill="auto"/>
          </w:tcPr>
          <w:p w14:paraId="6349F774" w14:textId="77777777" w:rsidR="00112F2A" w:rsidRDefault="00F03AEA">
            <w:pPr>
              <w:spacing w:after="120"/>
              <w:jc w:val="center"/>
              <w:rPr>
                <w:rFonts w:cstheme="minorHAnsi"/>
                <w:szCs w:val="20"/>
              </w:rPr>
            </w:pPr>
            <w:r>
              <w:rPr>
                <w:rFonts w:cstheme="minorHAnsi"/>
                <w:szCs w:val="20"/>
              </w:rPr>
              <w:t>Za Poskytovateľa:</w:t>
            </w:r>
          </w:p>
        </w:tc>
      </w:tr>
      <w:tr w:rsidR="00112F2A" w14:paraId="653B0560" w14:textId="77777777" w:rsidTr="00B55EE4">
        <w:tc>
          <w:tcPr>
            <w:tcW w:w="4606" w:type="dxa"/>
            <w:shd w:val="clear" w:color="auto" w:fill="auto"/>
          </w:tcPr>
          <w:p w14:paraId="4FBBFA8C" w14:textId="2913265F" w:rsidR="00112F2A" w:rsidRPr="00D4380D" w:rsidRDefault="00D4380D">
            <w:pPr>
              <w:spacing w:after="120"/>
              <w:jc w:val="center"/>
              <w:rPr>
                <w:rFonts w:cstheme="minorHAnsi"/>
                <w:b/>
                <w:bCs/>
                <w:szCs w:val="20"/>
              </w:rPr>
            </w:pPr>
            <w:r w:rsidRPr="00D4380D">
              <w:rPr>
                <w:rFonts w:cstheme="minorHAnsi"/>
                <w:b/>
                <w:bCs/>
                <w:szCs w:val="20"/>
              </w:rPr>
              <w:t xml:space="preserve">Technická univerzita v </w:t>
            </w:r>
            <w:proofErr w:type="spellStart"/>
            <w:r w:rsidRPr="00D4380D">
              <w:rPr>
                <w:rFonts w:cstheme="minorHAnsi"/>
                <w:b/>
                <w:bCs/>
                <w:szCs w:val="20"/>
              </w:rPr>
              <w:t>Liberci</w:t>
            </w:r>
            <w:proofErr w:type="spellEnd"/>
          </w:p>
        </w:tc>
        <w:tc>
          <w:tcPr>
            <w:tcW w:w="4604" w:type="dxa"/>
            <w:shd w:val="clear" w:color="auto" w:fill="auto"/>
          </w:tcPr>
          <w:p w14:paraId="7987AE6A" w14:textId="77777777" w:rsidR="00112F2A" w:rsidRDefault="00F03AEA">
            <w:pPr>
              <w:spacing w:after="120"/>
              <w:jc w:val="center"/>
              <w:rPr>
                <w:rFonts w:cstheme="minorHAnsi"/>
                <w:szCs w:val="20"/>
              </w:rPr>
            </w:pPr>
            <w:proofErr w:type="spellStart"/>
            <w:r>
              <w:rPr>
                <w:rFonts w:cstheme="minorHAnsi"/>
                <w:b/>
                <w:bCs/>
                <w:szCs w:val="20"/>
              </w:rPr>
              <w:t>dataquest</w:t>
            </w:r>
            <w:proofErr w:type="spellEnd"/>
            <w:r>
              <w:rPr>
                <w:rFonts w:cstheme="minorHAnsi"/>
                <w:b/>
                <w:bCs/>
                <w:szCs w:val="20"/>
              </w:rPr>
              <w:t xml:space="preserve"> s.r.o.</w:t>
            </w:r>
          </w:p>
        </w:tc>
      </w:tr>
      <w:tr w:rsidR="00112F2A" w14:paraId="7D027CBA" w14:textId="77777777" w:rsidTr="00B55EE4">
        <w:tc>
          <w:tcPr>
            <w:tcW w:w="4606" w:type="dxa"/>
            <w:shd w:val="clear" w:color="auto" w:fill="auto"/>
          </w:tcPr>
          <w:p w14:paraId="244A313B" w14:textId="26FAF4C9" w:rsidR="00112F2A" w:rsidRDefault="00F03AEA">
            <w:pPr>
              <w:spacing w:after="120"/>
              <w:jc w:val="center"/>
              <w:rPr>
                <w:rFonts w:cstheme="minorHAnsi"/>
                <w:szCs w:val="20"/>
              </w:rPr>
            </w:pPr>
            <w:r>
              <w:rPr>
                <w:rFonts w:cstheme="minorHAnsi"/>
                <w:szCs w:val="20"/>
              </w:rPr>
              <w:t>V </w:t>
            </w:r>
            <w:proofErr w:type="spellStart"/>
            <w:r>
              <w:rPr>
                <w:rFonts w:cstheme="minorHAnsi"/>
                <w:szCs w:val="20"/>
              </w:rPr>
              <w:t>Liberci</w:t>
            </w:r>
            <w:proofErr w:type="spellEnd"/>
            <w:r>
              <w:rPr>
                <w:rFonts w:cstheme="minorHAnsi"/>
                <w:szCs w:val="20"/>
              </w:rPr>
              <w:t xml:space="preserve"> dňa</w:t>
            </w:r>
          </w:p>
        </w:tc>
        <w:tc>
          <w:tcPr>
            <w:tcW w:w="4604" w:type="dxa"/>
            <w:shd w:val="clear" w:color="auto" w:fill="auto"/>
          </w:tcPr>
          <w:p w14:paraId="4D4F79DA" w14:textId="40A6BA8D" w:rsidR="00112F2A" w:rsidRDefault="00F03AEA">
            <w:pPr>
              <w:spacing w:after="120"/>
              <w:jc w:val="center"/>
              <w:rPr>
                <w:rFonts w:cstheme="minorHAnsi"/>
                <w:szCs w:val="20"/>
              </w:rPr>
            </w:pPr>
            <w:r>
              <w:rPr>
                <w:rFonts w:cstheme="minorHAnsi"/>
                <w:szCs w:val="20"/>
              </w:rPr>
              <w:t>V Žiline dňa</w:t>
            </w:r>
          </w:p>
        </w:tc>
      </w:tr>
      <w:tr w:rsidR="00112F2A" w14:paraId="17F45E1C" w14:textId="77777777" w:rsidTr="00B55EE4">
        <w:trPr>
          <w:trHeight w:val="2652"/>
        </w:trPr>
        <w:tc>
          <w:tcPr>
            <w:tcW w:w="4606" w:type="dxa"/>
            <w:shd w:val="clear" w:color="auto" w:fill="auto"/>
            <w:vAlign w:val="center"/>
          </w:tcPr>
          <w:p w14:paraId="6377F849" w14:textId="77777777" w:rsidR="00112F2A" w:rsidRDefault="00112F2A">
            <w:pPr>
              <w:snapToGrid w:val="0"/>
              <w:jc w:val="center"/>
              <w:rPr>
                <w:rFonts w:cstheme="minorHAnsi"/>
                <w:szCs w:val="20"/>
              </w:rPr>
            </w:pPr>
          </w:p>
          <w:p w14:paraId="0C7CE728" w14:textId="77777777" w:rsidR="00112F2A" w:rsidRDefault="00112F2A">
            <w:pPr>
              <w:jc w:val="center"/>
              <w:rPr>
                <w:rFonts w:cstheme="minorHAnsi"/>
                <w:szCs w:val="20"/>
              </w:rPr>
            </w:pPr>
          </w:p>
          <w:p w14:paraId="2EBCACD1" w14:textId="77777777" w:rsidR="00112F2A" w:rsidRDefault="00F03AEA">
            <w:pPr>
              <w:jc w:val="center"/>
              <w:rPr>
                <w:rFonts w:cstheme="minorHAnsi"/>
                <w:szCs w:val="20"/>
              </w:rPr>
            </w:pPr>
            <w:r>
              <w:rPr>
                <w:rFonts w:cstheme="minorHAnsi"/>
                <w:szCs w:val="20"/>
              </w:rPr>
              <w:t>...............................................................</w:t>
            </w:r>
          </w:p>
          <w:p w14:paraId="2C683B75" w14:textId="569D3B92" w:rsidR="00D4380D" w:rsidRDefault="00D4380D">
            <w:pPr>
              <w:jc w:val="center"/>
              <w:rPr>
                <w:rFonts w:cstheme="minorHAnsi"/>
                <w:szCs w:val="20"/>
              </w:rPr>
            </w:pPr>
            <w:r w:rsidRPr="00D4380D">
              <w:rPr>
                <w:rFonts w:cstheme="minorHAnsi"/>
                <w:szCs w:val="20"/>
              </w:rPr>
              <w:t xml:space="preserve">doc. RNDr. Miroslav </w:t>
            </w:r>
            <w:proofErr w:type="spellStart"/>
            <w:r w:rsidRPr="00D4380D">
              <w:rPr>
                <w:rFonts w:cstheme="minorHAnsi"/>
                <w:szCs w:val="20"/>
              </w:rPr>
              <w:t>Brzezina</w:t>
            </w:r>
            <w:proofErr w:type="spellEnd"/>
            <w:r w:rsidRPr="00D4380D">
              <w:rPr>
                <w:rFonts w:cstheme="minorHAnsi"/>
                <w:szCs w:val="20"/>
              </w:rPr>
              <w:t>, CSc.</w:t>
            </w:r>
            <w:r w:rsidR="00DD4945">
              <w:rPr>
                <w:rFonts w:cstheme="minorHAnsi"/>
                <w:szCs w:val="20"/>
              </w:rPr>
              <w:t xml:space="preserve">, </w:t>
            </w:r>
            <w:proofErr w:type="spellStart"/>
            <w:r w:rsidR="00DD4945">
              <w:rPr>
                <w:rFonts w:cstheme="minorHAnsi"/>
                <w:szCs w:val="20"/>
              </w:rPr>
              <w:t>dr.</w:t>
            </w:r>
            <w:proofErr w:type="spellEnd"/>
            <w:r w:rsidR="00DD4945">
              <w:rPr>
                <w:rFonts w:cstheme="minorHAnsi"/>
                <w:szCs w:val="20"/>
              </w:rPr>
              <w:t xml:space="preserve"> h. c.</w:t>
            </w:r>
          </w:p>
          <w:p w14:paraId="173EAC1D" w14:textId="6E970F5F" w:rsidR="00112F2A" w:rsidRDefault="00D4380D" w:rsidP="00D4380D">
            <w:pPr>
              <w:jc w:val="center"/>
              <w:rPr>
                <w:rFonts w:cstheme="minorHAnsi"/>
                <w:szCs w:val="20"/>
              </w:rPr>
            </w:pPr>
            <w:r>
              <w:rPr>
                <w:rFonts w:cstheme="minorHAnsi"/>
                <w:szCs w:val="20"/>
              </w:rPr>
              <w:t>rektor</w:t>
            </w:r>
          </w:p>
        </w:tc>
        <w:tc>
          <w:tcPr>
            <w:tcW w:w="4604" w:type="dxa"/>
            <w:shd w:val="clear" w:color="auto" w:fill="auto"/>
            <w:vAlign w:val="center"/>
          </w:tcPr>
          <w:p w14:paraId="5A5D945F" w14:textId="77777777" w:rsidR="00112F2A" w:rsidRDefault="00112F2A">
            <w:pPr>
              <w:snapToGrid w:val="0"/>
              <w:jc w:val="center"/>
              <w:rPr>
                <w:rFonts w:cstheme="minorHAnsi"/>
                <w:szCs w:val="20"/>
              </w:rPr>
            </w:pPr>
          </w:p>
          <w:p w14:paraId="5311F76C" w14:textId="77777777" w:rsidR="00112F2A" w:rsidRDefault="00112F2A">
            <w:pPr>
              <w:snapToGrid w:val="0"/>
              <w:jc w:val="center"/>
              <w:rPr>
                <w:rFonts w:cstheme="minorHAnsi"/>
                <w:szCs w:val="20"/>
              </w:rPr>
            </w:pPr>
          </w:p>
          <w:p w14:paraId="734DCE30" w14:textId="77777777" w:rsidR="00112F2A" w:rsidRDefault="00F03AEA">
            <w:pPr>
              <w:jc w:val="center"/>
              <w:rPr>
                <w:rFonts w:cstheme="minorHAnsi"/>
                <w:szCs w:val="20"/>
              </w:rPr>
            </w:pPr>
            <w:r>
              <w:rPr>
                <w:rFonts w:cstheme="minorHAnsi"/>
                <w:szCs w:val="20"/>
              </w:rPr>
              <w:t>...............................................................</w:t>
            </w:r>
          </w:p>
          <w:p w14:paraId="091BE2D2" w14:textId="77777777" w:rsidR="00112F2A" w:rsidRDefault="00233BD4" w:rsidP="00233BD4">
            <w:pPr>
              <w:jc w:val="center"/>
              <w:rPr>
                <w:rFonts w:cstheme="minorHAnsi"/>
                <w:szCs w:val="20"/>
              </w:rPr>
            </w:pPr>
            <w:r w:rsidRPr="00233BD4">
              <w:rPr>
                <w:rFonts w:cstheme="minorHAnsi"/>
                <w:szCs w:val="20"/>
              </w:rPr>
              <w:t xml:space="preserve">RNDr. Jozef </w:t>
            </w:r>
            <w:proofErr w:type="spellStart"/>
            <w:r w:rsidRPr="00233BD4">
              <w:rPr>
                <w:rFonts w:cstheme="minorHAnsi"/>
                <w:szCs w:val="20"/>
              </w:rPr>
              <w:t>Mišutka</w:t>
            </w:r>
            <w:proofErr w:type="spellEnd"/>
            <w:r w:rsidRPr="00233BD4">
              <w:rPr>
                <w:rFonts w:cstheme="minorHAnsi"/>
                <w:szCs w:val="20"/>
              </w:rPr>
              <w:t>, PhD.</w:t>
            </w:r>
          </w:p>
          <w:p w14:paraId="0AEBED1E" w14:textId="71399069" w:rsidR="00D4380D" w:rsidRDefault="00D4380D" w:rsidP="00233BD4">
            <w:pPr>
              <w:jc w:val="center"/>
              <w:rPr>
                <w:rFonts w:cstheme="minorHAnsi"/>
                <w:szCs w:val="20"/>
              </w:rPr>
            </w:pPr>
            <w:r>
              <w:rPr>
                <w:rFonts w:cstheme="minorHAnsi"/>
                <w:szCs w:val="20"/>
              </w:rPr>
              <w:t>konateľ</w:t>
            </w:r>
          </w:p>
        </w:tc>
      </w:tr>
      <w:tr w:rsidR="00112F2A" w14:paraId="5B1016BC" w14:textId="77777777" w:rsidTr="00B55EE4">
        <w:tc>
          <w:tcPr>
            <w:tcW w:w="4606" w:type="dxa"/>
            <w:shd w:val="clear" w:color="auto" w:fill="auto"/>
            <w:vAlign w:val="center"/>
          </w:tcPr>
          <w:p w14:paraId="14CB1338" w14:textId="77777777" w:rsidR="00112F2A" w:rsidRDefault="00112F2A">
            <w:pPr>
              <w:jc w:val="center"/>
              <w:rPr>
                <w:rFonts w:cstheme="minorHAnsi"/>
                <w:szCs w:val="20"/>
              </w:rPr>
            </w:pPr>
          </w:p>
        </w:tc>
        <w:tc>
          <w:tcPr>
            <w:tcW w:w="4604" w:type="dxa"/>
            <w:shd w:val="clear" w:color="auto" w:fill="auto"/>
            <w:vAlign w:val="center"/>
          </w:tcPr>
          <w:p w14:paraId="4DAD03EA" w14:textId="77777777" w:rsidR="00112F2A" w:rsidRDefault="00112F2A">
            <w:pPr>
              <w:jc w:val="center"/>
              <w:rPr>
                <w:rFonts w:cstheme="minorHAnsi"/>
                <w:szCs w:val="20"/>
              </w:rPr>
            </w:pPr>
          </w:p>
          <w:p w14:paraId="017C072C" w14:textId="77777777" w:rsidR="00112F2A" w:rsidRDefault="00112F2A">
            <w:pPr>
              <w:jc w:val="center"/>
              <w:rPr>
                <w:rFonts w:cstheme="minorHAnsi"/>
                <w:szCs w:val="20"/>
              </w:rPr>
            </w:pPr>
          </w:p>
          <w:p w14:paraId="0E2BCA53" w14:textId="77777777" w:rsidR="00112F2A" w:rsidRDefault="00F03AEA">
            <w:pPr>
              <w:jc w:val="center"/>
              <w:rPr>
                <w:rFonts w:cstheme="minorHAnsi"/>
                <w:szCs w:val="20"/>
              </w:rPr>
            </w:pPr>
            <w:r>
              <w:rPr>
                <w:rFonts w:cstheme="minorHAnsi"/>
                <w:szCs w:val="20"/>
              </w:rPr>
              <w:t>...............................................................</w:t>
            </w:r>
          </w:p>
          <w:p w14:paraId="0D50AB87" w14:textId="77777777" w:rsidR="00112F2A" w:rsidRDefault="00233BD4" w:rsidP="00233BD4">
            <w:pPr>
              <w:jc w:val="center"/>
              <w:rPr>
                <w:rFonts w:cstheme="minorHAnsi"/>
                <w:szCs w:val="20"/>
              </w:rPr>
            </w:pPr>
            <w:r w:rsidRPr="00233BD4">
              <w:rPr>
                <w:rFonts w:cstheme="minorHAnsi"/>
                <w:szCs w:val="20"/>
              </w:rPr>
              <w:t>Mgr. Peter Urda</w:t>
            </w:r>
          </w:p>
          <w:p w14:paraId="40FD937E" w14:textId="55F1F756" w:rsidR="00D4380D" w:rsidRDefault="00D4380D" w:rsidP="00233BD4">
            <w:pPr>
              <w:jc w:val="center"/>
              <w:rPr>
                <w:rFonts w:cstheme="minorHAnsi"/>
                <w:szCs w:val="20"/>
              </w:rPr>
            </w:pPr>
            <w:r>
              <w:rPr>
                <w:rFonts w:cstheme="minorHAnsi"/>
                <w:szCs w:val="20"/>
              </w:rPr>
              <w:t>konateľ</w:t>
            </w:r>
          </w:p>
        </w:tc>
      </w:tr>
    </w:tbl>
    <w:p w14:paraId="1EE1CCEC" w14:textId="77777777" w:rsidR="00B55EE4" w:rsidRDefault="00B55EE4" w:rsidP="00B55EE4">
      <w:pPr>
        <w:jc w:val="center"/>
        <w:rPr>
          <w:b/>
          <w:bCs/>
          <w:sz w:val="32"/>
          <w:szCs w:val="32"/>
        </w:rPr>
      </w:pPr>
    </w:p>
    <w:p w14:paraId="68A83695" w14:textId="77777777" w:rsidR="00B55EE4" w:rsidRDefault="00B55EE4" w:rsidP="00B55EE4">
      <w:pPr>
        <w:jc w:val="center"/>
        <w:rPr>
          <w:b/>
          <w:bCs/>
          <w:sz w:val="32"/>
          <w:szCs w:val="32"/>
        </w:rPr>
      </w:pPr>
      <w:r>
        <w:rPr>
          <w:b/>
          <w:bCs/>
          <w:sz w:val="32"/>
          <w:szCs w:val="32"/>
        </w:rPr>
        <w:lastRenderedPageBreak/>
        <w:t>Príloha č.1 Popis servisných činností</w:t>
      </w:r>
    </w:p>
    <w:p w14:paraId="1842E9CB" w14:textId="77777777" w:rsidR="00B55EE4" w:rsidRDefault="00B55EE4" w:rsidP="00B55EE4">
      <w:pPr>
        <w:jc w:val="center"/>
        <w:rPr>
          <w:b/>
          <w:bCs/>
        </w:rPr>
      </w:pPr>
      <w:r>
        <w:rPr>
          <w:b/>
          <w:bCs/>
        </w:rPr>
        <w:t>k Zmluve o poskytovaní služieb (ďalej aj Zmluva)</w:t>
      </w:r>
    </w:p>
    <w:p w14:paraId="5A0FC74B" w14:textId="77777777" w:rsidR="00B55EE4" w:rsidRDefault="00B55EE4" w:rsidP="00B55EE4">
      <w:pPr>
        <w:spacing w:after="0"/>
        <w:jc w:val="center"/>
        <w:rPr>
          <w:b/>
          <w:bCs/>
        </w:rPr>
      </w:pPr>
    </w:p>
    <w:p w14:paraId="2A5D6B14" w14:textId="77777777" w:rsidR="00B55EE4" w:rsidRDefault="00B55EE4" w:rsidP="00B55EE4">
      <w:pPr>
        <w:spacing w:after="0"/>
        <w:jc w:val="center"/>
        <w:rPr>
          <w:b/>
          <w:bCs/>
        </w:rPr>
      </w:pPr>
      <w:r>
        <w:rPr>
          <w:b/>
          <w:bCs/>
        </w:rPr>
        <w:t>Článok I</w:t>
      </w:r>
    </w:p>
    <w:p w14:paraId="5CE1A825" w14:textId="77777777" w:rsidR="00B55EE4" w:rsidRDefault="00B55EE4" w:rsidP="00B55EE4">
      <w:pPr>
        <w:jc w:val="center"/>
        <w:rPr>
          <w:b/>
          <w:bCs/>
        </w:rPr>
      </w:pPr>
      <w:r>
        <w:rPr>
          <w:b/>
          <w:bCs/>
        </w:rPr>
        <w:t>Všeobecné ustanovenia</w:t>
      </w:r>
    </w:p>
    <w:p w14:paraId="57FC7107" w14:textId="77777777" w:rsidR="00B55EE4" w:rsidRDefault="00B55EE4" w:rsidP="00B55EE4">
      <w:pPr>
        <w:pStyle w:val="Odstavecseseznamem"/>
        <w:numPr>
          <w:ilvl w:val="1"/>
          <w:numId w:val="11"/>
        </w:numPr>
        <w:ind w:left="426"/>
        <w:jc w:val="both"/>
      </w:pPr>
      <w:r>
        <w:t>Predmetom plnenia podľa Zmluvy sú nasledovné Služby:</w:t>
      </w:r>
    </w:p>
    <w:p w14:paraId="0A88EE5E" w14:textId="77777777" w:rsidR="00B55EE4" w:rsidRDefault="00B55EE4" w:rsidP="00B55EE4">
      <w:pPr>
        <w:pStyle w:val="Odstavecseseznamem"/>
        <w:numPr>
          <w:ilvl w:val="2"/>
          <w:numId w:val="11"/>
        </w:numPr>
        <w:jc w:val="both"/>
      </w:pPr>
      <w:r>
        <w:t xml:space="preserve"> Monitoring systému</w:t>
      </w:r>
    </w:p>
    <w:p w14:paraId="422D30F0" w14:textId="77777777" w:rsidR="00B55EE4" w:rsidRDefault="00B55EE4" w:rsidP="00B55EE4">
      <w:pPr>
        <w:pStyle w:val="Odstavecseseznamem"/>
        <w:numPr>
          <w:ilvl w:val="2"/>
          <w:numId w:val="11"/>
        </w:numPr>
        <w:jc w:val="both"/>
      </w:pPr>
      <w:r>
        <w:t xml:space="preserve"> Zabezpečenie prevádzky systému</w:t>
      </w:r>
    </w:p>
    <w:p w14:paraId="5ABB4825" w14:textId="77777777" w:rsidR="00B55EE4" w:rsidRDefault="00B55EE4" w:rsidP="00B55EE4">
      <w:pPr>
        <w:pStyle w:val="Odstavecseseznamem"/>
        <w:numPr>
          <w:ilvl w:val="2"/>
          <w:numId w:val="11"/>
        </w:numPr>
        <w:jc w:val="both"/>
      </w:pPr>
      <w:r>
        <w:t xml:space="preserve"> Telefonická podpora</w:t>
      </w:r>
    </w:p>
    <w:p w14:paraId="5DCB8EED" w14:textId="77777777" w:rsidR="00B55EE4" w:rsidRDefault="00B55EE4" w:rsidP="00B55EE4">
      <w:pPr>
        <w:pStyle w:val="Odstavecseseznamem"/>
        <w:numPr>
          <w:ilvl w:val="2"/>
          <w:numId w:val="11"/>
        </w:numPr>
        <w:jc w:val="both"/>
      </w:pPr>
      <w:r>
        <w:t xml:space="preserve"> Profylaktické služby</w:t>
      </w:r>
    </w:p>
    <w:p w14:paraId="653711FB" w14:textId="77777777" w:rsidR="00B55EE4" w:rsidRDefault="00B55EE4" w:rsidP="00B55EE4">
      <w:pPr>
        <w:pStyle w:val="Odstavecseseznamem"/>
        <w:ind w:left="1224"/>
        <w:jc w:val="both"/>
      </w:pPr>
    </w:p>
    <w:p w14:paraId="0CB9BC01" w14:textId="77777777" w:rsidR="00B55EE4" w:rsidRDefault="00B55EE4" w:rsidP="00B55EE4">
      <w:pPr>
        <w:pStyle w:val="Odstavecseseznamem"/>
        <w:numPr>
          <w:ilvl w:val="1"/>
          <w:numId w:val="11"/>
        </w:numPr>
        <w:ind w:left="426"/>
        <w:jc w:val="both"/>
      </w:pPr>
      <w:proofErr w:type="spellStart"/>
      <w:r>
        <w:rPr>
          <w:b/>
          <w:bCs/>
        </w:rPr>
        <w:t>Vada</w:t>
      </w:r>
      <w:proofErr w:type="spellEnd"/>
      <w:r>
        <w:t xml:space="preserve"> je zadokumentovaná skutočnosť, ktorá znižuje možnosť riadneho využitia Objektu poskytovaných Služieb, prípadne ich inak znehodnocuje.</w:t>
      </w:r>
    </w:p>
    <w:p w14:paraId="4C6E2278" w14:textId="77777777" w:rsidR="00B55EE4" w:rsidRDefault="00B55EE4" w:rsidP="00B55EE4">
      <w:pPr>
        <w:pStyle w:val="Odstavecseseznamem"/>
        <w:ind w:left="426"/>
        <w:jc w:val="both"/>
      </w:pPr>
    </w:p>
    <w:p w14:paraId="382D2099" w14:textId="77777777" w:rsidR="00B55EE4" w:rsidRDefault="00B55EE4" w:rsidP="00B55EE4">
      <w:pPr>
        <w:pStyle w:val="Odstavecseseznamem"/>
        <w:numPr>
          <w:ilvl w:val="1"/>
          <w:numId w:val="11"/>
        </w:numPr>
        <w:spacing w:after="0"/>
        <w:ind w:left="426"/>
        <w:jc w:val="both"/>
      </w:pPr>
      <w:r>
        <w:rPr>
          <w:b/>
          <w:bCs/>
        </w:rPr>
        <w:t xml:space="preserve">Kritická </w:t>
      </w:r>
      <w:proofErr w:type="spellStart"/>
      <w:r>
        <w:rPr>
          <w:b/>
          <w:bCs/>
        </w:rPr>
        <w:t>vada</w:t>
      </w:r>
      <w:proofErr w:type="spellEnd"/>
      <w:r>
        <w:rPr>
          <w:b/>
          <w:bCs/>
        </w:rPr>
        <w:t xml:space="preserve"> </w:t>
      </w:r>
      <w:r>
        <w:t xml:space="preserve">predstavuje takú </w:t>
      </w:r>
      <w:proofErr w:type="spellStart"/>
      <w:r>
        <w:t>Vadu</w:t>
      </w:r>
      <w:proofErr w:type="spellEnd"/>
      <w:r>
        <w:t>, ktorá bráni v použití Objektu poskytovaných služieb vo svojich základných funkciách a zabraňuje jeho efektívnemu využívaniu ako celku</w:t>
      </w:r>
      <w:r>
        <w:rPr>
          <w:b/>
          <w:bCs/>
        </w:rPr>
        <w:t>.</w:t>
      </w:r>
    </w:p>
    <w:p w14:paraId="3648609A" w14:textId="77777777" w:rsidR="00B55EE4" w:rsidRDefault="00B55EE4" w:rsidP="00B55EE4">
      <w:pPr>
        <w:spacing w:after="0"/>
        <w:ind w:left="426"/>
      </w:pPr>
      <w:r>
        <w:t xml:space="preserve">Niektoré príklady dôsledkov kritickej </w:t>
      </w:r>
      <w:proofErr w:type="spellStart"/>
      <w:r>
        <w:t>vady</w:t>
      </w:r>
      <w:proofErr w:type="spellEnd"/>
      <w:r>
        <w:t xml:space="preserve"> zahŕňajú</w:t>
      </w:r>
    </w:p>
    <w:p w14:paraId="11AED7AE" w14:textId="77777777" w:rsidR="00B55EE4" w:rsidRDefault="00B55EE4" w:rsidP="00B55EE4">
      <w:pPr>
        <w:pStyle w:val="Odstavecseseznamem"/>
        <w:numPr>
          <w:ilvl w:val="0"/>
          <w:numId w:val="15"/>
        </w:numPr>
        <w:spacing w:after="0"/>
      </w:pPr>
      <w:r>
        <w:t>výpadok systému;</w:t>
      </w:r>
    </w:p>
    <w:p w14:paraId="7B94D89E" w14:textId="77777777" w:rsidR="00B55EE4" w:rsidRDefault="00B55EE4" w:rsidP="00B55EE4">
      <w:pPr>
        <w:pStyle w:val="Odstavecseseznamem"/>
        <w:numPr>
          <w:ilvl w:val="0"/>
          <w:numId w:val="15"/>
        </w:numPr>
        <w:spacing w:after="0"/>
      </w:pPr>
      <w:r>
        <w:t>neschopnosť systému vykonávať svoje funkcie s možnou stratou dát;</w:t>
      </w:r>
    </w:p>
    <w:p w14:paraId="18471E43" w14:textId="77777777" w:rsidR="00B55EE4" w:rsidRDefault="00B55EE4" w:rsidP="00B55EE4">
      <w:pPr>
        <w:pStyle w:val="Odstavecseseznamem"/>
        <w:numPr>
          <w:ilvl w:val="0"/>
          <w:numId w:val="15"/>
        </w:numPr>
        <w:spacing w:after="0"/>
      </w:pPr>
      <w:r>
        <w:t>identifikované riziko porušenia bezpečnostného zabezpečenia</w:t>
      </w:r>
    </w:p>
    <w:p w14:paraId="7B60A35D" w14:textId="77777777" w:rsidR="00B55EE4" w:rsidRDefault="00B55EE4" w:rsidP="00B55EE4">
      <w:pPr>
        <w:pStyle w:val="Odstavecseseznamem"/>
        <w:ind w:left="1080"/>
      </w:pPr>
    </w:p>
    <w:p w14:paraId="45681B60" w14:textId="77777777" w:rsidR="00B55EE4" w:rsidRDefault="00B55EE4" w:rsidP="00B55EE4">
      <w:pPr>
        <w:pStyle w:val="Odstavecseseznamem"/>
        <w:numPr>
          <w:ilvl w:val="1"/>
          <w:numId w:val="11"/>
        </w:numPr>
        <w:ind w:left="426"/>
        <w:jc w:val="both"/>
      </w:pPr>
      <w:r>
        <w:rPr>
          <w:b/>
          <w:bCs/>
        </w:rPr>
        <w:t xml:space="preserve">Podstatná </w:t>
      </w:r>
      <w:proofErr w:type="spellStart"/>
      <w:r>
        <w:rPr>
          <w:b/>
          <w:bCs/>
        </w:rPr>
        <w:t>vada</w:t>
      </w:r>
      <w:proofErr w:type="spellEnd"/>
      <w:r>
        <w:t xml:space="preserve"> je taká </w:t>
      </w:r>
      <w:proofErr w:type="spellStart"/>
      <w:r>
        <w:t>Vada</w:t>
      </w:r>
      <w:proofErr w:type="spellEnd"/>
      <w:r>
        <w:t>, ktorá má za následok degradáciu základných funkcií Objektu poskytovaných Služieb podľa technickej špecifikácie, pričom tento stav závažne obmedzuje bežnú prevádzku Objednávateľa.</w:t>
      </w:r>
    </w:p>
    <w:p w14:paraId="45EEFDA1" w14:textId="77777777" w:rsidR="00B55EE4" w:rsidRDefault="00B55EE4" w:rsidP="00B55EE4">
      <w:pPr>
        <w:pStyle w:val="Odstavecseseznamem"/>
        <w:ind w:left="426"/>
        <w:jc w:val="both"/>
      </w:pPr>
      <w:r>
        <w:t xml:space="preserve">Niektoré príklady následkov Podstatnej </w:t>
      </w:r>
      <w:proofErr w:type="spellStart"/>
      <w:r>
        <w:t>vady</w:t>
      </w:r>
      <w:proofErr w:type="spellEnd"/>
      <w:r>
        <w:t>:</w:t>
      </w:r>
    </w:p>
    <w:p w14:paraId="7C84D576" w14:textId="77777777" w:rsidR="00B55EE4" w:rsidRDefault="00B55EE4" w:rsidP="00B55EE4">
      <w:pPr>
        <w:pStyle w:val="Odstavecseseznamem"/>
        <w:numPr>
          <w:ilvl w:val="0"/>
          <w:numId w:val="12"/>
        </w:numPr>
        <w:jc w:val="both"/>
      </w:pPr>
      <w:r>
        <w:t>zhoršená alebo porušená funkčnosť so značným vplyvom na beh aplikácie;</w:t>
      </w:r>
    </w:p>
    <w:p w14:paraId="0EFE171E" w14:textId="77777777" w:rsidR="00B55EE4" w:rsidRDefault="00B55EE4" w:rsidP="00B55EE4">
      <w:pPr>
        <w:pStyle w:val="Odstavecseseznamem"/>
        <w:numPr>
          <w:ilvl w:val="0"/>
          <w:numId w:val="12"/>
        </w:numPr>
        <w:jc w:val="both"/>
      </w:pPr>
      <w:r>
        <w:t>časté poruchy aplikácie, ktoré však nevedú k strate údajov;</w:t>
      </w:r>
    </w:p>
    <w:p w14:paraId="44C98821" w14:textId="77777777" w:rsidR="00B55EE4" w:rsidRDefault="00B55EE4" w:rsidP="00B55EE4">
      <w:pPr>
        <w:pStyle w:val="Odstavecseseznamem"/>
        <w:numPr>
          <w:ilvl w:val="0"/>
          <w:numId w:val="12"/>
        </w:numPr>
        <w:jc w:val="both"/>
      </w:pPr>
      <w:r>
        <w:t>vážne, ale predvídateľné zlyhanie systému;</w:t>
      </w:r>
    </w:p>
    <w:p w14:paraId="0278369B" w14:textId="77777777" w:rsidR="00B55EE4" w:rsidRDefault="00B55EE4" w:rsidP="00B55EE4">
      <w:pPr>
        <w:pStyle w:val="Odstavecseseznamem"/>
        <w:numPr>
          <w:ilvl w:val="0"/>
          <w:numId w:val="12"/>
        </w:numPr>
        <w:jc w:val="both"/>
      </w:pPr>
      <w:r>
        <w:t>značná degradácia výkonových parametrov systému.</w:t>
      </w:r>
    </w:p>
    <w:p w14:paraId="58D378E7" w14:textId="77777777" w:rsidR="00B55EE4" w:rsidRDefault="00B55EE4" w:rsidP="00B55EE4">
      <w:pPr>
        <w:pStyle w:val="Odstavecseseznamem"/>
        <w:ind w:left="1065"/>
        <w:jc w:val="both"/>
      </w:pPr>
    </w:p>
    <w:p w14:paraId="43D21049" w14:textId="77777777" w:rsidR="00B55EE4" w:rsidRDefault="00B55EE4" w:rsidP="00B55EE4">
      <w:pPr>
        <w:pStyle w:val="Odstavecseseznamem"/>
        <w:numPr>
          <w:ilvl w:val="1"/>
          <w:numId w:val="11"/>
        </w:numPr>
        <w:ind w:left="426"/>
        <w:jc w:val="both"/>
      </w:pPr>
      <w:r>
        <w:rPr>
          <w:b/>
          <w:bCs/>
        </w:rPr>
        <w:t xml:space="preserve">Ostatná </w:t>
      </w:r>
      <w:proofErr w:type="spellStart"/>
      <w:r>
        <w:rPr>
          <w:b/>
          <w:bCs/>
        </w:rPr>
        <w:t>vada</w:t>
      </w:r>
      <w:proofErr w:type="spellEnd"/>
      <w:r>
        <w:rPr>
          <w:b/>
          <w:bCs/>
        </w:rPr>
        <w:t xml:space="preserve"> </w:t>
      </w:r>
      <w:r>
        <w:t xml:space="preserve">je taká chyba, ktorá síce neobmedzuje bežnú prevádzku Objednávateľa svojou povahou, ale spôsobuje alebo môže spôsobiť používateľský </w:t>
      </w:r>
      <w:proofErr w:type="spellStart"/>
      <w:r>
        <w:t>diskomfort</w:t>
      </w:r>
      <w:proofErr w:type="spellEnd"/>
      <w:r>
        <w:t>, ktorý je v rozpore s technickou špecifikáciou obsluhy celého systému alebo používateľského prostredia.</w:t>
      </w:r>
    </w:p>
    <w:p w14:paraId="6CC78D3E" w14:textId="77777777" w:rsidR="00B55EE4" w:rsidRDefault="00B55EE4" w:rsidP="00B55EE4">
      <w:pPr>
        <w:pStyle w:val="Odstavecseseznamem"/>
        <w:ind w:left="426"/>
        <w:jc w:val="both"/>
      </w:pPr>
      <w:r>
        <w:t xml:space="preserve">Niektoré príklady následkov Ostatnej </w:t>
      </w:r>
      <w:proofErr w:type="spellStart"/>
      <w:r>
        <w:t>vady</w:t>
      </w:r>
      <w:proofErr w:type="spellEnd"/>
      <w:r>
        <w:t xml:space="preserve">: </w:t>
      </w:r>
    </w:p>
    <w:p w14:paraId="3E8283BA" w14:textId="77777777" w:rsidR="00B55EE4" w:rsidRDefault="00B55EE4" w:rsidP="00B55EE4">
      <w:pPr>
        <w:pStyle w:val="Odstavecseseznamem"/>
        <w:numPr>
          <w:ilvl w:val="0"/>
          <w:numId w:val="13"/>
        </w:numPr>
        <w:jc w:val="both"/>
      </w:pPr>
      <w:r>
        <w:t>chyby s obmedzeným, avšak nie priamym vplyvom na výkon a funkčnosť aplikácie;</w:t>
      </w:r>
    </w:p>
    <w:p w14:paraId="30044852" w14:textId="77777777" w:rsidR="00B55EE4" w:rsidRDefault="00B55EE4" w:rsidP="00B55EE4">
      <w:pPr>
        <w:pStyle w:val="Odstavecseseznamem"/>
        <w:numPr>
          <w:ilvl w:val="0"/>
          <w:numId w:val="13"/>
        </w:numPr>
        <w:jc w:val="both"/>
      </w:pPr>
      <w:r>
        <w:t xml:space="preserve">chybná funkčnosť s obmedzeným dopadom; </w:t>
      </w:r>
    </w:p>
    <w:p w14:paraId="2F572BC9" w14:textId="77777777" w:rsidR="00B55EE4" w:rsidRDefault="00B55EE4" w:rsidP="00B55EE4">
      <w:pPr>
        <w:pStyle w:val="Odstavecseseznamem"/>
        <w:numPr>
          <w:ilvl w:val="0"/>
          <w:numId w:val="12"/>
        </w:numPr>
        <w:jc w:val="both"/>
      </w:pPr>
      <w:r>
        <w:t>otázky na výkon systému.</w:t>
      </w:r>
    </w:p>
    <w:p w14:paraId="3E378820" w14:textId="77777777" w:rsidR="00B55EE4" w:rsidRDefault="00B55EE4" w:rsidP="00B55EE4">
      <w:pPr>
        <w:pStyle w:val="Odstavecseseznamem"/>
        <w:ind w:left="1065"/>
        <w:jc w:val="both"/>
      </w:pPr>
      <w:r>
        <w:t xml:space="preserve"> </w:t>
      </w:r>
    </w:p>
    <w:p w14:paraId="736DFFC0" w14:textId="77777777" w:rsidR="00B55EE4" w:rsidRDefault="00B55EE4" w:rsidP="00B55EE4">
      <w:pPr>
        <w:pStyle w:val="Odstavecseseznamem"/>
        <w:numPr>
          <w:ilvl w:val="1"/>
          <w:numId w:val="11"/>
        </w:numPr>
        <w:ind w:left="426"/>
        <w:jc w:val="both"/>
      </w:pPr>
      <w:r>
        <w:t xml:space="preserve">Objednávateľ je oprávnený a povinný nahlásiť a zadokumentovať vzniknutú </w:t>
      </w:r>
      <w:proofErr w:type="spellStart"/>
      <w:r>
        <w:t>Vadu</w:t>
      </w:r>
      <w:proofErr w:type="spellEnd"/>
      <w:r>
        <w:t xml:space="preserve"> nižšie uvedeným spôsobom.</w:t>
      </w:r>
    </w:p>
    <w:p w14:paraId="5DF95791" w14:textId="77777777" w:rsidR="00B55EE4" w:rsidRDefault="00B55EE4" w:rsidP="00B55EE4">
      <w:pPr>
        <w:pStyle w:val="Odstavecseseznamem"/>
        <w:spacing w:after="0"/>
        <w:ind w:left="360"/>
        <w:jc w:val="both"/>
      </w:pPr>
    </w:p>
    <w:p w14:paraId="41A14864" w14:textId="53BE9025" w:rsidR="00B55EE4" w:rsidRDefault="00B55EE4" w:rsidP="00B55EE4">
      <w:pPr>
        <w:pStyle w:val="Odstavecseseznamem"/>
        <w:numPr>
          <w:ilvl w:val="1"/>
          <w:numId w:val="11"/>
        </w:numPr>
        <w:ind w:left="426"/>
        <w:jc w:val="both"/>
      </w:pPr>
      <w:proofErr w:type="spellStart"/>
      <w:r>
        <w:t>Vadu</w:t>
      </w:r>
      <w:proofErr w:type="spellEnd"/>
      <w:r>
        <w:t xml:space="preserve"> je Objednávateľ povinný nahlásiť prostredníctvom Oprávnenej osoby Objednávateľa písomne na emailovú adresu </w:t>
      </w:r>
      <w:bookmarkStart w:id="1" w:name="_GoBack"/>
      <w:bookmarkEnd w:id="1"/>
      <w:r>
        <w:t xml:space="preserve">ktorá slúži na komunikáciu medzi Oprávnenou osobou Objednávateľa a Servisnými technikmi Poskytovateľa, ktorí </w:t>
      </w:r>
      <w:proofErr w:type="spellStart"/>
      <w:r>
        <w:t>Vady</w:t>
      </w:r>
      <w:proofErr w:type="spellEnd"/>
      <w:r>
        <w:t xml:space="preserve"> odstraňujú.</w:t>
      </w:r>
    </w:p>
    <w:p w14:paraId="636301B0" w14:textId="77777777" w:rsidR="00B55EE4" w:rsidRDefault="00B55EE4" w:rsidP="00B55EE4">
      <w:pPr>
        <w:pStyle w:val="Odstavecseseznamem"/>
        <w:numPr>
          <w:ilvl w:val="1"/>
          <w:numId w:val="11"/>
        </w:numPr>
        <w:ind w:left="426"/>
        <w:jc w:val="both"/>
      </w:pPr>
      <w:r>
        <w:rPr>
          <w:b/>
          <w:bCs/>
        </w:rPr>
        <w:t>Zoznam Oprávnených osôb</w:t>
      </w:r>
      <w:r>
        <w:t xml:space="preserve"> Objednávateľa, ktoré majú právo nahlasovať </w:t>
      </w:r>
      <w:proofErr w:type="spellStart"/>
      <w:r>
        <w:t>Vady</w:t>
      </w:r>
      <w:proofErr w:type="spellEnd"/>
      <w:r>
        <w:t>, je:</w:t>
      </w:r>
    </w:p>
    <w:p w14:paraId="6844A336" w14:textId="77777777" w:rsidR="00B55EE4" w:rsidRDefault="00B55EE4" w:rsidP="00B55EE4">
      <w:pPr>
        <w:pStyle w:val="Odstavecseseznamem"/>
        <w:ind w:left="426"/>
        <w:jc w:val="both"/>
      </w:pPr>
    </w:p>
    <w:tbl>
      <w:tblPr>
        <w:tblStyle w:val="GridTable1LightAccent3"/>
        <w:tblW w:w="9062" w:type="dxa"/>
        <w:tblLook w:val="04A0" w:firstRow="1" w:lastRow="0" w:firstColumn="1" w:lastColumn="0" w:noHBand="0" w:noVBand="1"/>
      </w:tblPr>
      <w:tblGrid>
        <w:gridCol w:w="3020"/>
        <w:gridCol w:w="3021"/>
        <w:gridCol w:w="3021"/>
      </w:tblGrid>
      <w:tr w:rsidR="00B55EE4" w14:paraId="09A91F6B" w14:textId="77777777" w:rsidTr="009C2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bottom w:val="single" w:sz="12" w:space="0" w:color="C9C9C9"/>
            </w:tcBorders>
            <w:shd w:val="clear" w:color="auto" w:fill="auto"/>
            <w:tcMar>
              <w:left w:w="108" w:type="dxa"/>
            </w:tcMar>
          </w:tcPr>
          <w:p w14:paraId="2C364C80" w14:textId="557CFD87" w:rsidR="00B55EE4" w:rsidRDefault="00B55EE4" w:rsidP="009C285E">
            <w:pPr>
              <w:pStyle w:val="Odstavecseseznamem"/>
              <w:spacing w:after="0"/>
              <w:ind w:left="0"/>
              <w:jc w:val="both"/>
            </w:pPr>
          </w:p>
        </w:tc>
        <w:tc>
          <w:tcPr>
            <w:tcW w:w="3021" w:type="dxa"/>
            <w:tcBorders>
              <w:bottom w:val="single" w:sz="12" w:space="0" w:color="C9C9C9"/>
            </w:tcBorders>
            <w:shd w:val="clear" w:color="auto" w:fill="auto"/>
            <w:tcMar>
              <w:left w:w="108" w:type="dxa"/>
            </w:tcMar>
          </w:tcPr>
          <w:p w14:paraId="3A2183F8" w14:textId="00AF05C5" w:rsidR="00B55EE4" w:rsidRDefault="00B55EE4" w:rsidP="009C285E">
            <w:pPr>
              <w:pStyle w:val="Odstavecseseznamem"/>
              <w:spacing w:after="0"/>
              <w:ind w:left="0"/>
              <w:jc w:val="both"/>
              <w:cnfStyle w:val="100000000000" w:firstRow="1" w:lastRow="0" w:firstColumn="0" w:lastColumn="0" w:oddVBand="0" w:evenVBand="0" w:oddHBand="0" w:evenHBand="0" w:firstRowFirstColumn="0" w:firstRowLastColumn="0" w:lastRowFirstColumn="0" w:lastRowLastColumn="0"/>
            </w:pPr>
          </w:p>
        </w:tc>
        <w:tc>
          <w:tcPr>
            <w:tcW w:w="3021" w:type="dxa"/>
            <w:tcBorders>
              <w:bottom w:val="single" w:sz="12" w:space="0" w:color="C9C9C9"/>
            </w:tcBorders>
            <w:shd w:val="clear" w:color="auto" w:fill="auto"/>
            <w:tcMar>
              <w:left w:w="108" w:type="dxa"/>
            </w:tcMar>
          </w:tcPr>
          <w:p w14:paraId="32D0A726" w14:textId="3EEC0CAC" w:rsidR="00B55EE4" w:rsidRDefault="00B55EE4" w:rsidP="009C285E">
            <w:pPr>
              <w:pStyle w:val="Odstavecseseznamem"/>
              <w:spacing w:after="0"/>
              <w:ind w:left="0"/>
              <w:jc w:val="both"/>
              <w:cnfStyle w:val="100000000000" w:firstRow="1" w:lastRow="0" w:firstColumn="0" w:lastColumn="0" w:oddVBand="0" w:evenVBand="0" w:oddHBand="0" w:evenHBand="0" w:firstRowFirstColumn="0" w:firstRowLastColumn="0" w:lastRowFirstColumn="0" w:lastRowLastColumn="0"/>
            </w:pPr>
          </w:p>
        </w:tc>
      </w:tr>
      <w:tr w:rsidR="00B55EE4" w14:paraId="30D18204" w14:textId="77777777" w:rsidTr="009C285E">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382711B4" w14:textId="5777802A" w:rsidR="00B55EE4" w:rsidRDefault="00B55EE4" w:rsidP="009C285E">
            <w:pPr>
              <w:pStyle w:val="Odstavecseseznamem"/>
              <w:spacing w:after="0"/>
              <w:ind w:left="0"/>
              <w:jc w:val="both"/>
            </w:pPr>
          </w:p>
        </w:tc>
        <w:tc>
          <w:tcPr>
            <w:tcW w:w="3021" w:type="dxa"/>
            <w:shd w:val="clear" w:color="auto" w:fill="auto"/>
            <w:tcMar>
              <w:left w:w="108" w:type="dxa"/>
            </w:tcMar>
          </w:tcPr>
          <w:p w14:paraId="4DDF0B52" w14:textId="0AB1863D"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c>
          <w:tcPr>
            <w:tcW w:w="3021" w:type="dxa"/>
            <w:shd w:val="clear" w:color="auto" w:fill="auto"/>
            <w:tcMar>
              <w:left w:w="108" w:type="dxa"/>
            </w:tcMar>
          </w:tcPr>
          <w:p w14:paraId="00C215F8" w14:textId="37170F44"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r>
      <w:tr w:rsidR="00B55EE4" w14:paraId="60ACE2F7" w14:textId="77777777" w:rsidTr="009C285E">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7075B2C3" w14:textId="448050FB" w:rsidR="00B55EE4" w:rsidRDefault="00B55EE4" w:rsidP="009C285E">
            <w:pPr>
              <w:pStyle w:val="Odstavecseseznamem"/>
              <w:spacing w:after="0"/>
              <w:ind w:left="0"/>
              <w:jc w:val="both"/>
            </w:pPr>
          </w:p>
        </w:tc>
        <w:tc>
          <w:tcPr>
            <w:tcW w:w="3021" w:type="dxa"/>
            <w:shd w:val="clear" w:color="auto" w:fill="auto"/>
            <w:tcMar>
              <w:left w:w="108" w:type="dxa"/>
            </w:tcMar>
          </w:tcPr>
          <w:p w14:paraId="6E57C9FA" w14:textId="31DE9ED6"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c>
          <w:tcPr>
            <w:tcW w:w="3021" w:type="dxa"/>
            <w:shd w:val="clear" w:color="auto" w:fill="auto"/>
            <w:tcMar>
              <w:left w:w="108" w:type="dxa"/>
            </w:tcMar>
          </w:tcPr>
          <w:p w14:paraId="38EC6A0A" w14:textId="1E7CB954"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r>
      <w:tr w:rsidR="00B55EE4" w14:paraId="34354C62" w14:textId="77777777" w:rsidTr="009C285E">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638BF5B2" w14:textId="0BD7B9E4" w:rsidR="00B55EE4" w:rsidRDefault="00B55EE4" w:rsidP="009C285E">
            <w:pPr>
              <w:pStyle w:val="Odstavecseseznamem"/>
              <w:spacing w:after="0"/>
              <w:ind w:left="0"/>
              <w:jc w:val="both"/>
            </w:pPr>
          </w:p>
        </w:tc>
        <w:tc>
          <w:tcPr>
            <w:tcW w:w="3021" w:type="dxa"/>
            <w:shd w:val="clear" w:color="auto" w:fill="auto"/>
            <w:tcMar>
              <w:left w:w="108" w:type="dxa"/>
            </w:tcMar>
          </w:tcPr>
          <w:p w14:paraId="0B5D90F3" w14:textId="2FC74CBD"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c>
          <w:tcPr>
            <w:tcW w:w="3021" w:type="dxa"/>
            <w:shd w:val="clear" w:color="auto" w:fill="auto"/>
            <w:tcMar>
              <w:left w:w="108" w:type="dxa"/>
            </w:tcMar>
          </w:tcPr>
          <w:p w14:paraId="1F8E613E" w14:textId="09AF93D7" w:rsidR="00B55EE4" w:rsidRDefault="00B55EE4" w:rsidP="009C285E">
            <w:pPr>
              <w:pStyle w:val="Odstavecseseznamem"/>
              <w:spacing w:after="0"/>
              <w:ind w:left="0"/>
              <w:jc w:val="both"/>
              <w:cnfStyle w:val="000000000000" w:firstRow="0" w:lastRow="0" w:firstColumn="0" w:lastColumn="0" w:oddVBand="0" w:evenVBand="0" w:oddHBand="0" w:evenHBand="0" w:firstRowFirstColumn="0" w:firstRowLastColumn="0" w:lastRowFirstColumn="0" w:lastRowLastColumn="0"/>
            </w:pPr>
          </w:p>
        </w:tc>
      </w:tr>
    </w:tbl>
    <w:p w14:paraId="7BC022AA" w14:textId="77777777" w:rsidR="00B55EE4" w:rsidRDefault="00B55EE4" w:rsidP="00B55EE4">
      <w:pPr>
        <w:pStyle w:val="Odstavecseseznamem"/>
        <w:ind w:left="426"/>
        <w:jc w:val="both"/>
      </w:pPr>
      <w:r>
        <w:t xml:space="preserve"> </w:t>
      </w:r>
    </w:p>
    <w:p w14:paraId="14FED683" w14:textId="77777777" w:rsidR="00B55EE4" w:rsidRDefault="00B55EE4" w:rsidP="00B55EE4">
      <w:pPr>
        <w:pStyle w:val="Odstavecseseznamem"/>
        <w:spacing w:after="0"/>
        <w:ind w:left="360"/>
        <w:jc w:val="both"/>
      </w:pPr>
    </w:p>
    <w:p w14:paraId="0F7811B8" w14:textId="77777777" w:rsidR="00B55EE4" w:rsidRDefault="00B55EE4" w:rsidP="00B55EE4">
      <w:pPr>
        <w:pStyle w:val="Odstavecseseznamem"/>
        <w:numPr>
          <w:ilvl w:val="1"/>
          <w:numId w:val="11"/>
        </w:numPr>
        <w:ind w:left="426"/>
        <w:jc w:val="both"/>
      </w:pPr>
      <w:r>
        <w:rPr>
          <w:b/>
          <w:bCs/>
        </w:rPr>
        <w:t>Servisný technik</w:t>
      </w:r>
      <w:r>
        <w:t xml:space="preserve"> je oprávnená osoba Poskytovateľa pre riešenie </w:t>
      </w:r>
      <w:proofErr w:type="spellStart"/>
      <w:r>
        <w:t>Vady</w:t>
      </w:r>
      <w:proofErr w:type="spellEnd"/>
      <w:r>
        <w:t xml:space="preserve"> poskytovaním odborných konzultácií alebo odstraňovaním problémov. </w:t>
      </w:r>
    </w:p>
    <w:p w14:paraId="0C4C872E" w14:textId="77777777" w:rsidR="00B55EE4" w:rsidRDefault="00B55EE4" w:rsidP="00B55EE4">
      <w:pPr>
        <w:pStyle w:val="Odstavecseseznamem"/>
      </w:pPr>
    </w:p>
    <w:p w14:paraId="6EEAA030" w14:textId="77777777" w:rsidR="00B55EE4" w:rsidRDefault="00B55EE4" w:rsidP="00B55EE4">
      <w:pPr>
        <w:pStyle w:val="Odstavecseseznamem"/>
        <w:numPr>
          <w:ilvl w:val="1"/>
          <w:numId w:val="11"/>
        </w:numPr>
        <w:ind w:left="426"/>
        <w:jc w:val="both"/>
      </w:pPr>
      <w:r>
        <w:rPr>
          <w:b/>
          <w:bCs/>
        </w:rPr>
        <w:t>Servisný zásah</w:t>
      </w:r>
      <w:r>
        <w:t xml:space="preserve"> je činnosť Poskytovateľa vedúca k lokalizácii </w:t>
      </w:r>
      <w:proofErr w:type="spellStart"/>
      <w:r>
        <w:t>Vady</w:t>
      </w:r>
      <w:proofErr w:type="spellEnd"/>
      <w:r>
        <w:t xml:space="preserve"> a jej odstráneniu alebo spracovaniu pokynov pre správanie sa Objednávateľa v súvislosti s možným výskytom lokalizovanej </w:t>
      </w:r>
      <w:proofErr w:type="spellStart"/>
      <w:r>
        <w:t>vady</w:t>
      </w:r>
      <w:proofErr w:type="spellEnd"/>
      <w:r>
        <w:t>. Lokalizácia prebehne spôsobom, ktorý Poskytovateľ uzná za vhodný, a to buď konzultáciou po telefóne alebo cez emailovú komunikáciu, diagnostikou cez vzdialený prístup, alebo osobnou návštevou zamestnanca alebo Servisného technika Poskytovateľa v priestoroch Objednávateľa.</w:t>
      </w:r>
    </w:p>
    <w:p w14:paraId="3A103F48" w14:textId="77777777" w:rsidR="00B55EE4" w:rsidRDefault="00B55EE4" w:rsidP="00B55EE4">
      <w:pPr>
        <w:pStyle w:val="Odstavecseseznamem"/>
      </w:pPr>
    </w:p>
    <w:p w14:paraId="1C589216" w14:textId="77777777" w:rsidR="00B55EE4" w:rsidRDefault="00B55EE4" w:rsidP="00B55EE4">
      <w:pPr>
        <w:pStyle w:val="Odstavecseseznamem"/>
        <w:numPr>
          <w:ilvl w:val="1"/>
          <w:numId w:val="11"/>
        </w:numPr>
        <w:ind w:left="426"/>
        <w:jc w:val="both"/>
      </w:pPr>
      <w:proofErr w:type="spellStart"/>
      <w:r>
        <w:rPr>
          <w:b/>
          <w:bCs/>
        </w:rPr>
        <w:t>Response</w:t>
      </w:r>
      <w:proofErr w:type="spellEnd"/>
      <w:r>
        <w:rPr>
          <w:b/>
          <w:bCs/>
        </w:rPr>
        <w:t xml:space="preserve"> </w:t>
      </w:r>
      <w:proofErr w:type="spellStart"/>
      <w:r>
        <w:rPr>
          <w:b/>
          <w:bCs/>
        </w:rPr>
        <w:t>Time</w:t>
      </w:r>
      <w:proofErr w:type="spellEnd"/>
      <w:r>
        <w:rPr>
          <w:b/>
          <w:bCs/>
        </w:rPr>
        <w:t xml:space="preserve"> (čas nástupu na odstránenie </w:t>
      </w:r>
      <w:proofErr w:type="spellStart"/>
      <w:r>
        <w:rPr>
          <w:b/>
          <w:bCs/>
        </w:rPr>
        <w:t>Vady</w:t>
      </w:r>
      <w:proofErr w:type="spellEnd"/>
      <w:r>
        <w:rPr>
          <w:b/>
          <w:bCs/>
        </w:rPr>
        <w:t xml:space="preserve">) </w:t>
      </w:r>
      <w:r>
        <w:t xml:space="preserve">označuje časový interval od prijatia telefonického hovoru alebo e-mailovej žiadosti Oprávnenej osoby Poskytovateľa a začatia prác na diagnostike </w:t>
      </w:r>
      <w:proofErr w:type="spellStart"/>
      <w:r>
        <w:t>Vady</w:t>
      </w:r>
      <w:proofErr w:type="spellEnd"/>
      <w:r>
        <w:t xml:space="preserve"> vzdialeným prístupom od nahlásenia </w:t>
      </w:r>
      <w:proofErr w:type="spellStart"/>
      <w:r>
        <w:t>Vady</w:t>
      </w:r>
      <w:proofErr w:type="spellEnd"/>
      <w:r>
        <w:t xml:space="preserve"> do časového rámca stanoveného Zmluvou.</w:t>
      </w:r>
    </w:p>
    <w:p w14:paraId="0CE9232C" w14:textId="77777777" w:rsidR="00B55EE4" w:rsidRDefault="00B55EE4" w:rsidP="00B55EE4">
      <w:pPr>
        <w:pStyle w:val="Odstavecseseznamem"/>
      </w:pPr>
    </w:p>
    <w:p w14:paraId="66F705E8" w14:textId="77777777" w:rsidR="00B55EE4" w:rsidRDefault="00B55EE4" w:rsidP="00B55EE4">
      <w:pPr>
        <w:pStyle w:val="Odstavecseseznamem"/>
        <w:numPr>
          <w:ilvl w:val="1"/>
          <w:numId w:val="11"/>
        </w:numPr>
        <w:ind w:left="426"/>
        <w:jc w:val="both"/>
      </w:pPr>
      <w:proofErr w:type="spellStart"/>
      <w:r>
        <w:rPr>
          <w:b/>
          <w:bCs/>
        </w:rPr>
        <w:t>Repair</w:t>
      </w:r>
      <w:proofErr w:type="spellEnd"/>
      <w:r>
        <w:rPr>
          <w:b/>
          <w:bCs/>
        </w:rPr>
        <w:t xml:space="preserve"> </w:t>
      </w:r>
      <w:proofErr w:type="spellStart"/>
      <w:r>
        <w:rPr>
          <w:b/>
          <w:bCs/>
        </w:rPr>
        <w:t>Time</w:t>
      </w:r>
      <w:proofErr w:type="spellEnd"/>
      <w:r>
        <w:rPr>
          <w:b/>
          <w:bCs/>
        </w:rPr>
        <w:t xml:space="preserve"> (čas odstránenia </w:t>
      </w:r>
      <w:proofErr w:type="spellStart"/>
      <w:r>
        <w:rPr>
          <w:b/>
          <w:bCs/>
        </w:rPr>
        <w:t>Vady</w:t>
      </w:r>
      <w:proofErr w:type="spellEnd"/>
      <w:r>
        <w:rPr>
          <w:b/>
          <w:bCs/>
        </w:rPr>
        <w:t>)</w:t>
      </w:r>
      <w:r>
        <w:t xml:space="preserve"> - označuje časový interval na buď úplné odstránenie </w:t>
      </w:r>
      <w:proofErr w:type="spellStart"/>
      <w:r>
        <w:t>Vady</w:t>
      </w:r>
      <w:proofErr w:type="spellEnd"/>
      <w:r>
        <w:t xml:space="preserve">, alebo jej elimináciu formou dočasného funkčného riešenia resp. </w:t>
      </w:r>
      <w:proofErr w:type="spellStart"/>
      <w:r>
        <w:t>prekvalifikovanie</w:t>
      </w:r>
      <w:proofErr w:type="spellEnd"/>
      <w:r>
        <w:t xml:space="preserve"> tejto </w:t>
      </w:r>
      <w:proofErr w:type="spellStart"/>
      <w:r>
        <w:t>Vady</w:t>
      </w:r>
      <w:proofErr w:type="spellEnd"/>
      <w:r>
        <w:t xml:space="preserve"> do nižšej kategórie </w:t>
      </w:r>
      <w:proofErr w:type="spellStart"/>
      <w:r>
        <w:t>Vady</w:t>
      </w:r>
      <w:proofErr w:type="spellEnd"/>
      <w:r>
        <w:t>.</w:t>
      </w:r>
    </w:p>
    <w:p w14:paraId="2DAA7497" w14:textId="77777777" w:rsidR="00B55EE4" w:rsidRDefault="00B55EE4" w:rsidP="00B55EE4">
      <w:pPr>
        <w:pStyle w:val="Odstavecseseznamem"/>
      </w:pPr>
    </w:p>
    <w:p w14:paraId="7F47A07D" w14:textId="77777777" w:rsidR="00B55EE4" w:rsidRDefault="00B55EE4" w:rsidP="00B55EE4">
      <w:pPr>
        <w:pStyle w:val="Odstavecseseznamem"/>
        <w:numPr>
          <w:ilvl w:val="1"/>
          <w:numId w:val="11"/>
        </w:numPr>
        <w:ind w:left="426"/>
        <w:jc w:val="both"/>
      </w:pPr>
      <w:r>
        <w:t xml:space="preserve">Na odstránení </w:t>
      </w:r>
      <w:proofErr w:type="spellStart"/>
      <w:r>
        <w:t>Vady</w:t>
      </w:r>
      <w:proofErr w:type="spellEnd"/>
      <w:r>
        <w:t xml:space="preserve"> spolupracuje Servisný technik s Oprávnenou osobou Objednávateľa. Servisný technik analyzuje vzniknutú situáciu a bude hľadať riešenia smerujúce k odstráneniu </w:t>
      </w:r>
      <w:proofErr w:type="spellStart"/>
      <w:r>
        <w:t>Vady</w:t>
      </w:r>
      <w:proofErr w:type="spellEnd"/>
      <w:r>
        <w:t xml:space="preserve">. Nahlásenú </w:t>
      </w:r>
      <w:proofErr w:type="spellStart"/>
      <w:r>
        <w:t>Vadu</w:t>
      </w:r>
      <w:proofErr w:type="spellEnd"/>
      <w:r>
        <w:t xml:space="preserve"> Servisný technik odstráni prostredníctvom zabezpečeného vzdialeného prístupu, prípadne s pomocou Oprávnenej osoby Objednávateľa, pokiaľ sa s Oprávnenou osobou Objednávateľa nedohodne na inom postupe. Ak problém nebude možné odstrániť prostredníctvom zabezpečeného vzdialeného prístupu, Servisný technik bude pokračovať v odstraňovaní problémov fyzickou prítomnosťou na mieste, kde vznikol problém.</w:t>
      </w:r>
    </w:p>
    <w:p w14:paraId="79E4E13B" w14:textId="77777777" w:rsidR="00B55EE4" w:rsidRDefault="00B55EE4" w:rsidP="00B55EE4">
      <w:pPr>
        <w:pStyle w:val="Odstavecseseznamem"/>
      </w:pPr>
    </w:p>
    <w:p w14:paraId="5CA17E28" w14:textId="77777777" w:rsidR="00B55EE4" w:rsidRDefault="00B55EE4" w:rsidP="00B55EE4">
      <w:pPr>
        <w:pStyle w:val="Odstavecseseznamem"/>
        <w:numPr>
          <w:ilvl w:val="1"/>
          <w:numId w:val="11"/>
        </w:numPr>
        <w:ind w:left="426"/>
        <w:jc w:val="both"/>
      </w:pPr>
      <w:r>
        <w:t xml:space="preserve">O konečnom riešení ohlásenej </w:t>
      </w:r>
      <w:proofErr w:type="spellStart"/>
      <w:r>
        <w:t>Vady</w:t>
      </w:r>
      <w:proofErr w:type="spellEnd"/>
      <w:r>
        <w:t xml:space="preserve"> rozhoduje Poskytovateľ. Čas do zásahu u Objednávateľa alebo čas od nahlásenia </w:t>
      </w:r>
      <w:proofErr w:type="spellStart"/>
      <w:r>
        <w:t>Vady</w:t>
      </w:r>
      <w:proofErr w:type="spellEnd"/>
      <w:r>
        <w:t xml:space="preserve"> dohodnutým spôsobom po opravu sa môže líšiť v prípade servisných požiadaviek ohlásených mimo časového okna pokrytia. V prípade, že nie je dostupná diaľková diagnostika, Servisný technik zavolá kontaktnú osobu Objednávateľa zodpovednú za súčinnosť pri odstraňovaní </w:t>
      </w:r>
      <w:proofErr w:type="spellStart"/>
      <w:r>
        <w:t>Vád</w:t>
      </w:r>
      <w:proofErr w:type="spellEnd"/>
      <w:r>
        <w:t xml:space="preserve"> a až po potvrdení dostupnosti linky pre diaľkovú diagnostiku začína plynúť čas nástupu na odstránenie príslušnej </w:t>
      </w:r>
      <w:proofErr w:type="spellStart"/>
      <w:r>
        <w:t>Vady</w:t>
      </w:r>
      <w:proofErr w:type="spellEnd"/>
      <w:r>
        <w:t>.</w:t>
      </w:r>
    </w:p>
    <w:p w14:paraId="3A71A9C3" w14:textId="77777777" w:rsidR="00B55EE4" w:rsidRDefault="00B55EE4" w:rsidP="00B55EE4">
      <w:pPr>
        <w:pStyle w:val="Odstavecseseznamem"/>
      </w:pPr>
    </w:p>
    <w:p w14:paraId="358A6087" w14:textId="77777777" w:rsidR="00B55EE4" w:rsidRDefault="00B55EE4" w:rsidP="00B55EE4">
      <w:pPr>
        <w:pStyle w:val="Odstavecseseznamem"/>
        <w:numPr>
          <w:ilvl w:val="1"/>
          <w:numId w:val="11"/>
        </w:numPr>
        <w:ind w:left="426"/>
        <w:jc w:val="both"/>
      </w:pPr>
      <w:r>
        <w:t xml:space="preserve">Po odstránení </w:t>
      </w:r>
      <w:proofErr w:type="spellStart"/>
      <w:r>
        <w:t>Vady</w:t>
      </w:r>
      <w:proofErr w:type="spellEnd"/>
      <w:r>
        <w:t xml:space="preserve"> Servisný technik požiada Oprávnenú osobu Objednávateľa o akceptáciu odstránenia </w:t>
      </w:r>
      <w:proofErr w:type="spellStart"/>
      <w:r>
        <w:t>Vady</w:t>
      </w:r>
      <w:proofErr w:type="spellEnd"/>
      <w:r>
        <w:t>.</w:t>
      </w:r>
    </w:p>
    <w:p w14:paraId="18A5E7D9" w14:textId="77777777" w:rsidR="00B55EE4" w:rsidRDefault="00B55EE4" w:rsidP="00B55EE4">
      <w:pPr>
        <w:pStyle w:val="Odstavecseseznamem"/>
      </w:pPr>
    </w:p>
    <w:p w14:paraId="2FBC2A47" w14:textId="77777777" w:rsidR="00B55EE4" w:rsidRDefault="00B55EE4" w:rsidP="00B55EE4">
      <w:pPr>
        <w:pStyle w:val="Odstavecseseznamem"/>
        <w:numPr>
          <w:ilvl w:val="1"/>
          <w:numId w:val="11"/>
        </w:numPr>
        <w:ind w:left="426"/>
        <w:jc w:val="both"/>
      </w:pPr>
      <w:r>
        <w:t>Poskytovateľ nie je zodpovedný za Programové vybavenie a aplikačné dáta Objednávateľa. Objednávateľ je povinný zabezpečiť vhodnú zálohu Programového vybavenia a aplikačných dát.</w:t>
      </w:r>
    </w:p>
    <w:p w14:paraId="60AEB358" w14:textId="77777777" w:rsidR="00B55EE4" w:rsidRDefault="00B55EE4" w:rsidP="00B55EE4">
      <w:pPr>
        <w:jc w:val="both"/>
      </w:pPr>
    </w:p>
    <w:p w14:paraId="292310BC" w14:textId="77777777" w:rsidR="00B55EE4" w:rsidRDefault="00B55EE4" w:rsidP="00B55EE4">
      <w:pPr>
        <w:jc w:val="both"/>
      </w:pPr>
    </w:p>
    <w:p w14:paraId="4145C700" w14:textId="77777777" w:rsidR="00B55EE4" w:rsidRDefault="00B55EE4" w:rsidP="00B55EE4">
      <w:pPr>
        <w:spacing w:after="0"/>
        <w:jc w:val="center"/>
        <w:rPr>
          <w:b/>
          <w:bCs/>
        </w:rPr>
      </w:pPr>
      <w:r>
        <w:rPr>
          <w:b/>
          <w:bCs/>
        </w:rPr>
        <w:lastRenderedPageBreak/>
        <w:t>Článok II</w:t>
      </w:r>
    </w:p>
    <w:p w14:paraId="2CF02883" w14:textId="77777777" w:rsidR="00B55EE4" w:rsidRDefault="00B55EE4" w:rsidP="00B55EE4">
      <w:pPr>
        <w:jc w:val="center"/>
        <w:rPr>
          <w:b/>
          <w:bCs/>
        </w:rPr>
      </w:pPr>
      <w:r>
        <w:rPr>
          <w:b/>
          <w:bCs/>
        </w:rPr>
        <w:t>Služby poskytované v rámci zmluvných výkonov</w:t>
      </w:r>
    </w:p>
    <w:p w14:paraId="144EF771" w14:textId="77777777" w:rsidR="00B55EE4" w:rsidRDefault="00B55EE4" w:rsidP="00B55EE4">
      <w:pPr>
        <w:jc w:val="both"/>
      </w:pPr>
    </w:p>
    <w:p w14:paraId="34777953" w14:textId="77777777" w:rsidR="00B55EE4" w:rsidRDefault="00B55EE4" w:rsidP="00B55EE4">
      <w:pPr>
        <w:pStyle w:val="Odstavecseseznamem"/>
        <w:numPr>
          <w:ilvl w:val="0"/>
          <w:numId w:val="14"/>
        </w:numPr>
        <w:jc w:val="both"/>
        <w:rPr>
          <w:b/>
          <w:bCs/>
          <w:vanish/>
        </w:rPr>
      </w:pPr>
    </w:p>
    <w:p w14:paraId="667645BC" w14:textId="77777777" w:rsidR="00B55EE4" w:rsidRDefault="00B55EE4" w:rsidP="00B55EE4">
      <w:pPr>
        <w:pStyle w:val="Odstavecseseznamem"/>
        <w:numPr>
          <w:ilvl w:val="0"/>
          <w:numId w:val="14"/>
        </w:numPr>
        <w:jc w:val="both"/>
        <w:rPr>
          <w:b/>
          <w:bCs/>
          <w:vanish/>
        </w:rPr>
      </w:pPr>
    </w:p>
    <w:p w14:paraId="625E1C4E" w14:textId="77777777" w:rsidR="00B55EE4" w:rsidRDefault="00B55EE4" w:rsidP="00B55EE4">
      <w:pPr>
        <w:pStyle w:val="Odstavecseseznamem"/>
        <w:numPr>
          <w:ilvl w:val="1"/>
          <w:numId w:val="14"/>
        </w:numPr>
        <w:ind w:left="426"/>
        <w:jc w:val="both"/>
        <w:rPr>
          <w:b/>
          <w:bCs/>
        </w:rPr>
      </w:pPr>
      <w:r>
        <w:rPr>
          <w:b/>
          <w:bCs/>
        </w:rPr>
        <w:t>Monitoring systému</w:t>
      </w:r>
    </w:p>
    <w:p w14:paraId="4F70C276" w14:textId="77777777" w:rsidR="00B55EE4" w:rsidRDefault="00B55EE4" w:rsidP="00B55EE4">
      <w:pPr>
        <w:jc w:val="both"/>
      </w:pPr>
      <w:r>
        <w:t xml:space="preserve">Poskytovateľ bude sledovať kľúčové parametre digitálneho repozitára, vrátane výkonu a dostupnosti. </w:t>
      </w:r>
      <w:r w:rsidRPr="00C023C2">
        <w:t>Na monitoring bude Poskytovateľ využívať systém zakúpený od tretej strany.</w:t>
      </w:r>
    </w:p>
    <w:p w14:paraId="33E118D0" w14:textId="77777777" w:rsidR="00B55EE4" w:rsidRDefault="00B55EE4" w:rsidP="00B55EE4">
      <w:pPr>
        <w:spacing w:after="0"/>
        <w:jc w:val="both"/>
      </w:pPr>
      <w:r>
        <w:t>V prípade zistenia potenciálnych problémov bude Poskytovateľ informovať Objednávateľa a predloží plán riešenia.</w:t>
      </w:r>
    </w:p>
    <w:p w14:paraId="5D81A546" w14:textId="77777777" w:rsidR="00B55EE4" w:rsidRDefault="00B55EE4" w:rsidP="00B55EE4">
      <w:pPr>
        <w:pStyle w:val="Odstavecseseznamem"/>
        <w:numPr>
          <w:ilvl w:val="1"/>
          <w:numId w:val="14"/>
        </w:numPr>
        <w:ind w:left="426"/>
        <w:jc w:val="both"/>
        <w:rPr>
          <w:b/>
          <w:bCs/>
        </w:rPr>
      </w:pPr>
      <w:r>
        <w:rPr>
          <w:b/>
          <w:bCs/>
        </w:rPr>
        <w:t>Zabezpečenie prevádzky systému</w:t>
      </w:r>
    </w:p>
    <w:p w14:paraId="51AE53BB" w14:textId="77777777" w:rsidR="00B55EE4" w:rsidRDefault="00B55EE4" w:rsidP="00B55EE4">
      <w:pPr>
        <w:jc w:val="both"/>
      </w:pPr>
      <w:r>
        <w:t>Poskytovateľ zabezpečí dostupnosť systému na úrovni dohodnutej SLA (</w:t>
      </w:r>
      <w:proofErr w:type="spellStart"/>
      <w:r>
        <w:t>Service</w:t>
      </w:r>
      <w:proofErr w:type="spellEnd"/>
      <w:r>
        <w:t xml:space="preserve"> </w:t>
      </w:r>
      <w:proofErr w:type="spellStart"/>
      <w:r>
        <w:t>Level</w:t>
      </w:r>
      <w:proofErr w:type="spellEnd"/>
      <w:r>
        <w:t xml:space="preserve"> </w:t>
      </w:r>
      <w:proofErr w:type="spellStart"/>
      <w:r>
        <w:t>Agreement</w:t>
      </w:r>
      <w:proofErr w:type="spellEnd"/>
      <w:r>
        <w:t>) a bude prijímať opatrenia potrebné na minimalizáciu výpadkov.</w:t>
      </w:r>
    </w:p>
    <w:p w14:paraId="27CF1CF4" w14:textId="77777777" w:rsidR="00B55EE4" w:rsidRDefault="00B55EE4" w:rsidP="00B55EE4">
      <w:pPr>
        <w:jc w:val="both"/>
      </w:pPr>
      <w:r>
        <w:t xml:space="preserve">Poskytovateľ sa zaväzuje vyvinúť maximálne úsilie na realizáciu požiadavky alebo odstránenie </w:t>
      </w:r>
      <w:proofErr w:type="spellStart"/>
      <w:r>
        <w:t>Vady</w:t>
      </w:r>
      <w:proofErr w:type="spellEnd"/>
      <w:r>
        <w:t xml:space="preserve"> Objektu poskytovaných Služieb čo najskôr. Maximálne časy nástupu na odstránenie </w:t>
      </w:r>
      <w:proofErr w:type="spellStart"/>
      <w:r>
        <w:t>Vady</w:t>
      </w:r>
      <w:proofErr w:type="spellEnd"/>
      <w:r>
        <w:t xml:space="preserve"> (</w:t>
      </w:r>
      <w:proofErr w:type="spellStart"/>
      <w:r>
        <w:t>Response</w:t>
      </w:r>
      <w:proofErr w:type="spellEnd"/>
      <w:r>
        <w:t xml:space="preserve"> </w:t>
      </w:r>
      <w:proofErr w:type="spellStart"/>
      <w:r>
        <w:t>Time</w:t>
      </w:r>
      <w:proofErr w:type="spellEnd"/>
      <w:r>
        <w:t xml:space="preserve">) a časy odstránenia </w:t>
      </w:r>
      <w:proofErr w:type="spellStart"/>
      <w:r>
        <w:t>Vady</w:t>
      </w:r>
      <w:proofErr w:type="spellEnd"/>
      <w:r>
        <w:t xml:space="preserve"> (</w:t>
      </w:r>
      <w:proofErr w:type="spellStart"/>
      <w:r>
        <w:t>Repair</w:t>
      </w:r>
      <w:proofErr w:type="spellEnd"/>
      <w:r>
        <w:t xml:space="preserve"> </w:t>
      </w:r>
      <w:proofErr w:type="spellStart"/>
      <w:r>
        <w:t>Time</w:t>
      </w:r>
      <w:proofErr w:type="spellEnd"/>
      <w:r>
        <w:t>) sú definované v tabuľke:</w:t>
      </w:r>
    </w:p>
    <w:tbl>
      <w:tblPr>
        <w:tblStyle w:val="GridTable1LightAccent3"/>
        <w:tblW w:w="7225" w:type="dxa"/>
        <w:jc w:val="center"/>
        <w:tblLook w:val="04A0" w:firstRow="1" w:lastRow="0" w:firstColumn="1" w:lastColumn="0" w:noHBand="0" w:noVBand="1"/>
      </w:tblPr>
      <w:tblGrid>
        <w:gridCol w:w="3020"/>
        <w:gridCol w:w="2220"/>
        <w:gridCol w:w="1985"/>
      </w:tblGrid>
      <w:tr w:rsidR="00B55EE4" w14:paraId="61CB8591" w14:textId="77777777" w:rsidTr="009C28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Borders>
              <w:bottom w:val="single" w:sz="12" w:space="0" w:color="C9C9C9"/>
            </w:tcBorders>
            <w:shd w:val="clear" w:color="auto" w:fill="auto"/>
            <w:tcMar>
              <w:left w:w="108" w:type="dxa"/>
            </w:tcMar>
          </w:tcPr>
          <w:p w14:paraId="4F968552" w14:textId="77777777" w:rsidR="00B55EE4" w:rsidRDefault="00B55EE4" w:rsidP="009C285E">
            <w:pPr>
              <w:spacing w:after="0"/>
              <w:jc w:val="both"/>
            </w:pPr>
          </w:p>
        </w:tc>
        <w:tc>
          <w:tcPr>
            <w:tcW w:w="2220" w:type="dxa"/>
            <w:tcBorders>
              <w:bottom w:val="single" w:sz="12" w:space="0" w:color="C9C9C9"/>
            </w:tcBorders>
            <w:shd w:val="clear" w:color="auto" w:fill="auto"/>
            <w:tcMar>
              <w:left w:w="108" w:type="dxa"/>
            </w:tcMar>
          </w:tcPr>
          <w:p w14:paraId="5C857BF8" w14:textId="77777777" w:rsidR="00B55EE4" w:rsidRDefault="00B55EE4" w:rsidP="009C285E">
            <w:pPr>
              <w:spacing w:after="0"/>
              <w:jc w:val="both"/>
              <w:cnfStyle w:val="100000000000" w:firstRow="1" w:lastRow="0" w:firstColumn="0" w:lastColumn="0" w:oddVBand="0" w:evenVBand="0" w:oddHBand="0" w:evenHBand="0" w:firstRowFirstColumn="0" w:firstRowLastColumn="0" w:lastRowFirstColumn="0" w:lastRowLastColumn="0"/>
            </w:pPr>
            <w:proofErr w:type="spellStart"/>
            <w:r>
              <w:t>Response</w:t>
            </w:r>
            <w:proofErr w:type="spellEnd"/>
            <w:r>
              <w:t xml:space="preserve"> </w:t>
            </w:r>
            <w:proofErr w:type="spellStart"/>
            <w:r>
              <w:t>Time</w:t>
            </w:r>
            <w:proofErr w:type="spellEnd"/>
          </w:p>
        </w:tc>
        <w:tc>
          <w:tcPr>
            <w:tcW w:w="1985" w:type="dxa"/>
            <w:tcBorders>
              <w:bottom w:val="single" w:sz="12" w:space="0" w:color="C9C9C9"/>
            </w:tcBorders>
            <w:shd w:val="clear" w:color="auto" w:fill="auto"/>
            <w:tcMar>
              <w:left w:w="108" w:type="dxa"/>
            </w:tcMar>
          </w:tcPr>
          <w:p w14:paraId="07F1C97D" w14:textId="77777777" w:rsidR="00B55EE4" w:rsidRDefault="00B55EE4" w:rsidP="009C285E">
            <w:pPr>
              <w:spacing w:after="0"/>
              <w:jc w:val="both"/>
              <w:cnfStyle w:val="100000000000" w:firstRow="1" w:lastRow="0" w:firstColumn="0" w:lastColumn="0" w:oddVBand="0" w:evenVBand="0" w:oddHBand="0" w:evenHBand="0" w:firstRowFirstColumn="0" w:firstRowLastColumn="0" w:lastRowFirstColumn="0" w:lastRowLastColumn="0"/>
            </w:pPr>
            <w:proofErr w:type="spellStart"/>
            <w:r>
              <w:t>Repair</w:t>
            </w:r>
            <w:proofErr w:type="spellEnd"/>
            <w:r>
              <w:t xml:space="preserve"> </w:t>
            </w:r>
            <w:proofErr w:type="spellStart"/>
            <w:r>
              <w:t>Time</w:t>
            </w:r>
            <w:proofErr w:type="spellEnd"/>
          </w:p>
        </w:tc>
      </w:tr>
      <w:tr w:rsidR="00B55EE4" w14:paraId="2534CB1B" w14:textId="77777777" w:rsidTr="009C285E">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57CFFE9D" w14:textId="77777777" w:rsidR="00B55EE4" w:rsidRDefault="00B55EE4" w:rsidP="009C285E">
            <w:pPr>
              <w:spacing w:after="0"/>
              <w:jc w:val="both"/>
            </w:pPr>
            <w:r>
              <w:t xml:space="preserve">Kritická </w:t>
            </w:r>
            <w:proofErr w:type="spellStart"/>
            <w:r>
              <w:t>vada</w:t>
            </w:r>
            <w:proofErr w:type="spellEnd"/>
          </w:p>
        </w:tc>
        <w:tc>
          <w:tcPr>
            <w:tcW w:w="2220" w:type="dxa"/>
            <w:shd w:val="clear" w:color="auto" w:fill="auto"/>
            <w:tcMar>
              <w:left w:w="108" w:type="dxa"/>
            </w:tcMar>
          </w:tcPr>
          <w:p w14:paraId="6167BF4D"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24 hodín</w:t>
            </w:r>
          </w:p>
        </w:tc>
        <w:tc>
          <w:tcPr>
            <w:tcW w:w="1985" w:type="dxa"/>
            <w:shd w:val="clear" w:color="auto" w:fill="auto"/>
            <w:tcMar>
              <w:left w:w="108" w:type="dxa"/>
            </w:tcMar>
          </w:tcPr>
          <w:p w14:paraId="6422C6E2"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2 pracovné dni</w:t>
            </w:r>
          </w:p>
        </w:tc>
      </w:tr>
      <w:tr w:rsidR="00B55EE4" w14:paraId="5557E658" w14:textId="77777777" w:rsidTr="009C285E">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7560A013" w14:textId="77777777" w:rsidR="00B55EE4" w:rsidRDefault="00B55EE4" w:rsidP="009C285E">
            <w:pPr>
              <w:spacing w:after="0"/>
              <w:jc w:val="both"/>
            </w:pPr>
            <w:r>
              <w:t xml:space="preserve">Podstatná </w:t>
            </w:r>
            <w:proofErr w:type="spellStart"/>
            <w:r>
              <w:t>vada</w:t>
            </w:r>
            <w:proofErr w:type="spellEnd"/>
          </w:p>
        </w:tc>
        <w:tc>
          <w:tcPr>
            <w:tcW w:w="2220" w:type="dxa"/>
            <w:shd w:val="clear" w:color="auto" w:fill="auto"/>
            <w:tcMar>
              <w:left w:w="108" w:type="dxa"/>
            </w:tcMar>
          </w:tcPr>
          <w:p w14:paraId="16E9EDDE"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48 hodín</w:t>
            </w:r>
          </w:p>
        </w:tc>
        <w:tc>
          <w:tcPr>
            <w:tcW w:w="1985" w:type="dxa"/>
            <w:shd w:val="clear" w:color="auto" w:fill="auto"/>
            <w:tcMar>
              <w:left w:w="108" w:type="dxa"/>
            </w:tcMar>
          </w:tcPr>
          <w:p w14:paraId="275725F5"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5 pracovných dní</w:t>
            </w:r>
          </w:p>
        </w:tc>
      </w:tr>
      <w:tr w:rsidR="00B55EE4" w14:paraId="1C56F79F" w14:textId="77777777" w:rsidTr="009C285E">
        <w:trPr>
          <w:jc w:val="center"/>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Mar>
              <w:left w:w="108" w:type="dxa"/>
            </w:tcMar>
          </w:tcPr>
          <w:p w14:paraId="282C9C9B" w14:textId="77777777" w:rsidR="00B55EE4" w:rsidRDefault="00B55EE4" w:rsidP="009C285E">
            <w:pPr>
              <w:spacing w:after="0"/>
              <w:jc w:val="both"/>
            </w:pPr>
            <w:r>
              <w:t xml:space="preserve">Ostatná </w:t>
            </w:r>
            <w:proofErr w:type="spellStart"/>
            <w:r>
              <w:t>vada</w:t>
            </w:r>
            <w:proofErr w:type="spellEnd"/>
          </w:p>
        </w:tc>
        <w:tc>
          <w:tcPr>
            <w:tcW w:w="2220" w:type="dxa"/>
            <w:shd w:val="clear" w:color="auto" w:fill="auto"/>
            <w:tcMar>
              <w:left w:w="108" w:type="dxa"/>
            </w:tcMar>
          </w:tcPr>
          <w:p w14:paraId="5280A998"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72 hodín</w:t>
            </w:r>
          </w:p>
        </w:tc>
        <w:tc>
          <w:tcPr>
            <w:tcW w:w="1985" w:type="dxa"/>
            <w:shd w:val="clear" w:color="auto" w:fill="auto"/>
            <w:tcMar>
              <w:left w:w="108" w:type="dxa"/>
            </w:tcMar>
          </w:tcPr>
          <w:p w14:paraId="2CF70A68" w14:textId="77777777" w:rsidR="00B55EE4" w:rsidRDefault="00B55EE4" w:rsidP="009C285E">
            <w:pPr>
              <w:spacing w:after="0"/>
              <w:jc w:val="both"/>
              <w:cnfStyle w:val="000000000000" w:firstRow="0" w:lastRow="0" w:firstColumn="0" w:lastColumn="0" w:oddVBand="0" w:evenVBand="0" w:oddHBand="0" w:evenHBand="0" w:firstRowFirstColumn="0" w:firstRowLastColumn="0" w:lastRowFirstColumn="0" w:lastRowLastColumn="0"/>
            </w:pPr>
            <w:r>
              <w:t>10 pracovných dní</w:t>
            </w:r>
          </w:p>
        </w:tc>
      </w:tr>
    </w:tbl>
    <w:p w14:paraId="4F665F4F" w14:textId="77777777" w:rsidR="00B55EE4" w:rsidRDefault="00B55EE4" w:rsidP="00B55EE4">
      <w:pPr>
        <w:jc w:val="both"/>
      </w:pPr>
    </w:p>
    <w:p w14:paraId="25633DA8" w14:textId="77777777" w:rsidR="00B55EE4" w:rsidRDefault="00B55EE4" w:rsidP="00B55EE4">
      <w:pPr>
        <w:jc w:val="both"/>
      </w:pPr>
      <w:r>
        <w:t>Lehoty na poskytovanie Služieb plynú len počas Pracovných dní.</w:t>
      </w:r>
    </w:p>
    <w:p w14:paraId="6B411558" w14:textId="77777777" w:rsidR="00B55EE4" w:rsidRDefault="00B55EE4" w:rsidP="00B55EE4">
      <w:pPr>
        <w:jc w:val="both"/>
      </w:pPr>
      <w:r>
        <w:t xml:space="preserve">Ak riziko odstránenia </w:t>
      </w:r>
      <w:proofErr w:type="spellStart"/>
      <w:r>
        <w:t>Vady</w:t>
      </w:r>
      <w:proofErr w:type="spellEnd"/>
      <w:r>
        <w:t xml:space="preserve"> by si z objektívnych dôvodov vyžiadalo čas dlhší ako je dohodnutý, príp. si jej odstránenie vyžiada súčinnosť tretích strán, Poskytovateľ oznámi túto skutočnosť Objednávateľovi a požiada ho o predĺženie času na odstránenie </w:t>
      </w:r>
      <w:proofErr w:type="spellStart"/>
      <w:r>
        <w:t>Vady</w:t>
      </w:r>
      <w:proofErr w:type="spellEnd"/>
      <w:r>
        <w:t>.</w:t>
      </w:r>
    </w:p>
    <w:p w14:paraId="3ADCBD77" w14:textId="77777777" w:rsidR="00B55EE4" w:rsidRDefault="00B55EE4" w:rsidP="00B55EE4">
      <w:pPr>
        <w:jc w:val="both"/>
      </w:pPr>
      <w:r>
        <w:t xml:space="preserve">Ak bude </w:t>
      </w:r>
      <w:proofErr w:type="spellStart"/>
      <w:r>
        <w:t>Vada</w:t>
      </w:r>
      <w:proofErr w:type="spellEnd"/>
      <w:r>
        <w:t xml:space="preserve"> natoľko komplikovaná, že jej odstránenie si z objektívnych dôvodov alebo z dôvodov vyššej moci (živelná pohroma a pod.) vyžiada čas dlhší ako je definované v Zmluve, Poskytovateľ oznámi túto skutočnosť Objednávateľovi a požiada ho o predĺženie času na odstránenie </w:t>
      </w:r>
      <w:proofErr w:type="spellStart"/>
      <w:r>
        <w:t>Vady</w:t>
      </w:r>
      <w:proofErr w:type="spellEnd"/>
      <w:r>
        <w:t xml:space="preserve">. Poskytovateľ následne zabezpečí odstránenie </w:t>
      </w:r>
      <w:proofErr w:type="spellStart"/>
      <w:r>
        <w:t>Vady</w:t>
      </w:r>
      <w:proofErr w:type="spellEnd"/>
      <w:r>
        <w:t xml:space="preserve"> v dohodnutom termíne.</w:t>
      </w:r>
    </w:p>
    <w:p w14:paraId="415D58AB" w14:textId="77777777" w:rsidR="00B55EE4" w:rsidRDefault="00B55EE4" w:rsidP="00B55EE4">
      <w:pPr>
        <w:pStyle w:val="Odstavecseseznamem"/>
        <w:numPr>
          <w:ilvl w:val="1"/>
          <w:numId w:val="14"/>
        </w:numPr>
        <w:ind w:left="426"/>
        <w:jc w:val="both"/>
        <w:rPr>
          <w:b/>
          <w:bCs/>
        </w:rPr>
      </w:pPr>
      <w:r>
        <w:rPr>
          <w:b/>
          <w:bCs/>
        </w:rPr>
        <w:t>Telefonická podpora</w:t>
      </w:r>
    </w:p>
    <w:p w14:paraId="351F7B2D" w14:textId="77777777" w:rsidR="00B55EE4" w:rsidRDefault="00B55EE4" w:rsidP="00B55EE4">
      <w:pPr>
        <w:jc w:val="both"/>
      </w:pPr>
      <w:r>
        <w:t>Telefonická podpora bude poskytovaná v čase od 08:00 hod. do 16:00 hod. v pracovných dňoch v Slovenskej republike. Objednávateľ má právo kontaktovať Poskytovateľa telefonicky na konzultáciu technických otázok alebo problémov so systémom.</w:t>
      </w:r>
    </w:p>
    <w:p w14:paraId="13C54C23" w14:textId="77777777" w:rsidR="00B55EE4" w:rsidRDefault="00B55EE4" w:rsidP="00B55EE4">
      <w:pPr>
        <w:pStyle w:val="Odstavecseseznamem"/>
        <w:numPr>
          <w:ilvl w:val="1"/>
          <w:numId w:val="14"/>
        </w:numPr>
        <w:ind w:left="426"/>
        <w:jc w:val="both"/>
        <w:rPr>
          <w:b/>
          <w:bCs/>
        </w:rPr>
      </w:pPr>
      <w:r>
        <w:rPr>
          <w:b/>
          <w:bCs/>
        </w:rPr>
        <w:t>Profylaktické služby</w:t>
      </w:r>
    </w:p>
    <w:p w14:paraId="13068594" w14:textId="77777777" w:rsidR="00B55EE4" w:rsidRDefault="00B55EE4" w:rsidP="00B55EE4">
      <w:pPr>
        <w:jc w:val="both"/>
      </w:pPr>
      <w:r>
        <w:t>Poskytovateľ bude pravidelne, minimálne raz mesačne vykonávať profylaktické údržbové práce, ktoré budú zamerané na predchádzanie potenciálnym problémom a na zabezpečenie optimálnej funkcionality systému.</w:t>
      </w:r>
    </w:p>
    <w:p w14:paraId="7C3F2E57" w14:textId="77777777" w:rsidR="00B55EE4" w:rsidRDefault="00B55EE4" w:rsidP="00B55EE4">
      <w:pPr>
        <w:jc w:val="both"/>
      </w:pPr>
    </w:p>
    <w:p w14:paraId="1345173F" w14:textId="77777777" w:rsidR="00112F2A" w:rsidRDefault="00112F2A">
      <w:pPr>
        <w:jc w:val="both"/>
      </w:pPr>
    </w:p>
    <w:sectPr w:rsidR="00112F2A">
      <w:headerReference w:type="default" r:id="rId13"/>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E5C4" w14:textId="77777777" w:rsidR="0065314A" w:rsidRDefault="0065314A" w:rsidP="00951523">
      <w:pPr>
        <w:spacing w:after="0" w:line="240" w:lineRule="auto"/>
      </w:pPr>
      <w:r>
        <w:separator/>
      </w:r>
    </w:p>
  </w:endnote>
  <w:endnote w:type="continuationSeparator" w:id="0">
    <w:p w14:paraId="17954C9E" w14:textId="77777777" w:rsidR="0065314A" w:rsidRDefault="0065314A" w:rsidP="0095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4275" w14:textId="77777777" w:rsidR="0065314A" w:rsidRDefault="0065314A" w:rsidP="00951523">
      <w:pPr>
        <w:spacing w:after="0" w:line="240" w:lineRule="auto"/>
      </w:pPr>
      <w:r>
        <w:separator/>
      </w:r>
    </w:p>
  </w:footnote>
  <w:footnote w:type="continuationSeparator" w:id="0">
    <w:p w14:paraId="70296E9E" w14:textId="77777777" w:rsidR="0065314A" w:rsidRDefault="0065314A" w:rsidP="0095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1F87" w14:textId="121CE102" w:rsidR="00951523" w:rsidRDefault="00750B6A">
    <w:pPr>
      <w:pStyle w:val="Zhlav"/>
    </w:pPr>
    <w:r>
      <w:rPr>
        <w:noProof/>
        <w:lang w:val="cs-CZ" w:eastAsia="cs-CZ"/>
      </w:rPr>
      <w:drawing>
        <wp:anchor distT="0" distB="0" distL="114300" distR="114300" simplePos="0" relativeHeight="251658240" behindDoc="0" locked="0" layoutInCell="1" allowOverlap="1" wp14:anchorId="0C4D2221" wp14:editId="47971A0D">
          <wp:simplePos x="0" y="0"/>
          <wp:positionH relativeFrom="column">
            <wp:posOffset>-13970</wp:posOffset>
          </wp:positionH>
          <wp:positionV relativeFrom="paragraph">
            <wp:posOffset>171450</wp:posOffset>
          </wp:positionV>
          <wp:extent cx="1257300" cy="476250"/>
          <wp:effectExtent l="0" t="0" r="0" b="0"/>
          <wp:wrapSquare wrapText="bothSides"/>
          <wp:docPr id="695773610"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73610" name="Picture 1" descr="A blue and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anchor>
      </w:drawing>
    </w:r>
  </w:p>
  <w:p w14:paraId="4E184F88" w14:textId="77777777" w:rsidR="00750B6A" w:rsidRDefault="00750B6A">
    <w:pPr>
      <w:pStyle w:val="Zhlav"/>
    </w:pPr>
  </w:p>
  <w:p w14:paraId="5B7DD306" w14:textId="64E07607" w:rsidR="00951523" w:rsidRDefault="00951523">
    <w:pPr>
      <w:pStyle w:val="Zhlav"/>
    </w:pPr>
    <w:r>
      <w:tab/>
    </w:r>
    <w:r>
      <w:tab/>
    </w:r>
    <w:r w:rsidRPr="00951523">
      <w:rPr>
        <w:color w:val="7F7F7F" w:themeColor="text1" w:themeTint="80"/>
        <w:sz w:val="20"/>
        <w:szCs w:val="20"/>
      </w:rPr>
      <w:t>č</w:t>
    </w:r>
    <w:r>
      <w:rPr>
        <w:color w:val="7F7F7F" w:themeColor="text1" w:themeTint="80"/>
        <w:sz w:val="20"/>
        <w:szCs w:val="20"/>
      </w:rPr>
      <w:t>.</w:t>
    </w:r>
    <w:r w:rsidRPr="00951523">
      <w:rPr>
        <w:color w:val="7F7F7F" w:themeColor="text1" w:themeTint="80"/>
        <w:sz w:val="20"/>
        <w:szCs w:val="20"/>
      </w:rPr>
      <w:t xml:space="preserve"> zmluvy Poskytovateľa: DTQ-SZ/24022</w:t>
    </w:r>
    <w:r w:rsidR="002B0BAD">
      <w:rPr>
        <w:color w:val="7F7F7F" w:themeColor="text1" w:themeTint="80"/>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E9B"/>
    <w:multiLevelType w:val="multilevel"/>
    <w:tmpl w:val="FCE6B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156C8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921F6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C70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EA2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5B545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266C51"/>
    <w:multiLevelType w:val="hybridMultilevel"/>
    <w:tmpl w:val="3FDE7918"/>
    <w:lvl w:ilvl="0" w:tplc="17DE200E">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BF050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A0239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0B23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0B3771"/>
    <w:multiLevelType w:val="multilevel"/>
    <w:tmpl w:val="5B1831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529F7524"/>
    <w:multiLevelType w:val="multilevel"/>
    <w:tmpl w:val="5746790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nsid w:val="5E744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CD5FA3"/>
    <w:multiLevelType w:val="multilevel"/>
    <w:tmpl w:val="5D52B04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bullet"/>
      <w:lvlText w:val="-"/>
      <w:lvlJc w:val="left"/>
      <w:pPr>
        <w:ind w:left="2685" w:hanging="360"/>
      </w:pPr>
      <w:rPr>
        <w:rFonts w:ascii="Calibri" w:hAnsi="Calibri" w:cs="Calibri" w:hint="default"/>
      </w:r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nsid w:val="6E050B36"/>
    <w:multiLevelType w:val="multilevel"/>
    <w:tmpl w:val="9112E1D0"/>
    <w:lvl w:ilvl="0">
      <w:start w:val="1"/>
      <w:numFmt w:val="decimal"/>
      <w:lvlText w:val="%1."/>
      <w:lvlJc w:val="left"/>
      <w:pPr>
        <w:ind w:left="1064" w:hanging="360"/>
      </w:pPr>
    </w:lvl>
    <w:lvl w:ilvl="1">
      <w:start w:val="1"/>
      <w:numFmt w:val="decimal"/>
      <w:lvlText w:val="%1.%2."/>
      <w:lvlJc w:val="left"/>
      <w:pPr>
        <w:ind w:left="1496" w:hanging="432"/>
      </w:pPr>
    </w:lvl>
    <w:lvl w:ilvl="2">
      <w:start w:val="1"/>
      <w:numFmt w:val="decimal"/>
      <w:lvlText w:val="%1.%2.%3."/>
      <w:lvlJc w:val="left"/>
      <w:pPr>
        <w:ind w:left="1928" w:hanging="504"/>
      </w:pPr>
    </w:lvl>
    <w:lvl w:ilvl="3">
      <w:start w:val="1"/>
      <w:numFmt w:val="decimal"/>
      <w:lvlText w:val="%1.%2.%3.%4."/>
      <w:lvlJc w:val="left"/>
      <w:pPr>
        <w:ind w:left="2432" w:hanging="648"/>
      </w:pPr>
    </w:lvl>
    <w:lvl w:ilvl="4">
      <w:start w:val="1"/>
      <w:numFmt w:val="decimal"/>
      <w:lvlText w:val="%1.%2.%3.%4.%5."/>
      <w:lvlJc w:val="left"/>
      <w:pPr>
        <w:ind w:left="2936" w:hanging="792"/>
      </w:pPr>
    </w:lvl>
    <w:lvl w:ilvl="5">
      <w:start w:val="1"/>
      <w:numFmt w:val="decimal"/>
      <w:lvlText w:val="%1.%2.%3.%4.%5.%6."/>
      <w:lvlJc w:val="left"/>
      <w:pPr>
        <w:ind w:left="3440" w:hanging="936"/>
      </w:pPr>
    </w:lvl>
    <w:lvl w:ilvl="6">
      <w:start w:val="1"/>
      <w:numFmt w:val="decimal"/>
      <w:lvlText w:val="%1.%2.%3.%4.%5.%6.%7."/>
      <w:lvlJc w:val="left"/>
      <w:pPr>
        <w:ind w:left="3944" w:hanging="1080"/>
      </w:pPr>
    </w:lvl>
    <w:lvl w:ilvl="7">
      <w:start w:val="1"/>
      <w:numFmt w:val="decimal"/>
      <w:lvlText w:val="%1.%2.%3.%4.%5.%6.%7.%8."/>
      <w:lvlJc w:val="left"/>
      <w:pPr>
        <w:ind w:left="4448" w:hanging="1224"/>
      </w:pPr>
    </w:lvl>
    <w:lvl w:ilvl="8">
      <w:start w:val="1"/>
      <w:numFmt w:val="decimal"/>
      <w:lvlText w:val="%1.%2.%3.%4.%5.%6.%7.%8.%9."/>
      <w:lvlJc w:val="left"/>
      <w:pPr>
        <w:ind w:left="5024" w:hanging="1440"/>
      </w:pPr>
    </w:lvl>
  </w:abstractNum>
  <w:num w:numId="1">
    <w:abstractNumId w:val="14"/>
  </w:num>
  <w:num w:numId="2">
    <w:abstractNumId w:val="8"/>
  </w:num>
  <w:num w:numId="3">
    <w:abstractNumId w:val="12"/>
  </w:num>
  <w:num w:numId="4">
    <w:abstractNumId w:val="2"/>
  </w:num>
  <w:num w:numId="5">
    <w:abstractNumId w:val="9"/>
  </w:num>
  <w:num w:numId="6">
    <w:abstractNumId w:val="1"/>
  </w:num>
  <w:num w:numId="7">
    <w:abstractNumId w:val="3"/>
  </w:num>
  <w:num w:numId="8">
    <w:abstractNumId w:val="5"/>
  </w:num>
  <w:num w:numId="9">
    <w:abstractNumId w:val="0"/>
  </w:num>
  <w:num w:numId="10">
    <w:abstractNumId w:val="6"/>
  </w:num>
  <w:num w:numId="11">
    <w:abstractNumId w:val="7"/>
  </w:num>
  <w:num w:numId="12">
    <w:abstractNumId w:val="11"/>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2A"/>
    <w:rsid w:val="000644D7"/>
    <w:rsid w:val="00077BE7"/>
    <w:rsid w:val="0008755C"/>
    <w:rsid w:val="000C778F"/>
    <w:rsid w:val="000E52D9"/>
    <w:rsid w:val="00112F2A"/>
    <w:rsid w:val="00116A3C"/>
    <w:rsid w:val="00162675"/>
    <w:rsid w:val="00193EA3"/>
    <w:rsid w:val="001F7229"/>
    <w:rsid w:val="00233BD4"/>
    <w:rsid w:val="002719F6"/>
    <w:rsid w:val="002B0BAD"/>
    <w:rsid w:val="002F2D02"/>
    <w:rsid w:val="0032688D"/>
    <w:rsid w:val="003C44FC"/>
    <w:rsid w:val="00400E19"/>
    <w:rsid w:val="0042048A"/>
    <w:rsid w:val="00420BC7"/>
    <w:rsid w:val="00451118"/>
    <w:rsid w:val="00522AF1"/>
    <w:rsid w:val="00524B81"/>
    <w:rsid w:val="005615D6"/>
    <w:rsid w:val="00561806"/>
    <w:rsid w:val="005C4701"/>
    <w:rsid w:val="00625AF0"/>
    <w:rsid w:val="0065314A"/>
    <w:rsid w:val="00685950"/>
    <w:rsid w:val="0070729A"/>
    <w:rsid w:val="00730364"/>
    <w:rsid w:val="00741A24"/>
    <w:rsid w:val="00750B6A"/>
    <w:rsid w:val="0075286B"/>
    <w:rsid w:val="007D5EA8"/>
    <w:rsid w:val="0085164E"/>
    <w:rsid w:val="00894CA3"/>
    <w:rsid w:val="008D4D3B"/>
    <w:rsid w:val="008D5A41"/>
    <w:rsid w:val="008F2F0D"/>
    <w:rsid w:val="00951523"/>
    <w:rsid w:val="0098021A"/>
    <w:rsid w:val="0099570E"/>
    <w:rsid w:val="009C6F70"/>
    <w:rsid w:val="009D12F9"/>
    <w:rsid w:val="00A31DC6"/>
    <w:rsid w:val="00A507D7"/>
    <w:rsid w:val="00B040DA"/>
    <w:rsid w:val="00B23990"/>
    <w:rsid w:val="00B55EE4"/>
    <w:rsid w:val="00B62640"/>
    <w:rsid w:val="00BB5034"/>
    <w:rsid w:val="00C25648"/>
    <w:rsid w:val="00C52DDB"/>
    <w:rsid w:val="00C6087C"/>
    <w:rsid w:val="00C62D13"/>
    <w:rsid w:val="00CB326E"/>
    <w:rsid w:val="00D4380D"/>
    <w:rsid w:val="00D5534B"/>
    <w:rsid w:val="00DC0F75"/>
    <w:rsid w:val="00DC3663"/>
    <w:rsid w:val="00DD4945"/>
    <w:rsid w:val="00E469ED"/>
    <w:rsid w:val="00E610DB"/>
    <w:rsid w:val="00E90732"/>
    <w:rsid w:val="00EE33D9"/>
    <w:rsid w:val="00F03AEA"/>
    <w:rsid w:val="00F128B0"/>
    <w:rsid w:val="00F24DE8"/>
    <w:rsid w:val="00F75D7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k-SK" w:eastAsia="en-US" w:bidi="ar-SA"/>
        <w14:ligatures w14:val="standardContextua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6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style>
  <w:style w:type="paragraph" w:customStyle="1" w:styleId="Nadpis21">
    <w:name w:val="Nadpis 21"/>
    <w:basedOn w:val="Nadpis"/>
  </w:style>
  <w:style w:type="paragraph" w:customStyle="1" w:styleId="Nadpis31">
    <w:name w:val="Nadpis 31"/>
    <w:basedOn w:val="Nadpis"/>
  </w:style>
  <w:style w:type="character" w:styleId="Odkaznakoment">
    <w:name w:val="annotation reference"/>
    <w:basedOn w:val="Standardnpsmoodstavce"/>
    <w:uiPriority w:val="99"/>
    <w:semiHidden/>
    <w:unhideWhenUsed/>
    <w:qFormat/>
    <w:rsid w:val="006142A7"/>
    <w:rPr>
      <w:sz w:val="16"/>
      <w:szCs w:val="16"/>
    </w:rPr>
  </w:style>
  <w:style w:type="character" w:customStyle="1" w:styleId="TextkomenteChar">
    <w:name w:val="Text komentáře Char"/>
    <w:basedOn w:val="Standardnpsmoodstavce"/>
    <w:link w:val="Textkomente"/>
    <w:uiPriority w:val="99"/>
    <w:qFormat/>
    <w:rsid w:val="006142A7"/>
    <w:rPr>
      <w:sz w:val="20"/>
      <w:szCs w:val="20"/>
    </w:rPr>
  </w:style>
  <w:style w:type="character" w:customStyle="1" w:styleId="PedmtkomenteChar">
    <w:name w:val="Předmět komentáře Char"/>
    <w:basedOn w:val="TextkomenteChar"/>
    <w:link w:val="Pedmtkomente"/>
    <w:uiPriority w:val="99"/>
    <w:semiHidden/>
    <w:qFormat/>
    <w:rsid w:val="006142A7"/>
    <w:rPr>
      <w:b/>
      <w:bCs/>
      <w:sz w:val="20"/>
      <w:szCs w:val="20"/>
    </w:rPr>
  </w:style>
  <w:style w:type="character" w:customStyle="1" w:styleId="Internetovodkaz">
    <w:name w:val="Internetový odkaz"/>
    <w:basedOn w:val="Standardnpsmoodstavce"/>
    <w:uiPriority w:val="99"/>
    <w:unhideWhenUsed/>
    <w:rsid w:val="007C3CB0"/>
    <w:rPr>
      <w:color w:val="0563C1" w:themeColor="hyperlink"/>
      <w:u w:val="single"/>
    </w:rPr>
  </w:style>
  <w:style w:type="character" w:customStyle="1" w:styleId="UnresolvedMention1">
    <w:name w:val="Unresolved Mention1"/>
    <w:basedOn w:val="Standardnpsmoodstavce"/>
    <w:uiPriority w:val="99"/>
    <w:semiHidden/>
    <w:unhideWhenUsed/>
    <w:qFormat/>
    <w:rsid w:val="007C3CB0"/>
    <w:rPr>
      <w:color w:val="605E5C"/>
      <w:shd w:val="clear" w:color="auto" w:fill="E1DFDD"/>
    </w:rPr>
  </w:style>
  <w:style w:type="character" w:customStyle="1" w:styleId="ListLabel1">
    <w:name w:val="ListLabel 1"/>
    <w:qFormat/>
    <w:rPr>
      <w:rFonts w:cs="Courier New"/>
    </w:rPr>
  </w:style>
  <w:style w:type="paragraph" w:customStyle="1" w:styleId="Nadpis">
    <w:name w:val="Nadpis"/>
    <w:basedOn w:val="Normln"/>
    <w:next w:val="Telotextu"/>
    <w:qFormat/>
    <w:pPr>
      <w:keepNext/>
      <w:spacing w:before="240" w:after="120"/>
    </w:pPr>
    <w:rPr>
      <w:rFonts w:ascii="Liberation Sans" w:eastAsia="Microsoft YaHei" w:hAnsi="Liberation Sans" w:cs="Lucida Sans"/>
      <w:sz w:val="28"/>
      <w:szCs w:val="28"/>
    </w:rPr>
  </w:style>
  <w:style w:type="paragraph" w:customStyle="1" w:styleId="Telotextu">
    <w:name w:val="Telo textu"/>
    <w:basedOn w:val="Normln"/>
    <w:pPr>
      <w:spacing w:after="140" w:line="288" w:lineRule="auto"/>
    </w:pPr>
  </w:style>
  <w:style w:type="paragraph" w:customStyle="1" w:styleId="Zoznam">
    <w:name w:val="Zoznam"/>
    <w:basedOn w:val="Telotextu"/>
    <w:rPr>
      <w:rFonts w:cs="Lucida Sans"/>
    </w:rPr>
  </w:style>
  <w:style w:type="paragraph" w:customStyle="1" w:styleId="Popis">
    <w:name w:val="Popis"/>
    <w:basedOn w:val="Normln"/>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Odstavecseseznamem">
    <w:name w:val="List Paragraph"/>
    <w:basedOn w:val="Normln"/>
    <w:uiPriority w:val="34"/>
    <w:qFormat/>
    <w:rsid w:val="00D561C1"/>
    <w:pPr>
      <w:ind w:left="720"/>
      <w:contextualSpacing/>
    </w:pPr>
  </w:style>
  <w:style w:type="paragraph" w:styleId="Revize">
    <w:name w:val="Revision"/>
    <w:uiPriority w:val="99"/>
    <w:semiHidden/>
    <w:qFormat/>
    <w:rsid w:val="00245447"/>
    <w:pPr>
      <w:suppressAutoHyphens/>
      <w:spacing w:line="240" w:lineRule="auto"/>
    </w:pPr>
    <w:rPr>
      <w:color w:val="00000A"/>
      <w:sz w:val="22"/>
    </w:rPr>
  </w:style>
  <w:style w:type="paragraph" w:styleId="Textkomente">
    <w:name w:val="annotation text"/>
    <w:basedOn w:val="Normln"/>
    <w:link w:val="TextkomenteChar"/>
    <w:uiPriority w:val="99"/>
    <w:unhideWhenUsed/>
    <w:qFormat/>
    <w:rsid w:val="006142A7"/>
    <w:pPr>
      <w:spacing w:line="240" w:lineRule="auto"/>
    </w:pPr>
    <w:rPr>
      <w:sz w:val="20"/>
      <w:szCs w:val="20"/>
    </w:rPr>
  </w:style>
  <w:style w:type="paragraph" w:styleId="Pedmtkomente">
    <w:name w:val="annotation subject"/>
    <w:basedOn w:val="Textkomente"/>
    <w:link w:val="PedmtkomenteChar"/>
    <w:uiPriority w:val="99"/>
    <w:semiHidden/>
    <w:unhideWhenUsed/>
    <w:qFormat/>
    <w:rsid w:val="006142A7"/>
    <w:rPr>
      <w:b/>
      <w:bCs/>
    </w:rPr>
  </w:style>
  <w:style w:type="paragraph" w:customStyle="1" w:styleId="Citcie">
    <w:name w:val="Citácie"/>
    <w:basedOn w:val="Normln"/>
    <w:qFormat/>
  </w:style>
  <w:style w:type="paragraph" w:customStyle="1" w:styleId="Nzov">
    <w:name w:val="Názov"/>
    <w:basedOn w:val="Nadpis"/>
  </w:style>
  <w:style w:type="paragraph" w:customStyle="1" w:styleId="Podnzov">
    <w:name w:val="Podnázov"/>
    <w:basedOn w:val="Nadpis"/>
  </w:style>
  <w:style w:type="table" w:styleId="Mkatabulky">
    <w:name w:val="Table Grid"/>
    <w:basedOn w:val="Normlntabulka"/>
    <w:uiPriority w:val="39"/>
    <w:rsid w:val="00945CEF"/>
    <w:pPr>
      <w:spacing w:line="240" w:lineRule="auto"/>
    </w:pPr>
    <w:rPr>
      <w:sz w:val="24"/>
      <w:szCs w:val="24"/>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951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1523"/>
    <w:rPr>
      <w:color w:val="00000A"/>
      <w:sz w:val="22"/>
    </w:rPr>
  </w:style>
  <w:style w:type="paragraph" w:styleId="Zpat">
    <w:name w:val="footer"/>
    <w:basedOn w:val="Normln"/>
    <w:link w:val="ZpatChar"/>
    <w:uiPriority w:val="99"/>
    <w:unhideWhenUsed/>
    <w:rsid w:val="0095152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1523"/>
    <w:rPr>
      <w:color w:val="00000A"/>
      <w:sz w:val="22"/>
    </w:rPr>
  </w:style>
  <w:style w:type="paragraph" w:styleId="Textbubliny">
    <w:name w:val="Balloon Text"/>
    <w:basedOn w:val="Normln"/>
    <w:link w:val="TextbublinyChar"/>
    <w:uiPriority w:val="99"/>
    <w:semiHidden/>
    <w:unhideWhenUsed/>
    <w:rsid w:val="00B040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0DA"/>
    <w:rPr>
      <w:rFonts w:ascii="Segoe UI" w:hAnsi="Segoe UI" w:cs="Segoe UI"/>
      <w:color w:val="00000A"/>
      <w:sz w:val="18"/>
      <w:szCs w:val="18"/>
    </w:rPr>
  </w:style>
  <w:style w:type="character" w:styleId="Hypertextovodkaz">
    <w:name w:val="Hyperlink"/>
    <w:basedOn w:val="Standardnpsmoodstavce"/>
    <w:uiPriority w:val="99"/>
    <w:unhideWhenUsed/>
    <w:rsid w:val="009D12F9"/>
    <w:rPr>
      <w:color w:val="0563C1" w:themeColor="hyperlink"/>
      <w:u w:val="single"/>
    </w:rPr>
  </w:style>
  <w:style w:type="character" w:customStyle="1" w:styleId="UnresolvedMention">
    <w:name w:val="Unresolved Mention"/>
    <w:basedOn w:val="Standardnpsmoodstavce"/>
    <w:uiPriority w:val="99"/>
    <w:semiHidden/>
    <w:unhideWhenUsed/>
    <w:rsid w:val="009D12F9"/>
    <w:rPr>
      <w:color w:val="605E5C"/>
      <w:shd w:val="clear" w:color="auto" w:fill="E1DFDD"/>
    </w:rPr>
  </w:style>
  <w:style w:type="table" w:customStyle="1" w:styleId="GridTable1LightAccent3">
    <w:name w:val="Grid Table 1 Light Accent 3"/>
    <w:basedOn w:val="Normlntabulka"/>
    <w:uiPriority w:val="46"/>
    <w:rsid w:val="00B55EE4"/>
    <w:pPr>
      <w:spacing w:line="240" w:lineRule="auto"/>
    </w:pPr>
    <w:rPr>
      <w:sz w:val="22"/>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k-SK" w:eastAsia="en-US" w:bidi="ar-SA"/>
        <w14:ligatures w14:val="standardContextual"/>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6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style>
  <w:style w:type="paragraph" w:customStyle="1" w:styleId="Nadpis21">
    <w:name w:val="Nadpis 21"/>
    <w:basedOn w:val="Nadpis"/>
  </w:style>
  <w:style w:type="paragraph" w:customStyle="1" w:styleId="Nadpis31">
    <w:name w:val="Nadpis 31"/>
    <w:basedOn w:val="Nadpis"/>
  </w:style>
  <w:style w:type="character" w:styleId="Odkaznakoment">
    <w:name w:val="annotation reference"/>
    <w:basedOn w:val="Standardnpsmoodstavce"/>
    <w:uiPriority w:val="99"/>
    <w:semiHidden/>
    <w:unhideWhenUsed/>
    <w:qFormat/>
    <w:rsid w:val="006142A7"/>
    <w:rPr>
      <w:sz w:val="16"/>
      <w:szCs w:val="16"/>
    </w:rPr>
  </w:style>
  <w:style w:type="character" w:customStyle="1" w:styleId="TextkomenteChar">
    <w:name w:val="Text komentáře Char"/>
    <w:basedOn w:val="Standardnpsmoodstavce"/>
    <w:link w:val="Textkomente"/>
    <w:uiPriority w:val="99"/>
    <w:qFormat/>
    <w:rsid w:val="006142A7"/>
    <w:rPr>
      <w:sz w:val="20"/>
      <w:szCs w:val="20"/>
    </w:rPr>
  </w:style>
  <w:style w:type="character" w:customStyle="1" w:styleId="PedmtkomenteChar">
    <w:name w:val="Předmět komentáře Char"/>
    <w:basedOn w:val="TextkomenteChar"/>
    <w:link w:val="Pedmtkomente"/>
    <w:uiPriority w:val="99"/>
    <w:semiHidden/>
    <w:qFormat/>
    <w:rsid w:val="006142A7"/>
    <w:rPr>
      <w:b/>
      <w:bCs/>
      <w:sz w:val="20"/>
      <w:szCs w:val="20"/>
    </w:rPr>
  </w:style>
  <w:style w:type="character" w:customStyle="1" w:styleId="Internetovodkaz">
    <w:name w:val="Internetový odkaz"/>
    <w:basedOn w:val="Standardnpsmoodstavce"/>
    <w:uiPriority w:val="99"/>
    <w:unhideWhenUsed/>
    <w:rsid w:val="007C3CB0"/>
    <w:rPr>
      <w:color w:val="0563C1" w:themeColor="hyperlink"/>
      <w:u w:val="single"/>
    </w:rPr>
  </w:style>
  <w:style w:type="character" w:customStyle="1" w:styleId="UnresolvedMention1">
    <w:name w:val="Unresolved Mention1"/>
    <w:basedOn w:val="Standardnpsmoodstavce"/>
    <w:uiPriority w:val="99"/>
    <w:semiHidden/>
    <w:unhideWhenUsed/>
    <w:qFormat/>
    <w:rsid w:val="007C3CB0"/>
    <w:rPr>
      <w:color w:val="605E5C"/>
      <w:shd w:val="clear" w:color="auto" w:fill="E1DFDD"/>
    </w:rPr>
  </w:style>
  <w:style w:type="character" w:customStyle="1" w:styleId="ListLabel1">
    <w:name w:val="ListLabel 1"/>
    <w:qFormat/>
    <w:rPr>
      <w:rFonts w:cs="Courier New"/>
    </w:rPr>
  </w:style>
  <w:style w:type="paragraph" w:customStyle="1" w:styleId="Nadpis">
    <w:name w:val="Nadpis"/>
    <w:basedOn w:val="Normln"/>
    <w:next w:val="Telotextu"/>
    <w:qFormat/>
    <w:pPr>
      <w:keepNext/>
      <w:spacing w:before="240" w:after="120"/>
    </w:pPr>
    <w:rPr>
      <w:rFonts w:ascii="Liberation Sans" w:eastAsia="Microsoft YaHei" w:hAnsi="Liberation Sans" w:cs="Lucida Sans"/>
      <w:sz w:val="28"/>
      <w:szCs w:val="28"/>
    </w:rPr>
  </w:style>
  <w:style w:type="paragraph" w:customStyle="1" w:styleId="Telotextu">
    <w:name w:val="Telo textu"/>
    <w:basedOn w:val="Normln"/>
    <w:pPr>
      <w:spacing w:after="140" w:line="288" w:lineRule="auto"/>
    </w:pPr>
  </w:style>
  <w:style w:type="paragraph" w:customStyle="1" w:styleId="Zoznam">
    <w:name w:val="Zoznam"/>
    <w:basedOn w:val="Telotextu"/>
    <w:rPr>
      <w:rFonts w:cs="Lucida Sans"/>
    </w:rPr>
  </w:style>
  <w:style w:type="paragraph" w:customStyle="1" w:styleId="Popis">
    <w:name w:val="Popis"/>
    <w:basedOn w:val="Normln"/>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Odstavecseseznamem">
    <w:name w:val="List Paragraph"/>
    <w:basedOn w:val="Normln"/>
    <w:uiPriority w:val="34"/>
    <w:qFormat/>
    <w:rsid w:val="00D561C1"/>
    <w:pPr>
      <w:ind w:left="720"/>
      <w:contextualSpacing/>
    </w:pPr>
  </w:style>
  <w:style w:type="paragraph" w:styleId="Revize">
    <w:name w:val="Revision"/>
    <w:uiPriority w:val="99"/>
    <w:semiHidden/>
    <w:qFormat/>
    <w:rsid w:val="00245447"/>
    <w:pPr>
      <w:suppressAutoHyphens/>
      <w:spacing w:line="240" w:lineRule="auto"/>
    </w:pPr>
    <w:rPr>
      <w:color w:val="00000A"/>
      <w:sz w:val="22"/>
    </w:rPr>
  </w:style>
  <w:style w:type="paragraph" w:styleId="Textkomente">
    <w:name w:val="annotation text"/>
    <w:basedOn w:val="Normln"/>
    <w:link w:val="TextkomenteChar"/>
    <w:uiPriority w:val="99"/>
    <w:unhideWhenUsed/>
    <w:qFormat/>
    <w:rsid w:val="006142A7"/>
    <w:pPr>
      <w:spacing w:line="240" w:lineRule="auto"/>
    </w:pPr>
    <w:rPr>
      <w:sz w:val="20"/>
      <w:szCs w:val="20"/>
    </w:rPr>
  </w:style>
  <w:style w:type="paragraph" w:styleId="Pedmtkomente">
    <w:name w:val="annotation subject"/>
    <w:basedOn w:val="Textkomente"/>
    <w:link w:val="PedmtkomenteChar"/>
    <w:uiPriority w:val="99"/>
    <w:semiHidden/>
    <w:unhideWhenUsed/>
    <w:qFormat/>
    <w:rsid w:val="006142A7"/>
    <w:rPr>
      <w:b/>
      <w:bCs/>
    </w:rPr>
  </w:style>
  <w:style w:type="paragraph" w:customStyle="1" w:styleId="Citcie">
    <w:name w:val="Citácie"/>
    <w:basedOn w:val="Normln"/>
    <w:qFormat/>
  </w:style>
  <w:style w:type="paragraph" w:customStyle="1" w:styleId="Nzov">
    <w:name w:val="Názov"/>
    <w:basedOn w:val="Nadpis"/>
  </w:style>
  <w:style w:type="paragraph" w:customStyle="1" w:styleId="Podnzov">
    <w:name w:val="Podnázov"/>
    <w:basedOn w:val="Nadpis"/>
  </w:style>
  <w:style w:type="table" w:styleId="Mkatabulky">
    <w:name w:val="Table Grid"/>
    <w:basedOn w:val="Normlntabulka"/>
    <w:uiPriority w:val="39"/>
    <w:rsid w:val="00945CEF"/>
    <w:pPr>
      <w:spacing w:line="240" w:lineRule="auto"/>
    </w:pPr>
    <w:rPr>
      <w:sz w:val="24"/>
      <w:szCs w:val="24"/>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9515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1523"/>
    <w:rPr>
      <w:color w:val="00000A"/>
      <w:sz w:val="22"/>
    </w:rPr>
  </w:style>
  <w:style w:type="paragraph" w:styleId="Zpat">
    <w:name w:val="footer"/>
    <w:basedOn w:val="Normln"/>
    <w:link w:val="ZpatChar"/>
    <w:uiPriority w:val="99"/>
    <w:unhideWhenUsed/>
    <w:rsid w:val="0095152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1523"/>
    <w:rPr>
      <w:color w:val="00000A"/>
      <w:sz w:val="22"/>
    </w:rPr>
  </w:style>
  <w:style w:type="paragraph" w:styleId="Textbubliny">
    <w:name w:val="Balloon Text"/>
    <w:basedOn w:val="Normln"/>
    <w:link w:val="TextbublinyChar"/>
    <w:uiPriority w:val="99"/>
    <w:semiHidden/>
    <w:unhideWhenUsed/>
    <w:rsid w:val="00B040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0DA"/>
    <w:rPr>
      <w:rFonts w:ascii="Segoe UI" w:hAnsi="Segoe UI" w:cs="Segoe UI"/>
      <w:color w:val="00000A"/>
      <w:sz w:val="18"/>
      <w:szCs w:val="18"/>
    </w:rPr>
  </w:style>
  <w:style w:type="character" w:styleId="Hypertextovodkaz">
    <w:name w:val="Hyperlink"/>
    <w:basedOn w:val="Standardnpsmoodstavce"/>
    <w:uiPriority w:val="99"/>
    <w:unhideWhenUsed/>
    <w:rsid w:val="009D12F9"/>
    <w:rPr>
      <w:color w:val="0563C1" w:themeColor="hyperlink"/>
      <w:u w:val="single"/>
    </w:rPr>
  </w:style>
  <w:style w:type="character" w:customStyle="1" w:styleId="UnresolvedMention">
    <w:name w:val="Unresolved Mention"/>
    <w:basedOn w:val="Standardnpsmoodstavce"/>
    <w:uiPriority w:val="99"/>
    <w:semiHidden/>
    <w:unhideWhenUsed/>
    <w:rsid w:val="009D12F9"/>
    <w:rPr>
      <w:color w:val="605E5C"/>
      <w:shd w:val="clear" w:color="auto" w:fill="E1DFDD"/>
    </w:rPr>
  </w:style>
  <w:style w:type="table" w:customStyle="1" w:styleId="GridTable1LightAccent3">
    <w:name w:val="Grid Table 1 Light Accent 3"/>
    <w:basedOn w:val="Normlntabulka"/>
    <w:uiPriority w:val="46"/>
    <w:rsid w:val="00B55EE4"/>
    <w:pPr>
      <w:spacing w:line="240" w:lineRule="auto"/>
    </w:pPr>
    <w:rPr>
      <w:sz w:val="22"/>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space.tu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09C396B20074CA7AE08AEF16B30EB" ma:contentTypeVersion="12" ma:contentTypeDescription="Create a new document." ma:contentTypeScope="" ma:versionID="b4186c63381ca44d392e17c289f8a992">
  <xsd:schema xmlns:xsd="http://www.w3.org/2001/XMLSchema" xmlns:xs="http://www.w3.org/2001/XMLSchema" xmlns:p="http://schemas.microsoft.com/office/2006/metadata/properties" xmlns:ns2="eda00695-61d3-497d-b384-ee4baeb49ac6" xmlns:ns3="5e18fcf4-c141-44ef-a307-d9d27126b06c" targetNamespace="http://schemas.microsoft.com/office/2006/metadata/properties" ma:root="true" ma:fieldsID="287267c3167df8bd14803a0acd5c247c" ns2:_="" ns3:_="">
    <xsd:import namespace="eda00695-61d3-497d-b384-ee4baeb49ac6"/>
    <xsd:import namespace="5e18fcf4-c141-44ef-a307-d9d27126b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0695-61d3-497d-b384-ee4baeb49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8fcf4-c141-44ef-a307-d9d27126b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6819-297B-407A-A760-54C41006F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0695-61d3-497d-b384-ee4baeb49ac6"/>
    <ds:schemaRef ds:uri="5e18fcf4-c141-44ef-a307-d9d27126b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79B0E-A4F1-4670-B87E-566F212EB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F04C1-77B4-49F7-9F66-5ED421857D97}">
  <ds:schemaRefs>
    <ds:schemaRef ds:uri="http://schemas.microsoft.com/sharepoint/v3/contenttype/forms"/>
  </ds:schemaRefs>
</ds:datastoreItem>
</file>

<file path=customXml/itemProps4.xml><?xml version="1.0" encoding="utf-8"?>
<ds:datastoreItem xmlns:ds="http://schemas.openxmlformats.org/officeDocument/2006/customXml" ds:itemID="{91DAE56E-3D34-435A-ACBB-FF7BD11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2428</Words>
  <Characters>14326</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Urda</dc:creator>
  <cp:lastModifiedBy>PC</cp:lastModifiedBy>
  <cp:revision>8</cp:revision>
  <cp:lastPrinted>2024-03-26T09:41:00Z</cp:lastPrinted>
  <dcterms:created xsi:type="dcterms:W3CDTF">2024-03-26T09:41:00Z</dcterms:created>
  <dcterms:modified xsi:type="dcterms:W3CDTF">2024-04-15T07:47:00Z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0x01010082F09C396B20074CA7AE08AEF16B30EB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