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452479" w:rsidRDefault="00A4089E" w:rsidP="00A4089E">
      <w:pPr>
        <w:pStyle w:val="Nadpis2"/>
        <w:rPr>
          <w:rFonts w:ascii="Times New Roman" w:hAnsi="Times New Roman" w:cs="Times New Roman"/>
          <w:sz w:val="24"/>
          <w:szCs w:val="24"/>
          <w:u w:val="single"/>
        </w:rPr>
      </w:pPr>
      <w:r w:rsidRPr="00452479">
        <w:rPr>
          <w:rFonts w:ascii="Times New Roman" w:hAnsi="Times New Roman" w:cs="Times New Roman"/>
          <w:sz w:val="24"/>
          <w:szCs w:val="24"/>
          <w:u w:val="single"/>
        </w:rPr>
        <w:t xml:space="preserve">Příloha č. 1  </w:t>
      </w:r>
    </w:p>
    <w:p w:rsidR="00272013" w:rsidRPr="00452479" w:rsidRDefault="00272013" w:rsidP="00A4089E">
      <w:pPr>
        <w:jc w:val="both"/>
      </w:pPr>
    </w:p>
    <w:p w:rsidR="00A4089E" w:rsidRPr="008B148C" w:rsidRDefault="00A72CB1" w:rsidP="00A4089E">
      <w:pPr>
        <w:pStyle w:val="Zkladntext81"/>
        <w:shd w:val="clear" w:color="auto" w:fill="auto"/>
        <w:tabs>
          <w:tab w:val="left" w:pos="582"/>
        </w:tabs>
        <w:spacing w:before="0" w:after="0" w:line="360" w:lineRule="auto"/>
        <w:ind w:left="23"/>
        <w:jc w:val="center"/>
        <w:rPr>
          <w:rFonts w:ascii="Times New Roman" w:hAnsi="Times New Roman"/>
          <w:sz w:val="40"/>
          <w:szCs w:val="40"/>
        </w:rPr>
      </w:pPr>
      <w:r w:rsidRPr="008B148C">
        <w:rPr>
          <w:rFonts w:ascii="Times New Roman" w:hAnsi="Times New Roman"/>
          <w:sz w:val="40"/>
          <w:szCs w:val="40"/>
        </w:rPr>
        <w:t xml:space="preserve">Detailnější popis </w:t>
      </w:r>
      <w:r w:rsidR="009F31E4">
        <w:rPr>
          <w:rFonts w:ascii="Times New Roman" w:hAnsi="Times New Roman"/>
          <w:sz w:val="40"/>
          <w:szCs w:val="40"/>
        </w:rPr>
        <w:t>díla</w:t>
      </w:r>
      <w:r w:rsidRPr="008B148C">
        <w:rPr>
          <w:rFonts w:ascii="Times New Roman" w:hAnsi="Times New Roman"/>
          <w:sz w:val="40"/>
          <w:szCs w:val="40"/>
        </w:rPr>
        <w:t xml:space="preserve"> </w:t>
      </w:r>
    </w:p>
    <w:p w:rsidR="00A4089E" w:rsidRPr="00452479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ascii="Times New Roman" w:hAnsi="Times New Roman"/>
          <w:b w:val="0"/>
          <w:sz w:val="24"/>
          <w:szCs w:val="24"/>
        </w:rPr>
      </w:pPr>
    </w:p>
    <w:p w:rsidR="008B148C" w:rsidRPr="008B148C" w:rsidRDefault="00983DFE" w:rsidP="008B148C">
      <w:pPr>
        <w:pStyle w:val="Default"/>
        <w:rPr>
          <w:rFonts w:ascii="Times New Roman" w:hAnsi="Times New Roman" w:cs="Times New Roman"/>
          <w:b/>
        </w:rPr>
      </w:pPr>
      <w:r w:rsidRPr="008B148C">
        <w:rPr>
          <w:rFonts w:ascii="Times New Roman" w:hAnsi="Times New Roman" w:cs="Times New Roman"/>
          <w:b/>
          <w:bCs/>
        </w:rPr>
        <w:t>Předmětem plnění veřejné zakázky je kompletní dodávka</w:t>
      </w:r>
      <w:r w:rsidR="00793CAC" w:rsidRPr="008B148C">
        <w:rPr>
          <w:rFonts w:ascii="Times New Roman" w:hAnsi="Times New Roman" w:cs="Times New Roman"/>
          <w:b/>
          <w:bCs/>
        </w:rPr>
        <w:t xml:space="preserve"> a instalace</w:t>
      </w:r>
      <w:r w:rsidRPr="008B148C">
        <w:rPr>
          <w:rFonts w:ascii="Times New Roman" w:hAnsi="Times New Roman" w:cs="Times New Roman"/>
          <w:b/>
          <w:bCs/>
        </w:rPr>
        <w:t xml:space="preserve"> </w:t>
      </w:r>
      <w:r w:rsidR="00FB33A9" w:rsidRPr="008B148C">
        <w:rPr>
          <w:rFonts w:ascii="Times New Roman" w:hAnsi="Times New Roman" w:cs="Times New Roman"/>
          <w:b/>
        </w:rPr>
        <w:t>osvětlení snížených částí ateliérů FDUL</w:t>
      </w:r>
      <w:r w:rsidR="00452479" w:rsidRPr="008B148C">
        <w:rPr>
          <w:rFonts w:ascii="Times New Roman" w:hAnsi="Times New Roman" w:cs="Times New Roman"/>
          <w:b/>
        </w:rPr>
        <w:t>S.</w:t>
      </w:r>
      <w:r w:rsidR="008B148C" w:rsidRPr="008B148C">
        <w:rPr>
          <w:rFonts w:ascii="Times New Roman" w:hAnsi="Times New Roman" w:cs="Times New Roman"/>
          <w:b/>
        </w:rPr>
        <w:t xml:space="preserve"> Předáno tak bude funkční zapojení s revizní zprávou.</w:t>
      </w:r>
    </w:p>
    <w:p w:rsidR="008B148C" w:rsidRDefault="008B148C" w:rsidP="008B148C">
      <w:pPr>
        <w:jc w:val="both"/>
        <w:rPr>
          <w:bCs/>
          <w:highlight w:val="green"/>
        </w:rPr>
      </w:pPr>
    </w:p>
    <w:p w:rsidR="00452479" w:rsidRPr="0049327A" w:rsidRDefault="00452479" w:rsidP="008B148C">
      <w:pPr>
        <w:jc w:val="both"/>
      </w:pPr>
      <w:r w:rsidRPr="008B148C">
        <w:t xml:space="preserve">Řešení dodatečného osvětlení je založeno na použití LED lineárních světelných těles s níže definovanými parametry, jejichž výhodou je jejich design umožňující využít pro adjustaci stávající stropní nosníky bez instalování další </w:t>
      </w:r>
      <w:proofErr w:type="spellStart"/>
      <w:r w:rsidRPr="008B148C">
        <w:t>podvěšené</w:t>
      </w:r>
      <w:proofErr w:type="spellEnd"/>
      <w:r w:rsidRPr="008B148C">
        <w:t xml:space="preserve"> konstrukce. Jednoduchým přisazením lineárních těles na přírubu nosníku vznikne osvětlovací modul využívající </w:t>
      </w:r>
      <w:r w:rsidRPr="0049327A">
        <w:t xml:space="preserve">odrazného efektu, který podporuje elegantní minimalistický design, v kterém je řešen interiér budovy. </w:t>
      </w:r>
    </w:p>
    <w:p w:rsidR="0049327A" w:rsidRPr="0049327A" w:rsidRDefault="0049327A" w:rsidP="0049327A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26"/>
      </w:tblGrid>
      <w:tr w:rsidR="0049327A" w:rsidRPr="0049327A">
        <w:trPr>
          <w:trHeight w:val="403"/>
        </w:trPr>
        <w:tc>
          <w:tcPr>
            <w:tcW w:w="8326" w:type="dxa"/>
          </w:tcPr>
          <w:p w:rsidR="0049327A" w:rsidRPr="0049327A" w:rsidRDefault="0049327A" w:rsidP="00B138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9327A">
              <w:rPr>
                <w:rFonts w:ascii="Times New Roman" w:hAnsi="Times New Roman" w:cs="Times New Roman"/>
              </w:rPr>
              <w:t>Umístění je osazení na patky „T“ traverzy, vždy z obou stran určené traverzy, resp. u modulu G pouze z jedné „vnitřní“ strany. Tato světelná linka bude po celé délce osazena čelním výkrytem proti oslnění. LED trubice svíticí do stropu vytvoří dojem přirozeného světla a nebudou navozovat tzv. „ snížení prostoru“ jako u klasického závěsného lištového osvětlení.</w:t>
            </w:r>
          </w:p>
        </w:tc>
      </w:tr>
    </w:tbl>
    <w:p w:rsidR="0049327A" w:rsidRPr="0049327A" w:rsidRDefault="0049327A" w:rsidP="00B138F6">
      <w:pPr>
        <w:jc w:val="both"/>
      </w:pP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</w:p>
    <w:p w:rsidR="00443D74" w:rsidRPr="00AA060A" w:rsidRDefault="00443D74" w:rsidP="00B138F6">
      <w:pPr>
        <w:pStyle w:val="Default"/>
        <w:jc w:val="both"/>
        <w:rPr>
          <w:rFonts w:ascii="Times New Roman" w:hAnsi="Times New Roman" w:cs="Times New Roman"/>
          <w:b/>
        </w:rPr>
      </w:pPr>
      <w:r w:rsidRPr="00AA060A">
        <w:rPr>
          <w:rFonts w:ascii="Times New Roman" w:hAnsi="Times New Roman" w:cs="Times New Roman"/>
          <w:b/>
        </w:rPr>
        <w:t xml:space="preserve">Lineální těleso s integrovaným LED osvětlením včetně příslušenství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  <w:b/>
          <w:bCs/>
        </w:rPr>
        <w:t xml:space="preserve">parametry: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vzájemná přímá </w:t>
      </w:r>
      <w:proofErr w:type="spellStart"/>
      <w:r w:rsidRPr="008B148C">
        <w:rPr>
          <w:rFonts w:ascii="Times New Roman" w:hAnsi="Times New Roman" w:cs="Times New Roman"/>
        </w:rPr>
        <w:t>propojovatelnost</w:t>
      </w:r>
      <w:proofErr w:type="spellEnd"/>
      <w:r w:rsidRPr="008B148C">
        <w:rPr>
          <w:rFonts w:ascii="Times New Roman" w:hAnsi="Times New Roman" w:cs="Times New Roman"/>
        </w:rPr>
        <w:t xml:space="preserve">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montáž bez narušení stávající konstrukce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barevná teplota 4000K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minimální hodnota CRI80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intensita osvětlení 1600lm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30.000 hod garantovaná svítivost bez poklesu více než 30%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>napětí 230VAC</w:t>
      </w:r>
      <w:r w:rsidR="0049327A">
        <w:rPr>
          <w:rFonts w:ascii="Times New Roman" w:hAnsi="Times New Roman" w:cs="Times New Roman"/>
        </w:rPr>
        <w:t xml:space="preserve">, </w:t>
      </w:r>
      <w:r w:rsidRPr="008B148C">
        <w:rPr>
          <w:rFonts w:ascii="Times New Roman" w:hAnsi="Times New Roman" w:cs="Times New Roman"/>
        </w:rPr>
        <w:t xml:space="preserve">příkon 18W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vyměnitelnost světelného zdroje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čelní krytka proti oslnění / bílá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celková hmotnost do 1 kg </w:t>
      </w:r>
    </w:p>
    <w:p w:rsidR="00443D74" w:rsidRPr="008B148C" w:rsidRDefault="00443D74" w:rsidP="00B138F6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elektro instalační box 230VAC včetně svorek a spojek </w:t>
      </w:r>
    </w:p>
    <w:p w:rsidR="00443D74" w:rsidRPr="008B148C" w:rsidRDefault="00443D74" w:rsidP="00B138F6">
      <w:pPr>
        <w:jc w:val="both"/>
      </w:pPr>
      <w:r w:rsidRPr="008B148C">
        <w:t>spojovací a upevňovací materiál</w:t>
      </w:r>
    </w:p>
    <w:p w:rsidR="00443D74" w:rsidRPr="008B148C" w:rsidRDefault="00443D74" w:rsidP="008B148C">
      <w:pPr>
        <w:jc w:val="both"/>
      </w:pPr>
      <w:r w:rsidRPr="008B148C">
        <w:rPr>
          <w:noProof/>
        </w:rPr>
        <w:drawing>
          <wp:inline distT="0" distB="0" distL="0" distR="0" wp14:anchorId="27A5C679" wp14:editId="1DBBD126">
            <wp:extent cx="5089525" cy="2165350"/>
            <wp:effectExtent l="0" t="0" r="0" b="6350"/>
            <wp:docPr id="1" name="Obrázek 1" descr="C:\Users\kouda\Desktop\OsvetleniNizkeModuly\Detail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da\Desktop\OsvetleniNizkeModuly\Detail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86" w:rsidRDefault="00336586" w:rsidP="008B148C">
      <w:pPr>
        <w:jc w:val="both"/>
      </w:pPr>
    </w:p>
    <w:p w:rsidR="00336586" w:rsidRDefault="00336586" w:rsidP="008B148C">
      <w:pPr>
        <w:jc w:val="both"/>
      </w:pPr>
    </w:p>
    <w:p w:rsidR="00452479" w:rsidRPr="008B148C" w:rsidRDefault="00452479" w:rsidP="003B517D">
      <w:pPr>
        <w:jc w:val="both"/>
      </w:pPr>
      <w:r w:rsidRPr="008B148C">
        <w:lastRenderedPageBreak/>
        <w:t>Ovládání osvětlení bude přes RF moduly, čímž se vyhneme problémům s tažením kabelů do zábradlí, v němž jsou umístěny vypínače stávajícího osvětlení.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</w:p>
    <w:p w:rsidR="00443D74" w:rsidRPr="00AA060A" w:rsidRDefault="00443D74" w:rsidP="003B517D">
      <w:pPr>
        <w:pStyle w:val="Default"/>
        <w:jc w:val="both"/>
        <w:rPr>
          <w:rFonts w:ascii="Times New Roman" w:hAnsi="Times New Roman" w:cs="Times New Roman"/>
          <w:b/>
        </w:rPr>
      </w:pPr>
      <w:r w:rsidRPr="00AA060A">
        <w:rPr>
          <w:rFonts w:ascii="Times New Roman" w:hAnsi="Times New Roman" w:cs="Times New Roman"/>
          <w:b/>
        </w:rPr>
        <w:t xml:space="preserve">RF modul vysílač </w:t>
      </w:r>
      <w:proofErr w:type="spellStart"/>
      <w:r w:rsidRPr="00AA060A">
        <w:rPr>
          <w:rFonts w:ascii="Times New Roman" w:hAnsi="Times New Roman" w:cs="Times New Roman"/>
          <w:b/>
        </w:rPr>
        <w:t>dvojklapka</w:t>
      </w:r>
      <w:proofErr w:type="spellEnd"/>
      <w:r w:rsidRPr="00AA060A">
        <w:rPr>
          <w:rFonts w:ascii="Times New Roman" w:hAnsi="Times New Roman" w:cs="Times New Roman"/>
          <w:b/>
        </w:rPr>
        <w:t xml:space="preserve"> včetně vypínačové</w:t>
      </w:r>
      <w:r w:rsidR="0054410B" w:rsidRPr="00AA060A">
        <w:rPr>
          <w:rFonts w:ascii="Times New Roman" w:hAnsi="Times New Roman" w:cs="Times New Roman"/>
          <w:b/>
        </w:rPr>
        <w:t>ho</w:t>
      </w:r>
      <w:r w:rsidRPr="00AA060A">
        <w:rPr>
          <w:rFonts w:ascii="Times New Roman" w:hAnsi="Times New Roman" w:cs="Times New Roman"/>
          <w:b/>
        </w:rPr>
        <w:t xml:space="preserve"> příslušenství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  <w:b/>
          <w:bCs/>
        </w:rPr>
        <w:t xml:space="preserve">parametry: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povrchová barva bílá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8B148C">
        <w:rPr>
          <w:rFonts w:ascii="Times New Roman" w:hAnsi="Times New Roman" w:cs="Times New Roman"/>
        </w:rPr>
        <w:t>dvojklapka</w:t>
      </w:r>
      <w:proofErr w:type="spellEnd"/>
      <w:r w:rsidRPr="008B148C">
        <w:rPr>
          <w:rFonts w:ascii="Times New Roman" w:hAnsi="Times New Roman" w:cs="Times New Roman"/>
        </w:rPr>
        <w:t xml:space="preserve">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zabezpečení plovoucím kódem </w:t>
      </w:r>
    </w:p>
    <w:p w:rsidR="00443D74" w:rsidRPr="008B148C" w:rsidRDefault="00443D74" w:rsidP="003B517D">
      <w:pPr>
        <w:jc w:val="both"/>
      </w:pPr>
      <w:r w:rsidRPr="008B148C">
        <w:t>RF 866MHz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</w:p>
    <w:p w:rsidR="00443D74" w:rsidRPr="00AA060A" w:rsidRDefault="00443D74" w:rsidP="003B517D">
      <w:pPr>
        <w:pStyle w:val="Default"/>
        <w:jc w:val="both"/>
        <w:rPr>
          <w:rFonts w:ascii="Times New Roman" w:hAnsi="Times New Roman" w:cs="Times New Roman"/>
          <w:b/>
        </w:rPr>
      </w:pPr>
      <w:r w:rsidRPr="00AA060A">
        <w:rPr>
          <w:rFonts w:ascii="Times New Roman" w:hAnsi="Times New Roman" w:cs="Times New Roman"/>
          <w:b/>
        </w:rPr>
        <w:t xml:space="preserve">RF modul přijímač včetně instalační krabice a spojovacího materiálu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  <w:b/>
          <w:bCs/>
        </w:rPr>
        <w:t xml:space="preserve">parametry: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zabezpečení plovoucím kódem </w:t>
      </w:r>
    </w:p>
    <w:p w:rsidR="00443D74" w:rsidRPr="008B148C" w:rsidRDefault="00443D74" w:rsidP="003B517D">
      <w:pPr>
        <w:jc w:val="both"/>
      </w:pPr>
      <w:r w:rsidRPr="008B148C">
        <w:t>RF 866MHz</w:t>
      </w:r>
    </w:p>
    <w:p w:rsidR="00443D74" w:rsidRPr="008B148C" w:rsidRDefault="00443D74" w:rsidP="003B517D">
      <w:pPr>
        <w:jc w:val="both"/>
      </w:pPr>
    </w:p>
    <w:p w:rsidR="00443D74" w:rsidRPr="008B148C" w:rsidRDefault="00443D74" w:rsidP="003B517D">
      <w:pPr>
        <w:jc w:val="both"/>
        <w:rPr>
          <w:bCs/>
          <w:color w:val="000000"/>
        </w:rPr>
      </w:pPr>
      <w:r w:rsidRPr="008B148C">
        <w:t xml:space="preserve">Součástí doplnění osvětlení je i instalace </w:t>
      </w:r>
      <w:r w:rsidRPr="0049327A">
        <w:rPr>
          <w:b/>
        </w:rPr>
        <w:t>p</w:t>
      </w:r>
      <w:r w:rsidRPr="0049327A">
        <w:rPr>
          <w:b/>
          <w:bCs/>
          <w:color w:val="000000"/>
        </w:rPr>
        <w:t>rostorov</w:t>
      </w:r>
      <w:r w:rsidR="00AA060A" w:rsidRPr="0049327A">
        <w:rPr>
          <w:b/>
          <w:bCs/>
          <w:color w:val="000000"/>
        </w:rPr>
        <w:t>ých</w:t>
      </w:r>
      <w:r w:rsidRPr="0049327A">
        <w:rPr>
          <w:b/>
          <w:bCs/>
          <w:color w:val="000000"/>
        </w:rPr>
        <w:t xml:space="preserve"> rozvaděč</w:t>
      </w:r>
      <w:r w:rsidR="00AA060A" w:rsidRPr="0049327A">
        <w:rPr>
          <w:b/>
          <w:bCs/>
          <w:color w:val="000000"/>
        </w:rPr>
        <w:t>ů</w:t>
      </w:r>
      <w:r w:rsidRPr="0049327A">
        <w:rPr>
          <w:b/>
          <w:bCs/>
          <w:color w:val="000000"/>
        </w:rPr>
        <w:t xml:space="preserve"> 230VAC</w:t>
      </w:r>
      <w:r w:rsidRPr="008B148C">
        <w:rPr>
          <w:bCs/>
          <w:color w:val="000000"/>
        </w:rPr>
        <w:t xml:space="preserve"> v zásuvkové kombinaci 4x230VAC v rozsahu vždy dva rozvaděče v pěti snížených modulech</w:t>
      </w:r>
      <w:r w:rsidR="00D86F44">
        <w:rPr>
          <w:bCs/>
          <w:color w:val="000000"/>
        </w:rPr>
        <w:t xml:space="preserve"> (B-E + G)</w:t>
      </w:r>
      <w:r w:rsidRPr="008B148C">
        <w:rPr>
          <w:bCs/>
          <w:color w:val="000000"/>
        </w:rPr>
        <w:t>.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  <w:b/>
          <w:bCs/>
        </w:rPr>
        <w:t xml:space="preserve">Parametry: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Zásuvkový rozvaděč 4x230VAC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ochranný kolík 16A 230VAC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horní přívod 230VAC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rozměr 140x140mm </w:t>
      </w:r>
    </w:p>
    <w:p w:rsidR="00443D74" w:rsidRPr="008B148C" w:rsidRDefault="00443D74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přívodní elektro instalační box 230VAC, svorky </w:t>
      </w:r>
    </w:p>
    <w:p w:rsidR="00443D74" w:rsidRPr="008B148C" w:rsidRDefault="00443D74" w:rsidP="003B517D">
      <w:pPr>
        <w:jc w:val="both"/>
      </w:pPr>
      <w:r w:rsidRPr="008B148C">
        <w:t>jist</w:t>
      </w:r>
      <w:r w:rsidR="00AA060A">
        <w:t>í</w:t>
      </w:r>
      <w:r w:rsidRPr="008B148C">
        <w:t>cí závěsné lanka včetně spojovacího materiálu</w:t>
      </w:r>
    </w:p>
    <w:p w:rsidR="00443D74" w:rsidRPr="008B148C" w:rsidRDefault="00443D74" w:rsidP="003B517D">
      <w:pPr>
        <w:jc w:val="both"/>
      </w:pPr>
      <w:bookmarkStart w:id="0" w:name="_GoBack"/>
      <w:bookmarkEnd w:id="0"/>
    </w:p>
    <w:p w:rsidR="0054410B" w:rsidRPr="00AA060A" w:rsidRDefault="0054410B" w:rsidP="003B517D">
      <w:pPr>
        <w:pStyle w:val="Default"/>
        <w:jc w:val="both"/>
        <w:rPr>
          <w:rFonts w:ascii="Times New Roman" w:hAnsi="Times New Roman" w:cs="Times New Roman"/>
          <w:b/>
        </w:rPr>
      </w:pPr>
      <w:r w:rsidRPr="00AA060A">
        <w:rPr>
          <w:rFonts w:ascii="Times New Roman" w:hAnsi="Times New Roman" w:cs="Times New Roman"/>
          <w:b/>
        </w:rPr>
        <w:t>Osvětlení bude ji</w:t>
      </w:r>
      <w:r w:rsidR="0049327A">
        <w:rPr>
          <w:rFonts w:ascii="Times New Roman" w:hAnsi="Times New Roman" w:cs="Times New Roman"/>
          <w:b/>
        </w:rPr>
        <w:t>š</w:t>
      </w:r>
      <w:r w:rsidRPr="00AA060A">
        <w:rPr>
          <w:rFonts w:ascii="Times New Roman" w:hAnsi="Times New Roman" w:cs="Times New Roman"/>
          <w:b/>
        </w:rPr>
        <w:t>těno jističem 10A C, zásuvkové rozvaděče jističem 16A B</w:t>
      </w:r>
    </w:p>
    <w:p w:rsidR="00452479" w:rsidRPr="008B148C" w:rsidRDefault="00452479" w:rsidP="003B517D">
      <w:pPr>
        <w:pStyle w:val="Default"/>
        <w:jc w:val="both"/>
        <w:rPr>
          <w:rFonts w:ascii="Times New Roman" w:hAnsi="Times New Roman" w:cs="Times New Roman"/>
        </w:rPr>
      </w:pPr>
    </w:p>
    <w:p w:rsidR="0054410B" w:rsidRPr="008B148C" w:rsidRDefault="0054410B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  <w:b/>
          <w:bCs/>
        </w:rPr>
        <w:t xml:space="preserve">Instalace bude provedena kabely s parametry: </w:t>
      </w:r>
    </w:p>
    <w:p w:rsidR="0054410B" w:rsidRPr="008B148C" w:rsidRDefault="0054410B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ochranný vodič Ano </w:t>
      </w:r>
    </w:p>
    <w:p w:rsidR="0054410B" w:rsidRPr="008B148C" w:rsidRDefault="0054410B" w:rsidP="003B517D">
      <w:pPr>
        <w:pStyle w:val="Default"/>
        <w:jc w:val="both"/>
        <w:rPr>
          <w:rFonts w:ascii="Times New Roman" w:hAnsi="Times New Roman" w:cs="Times New Roman"/>
        </w:rPr>
      </w:pPr>
      <w:r w:rsidRPr="008B148C">
        <w:rPr>
          <w:rFonts w:ascii="Times New Roman" w:hAnsi="Times New Roman" w:cs="Times New Roman"/>
        </w:rPr>
        <w:t xml:space="preserve">s nízkou kouřivostí dle EN 61034-2 </w:t>
      </w:r>
    </w:p>
    <w:p w:rsidR="0054410B" w:rsidRPr="008B148C" w:rsidRDefault="00505229" w:rsidP="003B51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4410B" w:rsidRPr="008B148C">
        <w:rPr>
          <w:rFonts w:ascii="Times New Roman" w:hAnsi="Times New Roman" w:cs="Times New Roman"/>
        </w:rPr>
        <w:t xml:space="preserve">epodporující hoření Dle EN 60332-1-2 </w:t>
      </w:r>
    </w:p>
    <w:p w:rsidR="0054410B" w:rsidRPr="008B148C" w:rsidRDefault="00505229" w:rsidP="003B51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4410B" w:rsidRPr="008B148C">
        <w:rPr>
          <w:rFonts w:ascii="Times New Roman" w:hAnsi="Times New Roman" w:cs="Times New Roman"/>
        </w:rPr>
        <w:t>arva pláště oranžová</w:t>
      </w:r>
    </w:p>
    <w:p w:rsidR="0054410B" w:rsidRPr="008B148C" w:rsidRDefault="00505229" w:rsidP="003B51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410B" w:rsidRPr="008B148C">
        <w:rPr>
          <w:rFonts w:ascii="Times New Roman" w:hAnsi="Times New Roman" w:cs="Times New Roman"/>
        </w:rPr>
        <w:t>oužití stejných protipožárních průchodů v místech, kde jsou použity na stávající kabely</w:t>
      </w:r>
    </w:p>
    <w:p w:rsidR="0054410B" w:rsidRDefault="0054410B" w:rsidP="003B517D">
      <w:pPr>
        <w:pStyle w:val="Default"/>
        <w:jc w:val="both"/>
        <w:rPr>
          <w:rFonts w:ascii="Times New Roman" w:hAnsi="Times New Roman" w:cs="Times New Roman"/>
        </w:rPr>
      </w:pPr>
    </w:p>
    <w:p w:rsidR="0064601A" w:rsidRPr="006F7796" w:rsidRDefault="00D57BCE" w:rsidP="003B517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49327A" w:rsidRPr="006F7796">
        <w:rPr>
          <w:rFonts w:ascii="Times New Roman" w:hAnsi="Times New Roman" w:cs="Times New Roman"/>
          <w:b/>
        </w:rPr>
        <w:t xml:space="preserve">ákres </w:t>
      </w:r>
      <w:r w:rsidR="006F7796">
        <w:rPr>
          <w:rFonts w:ascii="Times New Roman" w:hAnsi="Times New Roman" w:cs="Times New Roman"/>
          <w:b/>
        </w:rPr>
        <w:t xml:space="preserve">rozmístění </w:t>
      </w:r>
      <w:r w:rsidR="0049327A" w:rsidRPr="006F7796">
        <w:rPr>
          <w:rFonts w:ascii="Times New Roman" w:hAnsi="Times New Roman" w:cs="Times New Roman"/>
          <w:b/>
        </w:rPr>
        <w:t>instalovaných modulů v půdorysu budovy</w:t>
      </w:r>
      <w:r w:rsidR="00336586">
        <w:rPr>
          <w:rFonts w:ascii="Times New Roman" w:hAnsi="Times New Roman" w:cs="Times New Roman"/>
          <w:b/>
        </w:rPr>
        <w:t xml:space="preserve">. </w:t>
      </w:r>
      <w:r w:rsidR="00336586" w:rsidRPr="00336586">
        <w:rPr>
          <w:rFonts w:ascii="Times New Roman" w:hAnsi="Times New Roman" w:cs="Times New Roman"/>
        </w:rPr>
        <w:t xml:space="preserve">Plánek příslušného </w:t>
      </w:r>
      <w:r w:rsidR="00336586">
        <w:rPr>
          <w:rFonts w:ascii="Times New Roman" w:hAnsi="Times New Roman" w:cs="Times New Roman"/>
        </w:rPr>
        <w:t xml:space="preserve">podlaží </w:t>
      </w:r>
      <w:r w:rsidR="00336586" w:rsidRPr="00336586">
        <w:rPr>
          <w:rFonts w:ascii="Times New Roman" w:hAnsi="Times New Roman" w:cs="Times New Roman"/>
        </w:rPr>
        <w:t>s detailními rozměry je přiložen v samostatné příloze</w:t>
      </w:r>
      <w:r w:rsidR="0049327A" w:rsidRPr="006F7796">
        <w:rPr>
          <w:rFonts w:ascii="Times New Roman" w:hAnsi="Times New Roman" w:cs="Times New Roman"/>
          <w:b/>
        </w:rPr>
        <w:t>:</w:t>
      </w:r>
    </w:p>
    <w:p w:rsidR="0049327A" w:rsidRDefault="006F7796" w:rsidP="008B14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581291" cy="2728125"/>
            <wp:effectExtent l="0" t="0" r="635" b="0"/>
            <wp:docPr id="2" name="Obrázek 2" descr="C:\Users\kouda\Desktop\OsvetleniNizkeModuly\2NPcistyCis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uda\Desktop\OsvetleniNizkeModuly\2NPcistyCis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291" cy="27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86" w:rsidRDefault="00336586" w:rsidP="008B148C">
      <w:pPr>
        <w:pStyle w:val="Default"/>
        <w:rPr>
          <w:rFonts w:ascii="Times New Roman" w:hAnsi="Times New Roman" w:cs="Times New Roman"/>
          <w:b/>
        </w:rPr>
      </w:pPr>
    </w:p>
    <w:p w:rsidR="0064601A" w:rsidRPr="00D57BCE" w:rsidRDefault="00D57BCE" w:rsidP="008B148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</w:t>
      </w:r>
      <w:r w:rsidR="006F7796" w:rsidRPr="00D57BCE">
        <w:rPr>
          <w:rFonts w:ascii="Times New Roman" w:hAnsi="Times New Roman" w:cs="Times New Roman"/>
          <w:b/>
        </w:rPr>
        <w:t>ákres umístění LED těles v jednotlivých modulech:</w:t>
      </w:r>
    </w:p>
    <w:p w:rsidR="006F7796" w:rsidRDefault="00D57BCE" w:rsidP="008B14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62625" cy="4451350"/>
            <wp:effectExtent l="0" t="0" r="9525" b="6350"/>
            <wp:docPr id="5" name="Obrázek 5" descr="C:\Users\kouda\Desktop\OsvetleniNizkeModuly\KOMP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uda\Desktop\OsvetleniNizkeModuly\KOMPL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1A" w:rsidRDefault="0064601A" w:rsidP="008B148C">
      <w:pPr>
        <w:pStyle w:val="Default"/>
        <w:rPr>
          <w:rFonts w:ascii="Times New Roman" w:hAnsi="Times New Roman" w:cs="Times New Roman"/>
        </w:rPr>
      </w:pPr>
    </w:p>
    <w:p w:rsidR="00CA6463" w:rsidRDefault="00CA6463" w:rsidP="008B148C">
      <w:pPr>
        <w:pStyle w:val="Default"/>
        <w:rPr>
          <w:rFonts w:ascii="Times New Roman" w:hAnsi="Times New Roman" w:cs="Times New Roman"/>
        </w:rPr>
      </w:pPr>
    </w:p>
    <w:p w:rsidR="00D57BCE" w:rsidRDefault="00D57BCE" w:rsidP="008B148C">
      <w:pPr>
        <w:pStyle w:val="Default"/>
        <w:rPr>
          <w:rFonts w:ascii="Times New Roman" w:hAnsi="Times New Roman" w:cs="Times New Roman"/>
          <w:b/>
        </w:rPr>
      </w:pPr>
      <w:r w:rsidRPr="00D8375C">
        <w:rPr>
          <w:rFonts w:ascii="Times New Roman" w:hAnsi="Times New Roman" w:cs="Times New Roman"/>
          <w:b/>
        </w:rPr>
        <w:t>Rozpis materiálu v jednotlivých modulech:</w:t>
      </w: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0"/>
        <w:gridCol w:w="980"/>
      </w:tblGrid>
      <w:tr w:rsidR="005F1349" w:rsidTr="005F1349">
        <w:trPr>
          <w:trHeight w:val="313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 / 3x2 linka - celkem 30ks těles / celkový příkon 540W / rozdělení vypínačem na 2 okruhy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LED přisazené světelné těleso 1200mm 1600lm CRI80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Čelní krytka proti oslnění 1m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Spojovací a upevňovací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Krabice připojovací, svorky </w:t>
            </w:r>
            <w:proofErr w:type="spellStart"/>
            <w:r>
              <w:rPr>
                <w:color w:val="000000"/>
              </w:rPr>
              <w:t>Waga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Kabel nehořlavý 5x2,5 / veden od místa osvětlení do rozvaděče + rozvod osvětlení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Pásky, spojovací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přijímač / dálkové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 / dva okruhy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vysílač / klapka vypínač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Příslušenství k vypínači, krabička, krytka…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Samostatné odjištění / rozvaděč / stykač/ příslušenství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 - E / 4x2 linka - celkem 40ks těles / celkový příkon 720W / rozdělení vypínačem na 2 okruhy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LED přisazené světelné těleso 1200mm 1600lm CRI80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Čelní krytka proti oslnění 1m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Spojovací a upevňovací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Krabice připojovací, svorky </w:t>
            </w:r>
            <w:proofErr w:type="spellStart"/>
            <w:r>
              <w:rPr>
                <w:color w:val="000000"/>
              </w:rPr>
              <w:t>Waga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Kabel nehořlavý 5x2,5 / veden od místa osvětlení do rozvaděče + rozvod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Pásky, spojovací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RF modul / přijímač / dálkové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 / dva okruhy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vysílač / klapka vypínač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Příslušenství k vypínači, krabička, krytka…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Samostatné odjištění / rozvaděč / stykač/ příslušenství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Prostorový rozvaděč 230VAC / zásuvková kombinace 4x230VAC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Krabice připojovací, svorky </w:t>
            </w:r>
            <w:proofErr w:type="spellStart"/>
            <w:r>
              <w:rPr>
                <w:color w:val="000000"/>
              </w:rPr>
              <w:t>Waga</w:t>
            </w:r>
            <w:proofErr w:type="spellEnd"/>
            <w:r>
              <w:rPr>
                <w:color w:val="000000"/>
              </w:rPr>
              <w:t xml:space="preserve"> / jisticí lanka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Kabel nehořlavý 3x2,5 / veden od místa do rozvaděče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Samostatné odjištění / rozvaděč / stykač/ příslušenství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 / 4x2 linka - celkem 40ks těles / celkový příkon 720W / rozdělení vypínačem na 2 okruhy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LED přisazené světelné těleso 1200mm 1600lm CRI80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Čelní krytka proti oslnění 1m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Spojovací a upevňovací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Krabice připojovací, svorky </w:t>
            </w:r>
            <w:proofErr w:type="spellStart"/>
            <w:r>
              <w:rPr>
                <w:color w:val="000000"/>
              </w:rPr>
              <w:t>Waga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Kabel nehořlavý 5x2,5 / veden od místa osvětlení do rozvaděče + rozvod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Pásky, spojovací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přijímač / dálkové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 / dva okruhy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vysílač / klapka vypínač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Příslušenství k vypínači, krabička, krytka…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Samostatné odjištění / rozvaděč / stykač/ příslušenství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 / 5x2+2x1 linka - celkem 60ks těles / celkový příkon 1080W / rozdělení vypínačem na 2 okruhy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LED přisazené světelné těleso 1200mm 1600lm CRI80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Čelní krytka proti oslnění 1m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Spojovací a upevňovací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Krabice připojovací, svorky </w:t>
            </w:r>
            <w:proofErr w:type="spellStart"/>
            <w:r>
              <w:rPr>
                <w:color w:val="000000"/>
              </w:rPr>
              <w:t>Waga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Kabel nehořlavý 5x2,5 / veden od místa osvětlení do rozvaděče + rozvod osvětlení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Pásky, spojovací materiál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přijímač / dálkové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 / dva okruhy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RF modul / vysílač / klapka vypínač </w:t>
            </w:r>
            <w:proofErr w:type="spellStart"/>
            <w:r>
              <w:rPr>
                <w:color w:val="000000"/>
              </w:rPr>
              <w:t>zap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vyp</w:t>
            </w:r>
            <w:proofErr w:type="spellEnd"/>
            <w:r>
              <w:rPr>
                <w:color w:val="000000"/>
              </w:rPr>
              <w:t xml:space="preserve">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Příslušenství k vypínači, krabička, krytka…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Samostatné odjištění / rozvaděč / stykač/ příslušenství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Prostorový rozvaděč 230VAC / zásuvková kombinace 4x230VAC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El. Krabice připojovací, svorky </w:t>
            </w:r>
            <w:proofErr w:type="spellStart"/>
            <w:r>
              <w:rPr>
                <w:color w:val="000000"/>
              </w:rPr>
              <w:t>Waga</w:t>
            </w:r>
            <w:proofErr w:type="spellEnd"/>
            <w:r>
              <w:rPr>
                <w:color w:val="000000"/>
              </w:rPr>
              <w:t xml:space="preserve"> / jisticí lanka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El. Kabel nehořlavý 3x2,5 / veden od místa osvětlení do rozvaděče + rozvod osvětlení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</w:p>
        </w:tc>
      </w:tr>
      <w:tr w:rsidR="005F1349" w:rsidTr="005F1349">
        <w:trPr>
          <w:trHeight w:val="313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rPr>
                <w:color w:val="000000"/>
              </w:rPr>
            </w:pPr>
            <w:r>
              <w:rPr>
                <w:color w:val="000000"/>
              </w:rPr>
              <w:t>Samostatné odjištění / rozvaděč / stykač/ příslušenství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349" w:rsidRDefault="005F13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5F1349" w:rsidRDefault="005F1349" w:rsidP="008B148C">
      <w:pPr>
        <w:pStyle w:val="Default"/>
        <w:rPr>
          <w:rFonts w:ascii="Times New Roman" w:hAnsi="Times New Roman" w:cs="Times New Roman"/>
          <w:b/>
        </w:rPr>
      </w:pPr>
    </w:p>
    <w:sectPr w:rsidR="005F1349" w:rsidSect="003365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E69"/>
    <w:multiLevelType w:val="hybridMultilevel"/>
    <w:tmpl w:val="86DC2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6262B"/>
    <w:multiLevelType w:val="multilevel"/>
    <w:tmpl w:val="EF88EEBA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4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16695D6D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78E1E22"/>
    <w:multiLevelType w:val="hybridMultilevel"/>
    <w:tmpl w:val="49887990"/>
    <w:lvl w:ilvl="0" w:tplc="9A206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2C945413"/>
    <w:multiLevelType w:val="hybridMultilevel"/>
    <w:tmpl w:val="6374F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C4096"/>
    <w:multiLevelType w:val="hybridMultilevel"/>
    <w:tmpl w:val="1542D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25"/>
  </w:num>
  <w:num w:numId="14">
    <w:abstractNumId w:val="16"/>
  </w:num>
  <w:num w:numId="15">
    <w:abstractNumId w:val="19"/>
  </w:num>
  <w:num w:numId="16">
    <w:abstractNumId w:val="26"/>
  </w:num>
  <w:num w:numId="17">
    <w:abstractNumId w:val="6"/>
  </w:num>
  <w:num w:numId="18">
    <w:abstractNumId w:val="17"/>
  </w:num>
  <w:num w:numId="19">
    <w:abstractNumId w:val="8"/>
  </w:num>
  <w:num w:numId="20">
    <w:abstractNumId w:val="11"/>
  </w:num>
  <w:num w:numId="21">
    <w:abstractNumId w:val="3"/>
  </w:num>
  <w:num w:numId="22">
    <w:abstractNumId w:val="15"/>
  </w:num>
  <w:num w:numId="23">
    <w:abstractNumId w:val="2"/>
  </w:num>
  <w:num w:numId="24">
    <w:abstractNumId w:val="2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21553"/>
    <w:rsid w:val="00037D96"/>
    <w:rsid w:val="000415E6"/>
    <w:rsid w:val="000457A1"/>
    <w:rsid w:val="000733AB"/>
    <w:rsid w:val="00087E00"/>
    <w:rsid w:val="000B7129"/>
    <w:rsid w:val="000C1A22"/>
    <w:rsid w:val="000C3338"/>
    <w:rsid w:val="001152FB"/>
    <w:rsid w:val="001D61A1"/>
    <w:rsid w:val="00206CF1"/>
    <w:rsid w:val="00214808"/>
    <w:rsid w:val="00272013"/>
    <w:rsid w:val="00287B19"/>
    <w:rsid w:val="003341E1"/>
    <w:rsid w:val="00336586"/>
    <w:rsid w:val="003B517D"/>
    <w:rsid w:val="003C3A12"/>
    <w:rsid w:val="003F35FA"/>
    <w:rsid w:val="003F7B6F"/>
    <w:rsid w:val="00443D74"/>
    <w:rsid w:val="00452479"/>
    <w:rsid w:val="00480FF5"/>
    <w:rsid w:val="0049327A"/>
    <w:rsid w:val="00505229"/>
    <w:rsid w:val="0054410B"/>
    <w:rsid w:val="00551EF7"/>
    <w:rsid w:val="005B2417"/>
    <w:rsid w:val="005C23B8"/>
    <w:rsid w:val="005F1349"/>
    <w:rsid w:val="00600567"/>
    <w:rsid w:val="00615744"/>
    <w:rsid w:val="00643563"/>
    <w:rsid w:val="0064601A"/>
    <w:rsid w:val="00651D0B"/>
    <w:rsid w:val="006A0EF7"/>
    <w:rsid w:val="006C4ED7"/>
    <w:rsid w:val="006C5A74"/>
    <w:rsid w:val="006D524B"/>
    <w:rsid w:val="006F7796"/>
    <w:rsid w:val="007162AB"/>
    <w:rsid w:val="00772736"/>
    <w:rsid w:val="00793CAC"/>
    <w:rsid w:val="00825D72"/>
    <w:rsid w:val="0084775F"/>
    <w:rsid w:val="00850620"/>
    <w:rsid w:val="00850A0F"/>
    <w:rsid w:val="00854C79"/>
    <w:rsid w:val="008A57F3"/>
    <w:rsid w:val="008B148C"/>
    <w:rsid w:val="008B3646"/>
    <w:rsid w:val="00905C83"/>
    <w:rsid w:val="009249CF"/>
    <w:rsid w:val="00936CF4"/>
    <w:rsid w:val="00960265"/>
    <w:rsid w:val="00983DFE"/>
    <w:rsid w:val="009D0A49"/>
    <w:rsid w:val="009F31E4"/>
    <w:rsid w:val="00A03D5E"/>
    <w:rsid w:val="00A27402"/>
    <w:rsid w:val="00A4089E"/>
    <w:rsid w:val="00A639C2"/>
    <w:rsid w:val="00A71A71"/>
    <w:rsid w:val="00A72CB1"/>
    <w:rsid w:val="00A96585"/>
    <w:rsid w:val="00AA060A"/>
    <w:rsid w:val="00AA06D5"/>
    <w:rsid w:val="00AE4FDC"/>
    <w:rsid w:val="00B138F6"/>
    <w:rsid w:val="00B66309"/>
    <w:rsid w:val="00B74AD1"/>
    <w:rsid w:val="00B76F8B"/>
    <w:rsid w:val="00BA0179"/>
    <w:rsid w:val="00BB4F45"/>
    <w:rsid w:val="00C201E3"/>
    <w:rsid w:val="00C55039"/>
    <w:rsid w:val="00C847AF"/>
    <w:rsid w:val="00CA6463"/>
    <w:rsid w:val="00CD4510"/>
    <w:rsid w:val="00D12E58"/>
    <w:rsid w:val="00D25011"/>
    <w:rsid w:val="00D57BCE"/>
    <w:rsid w:val="00D8375C"/>
    <w:rsid w:val="00D86F44"/>
    <w:rsid w:val="00DE4401"/>
    <w:rsid w:val="00E82206"/>
    <w:rsid w:val="00E907E1"/>
    <w:rsid w:val="00F17A16"/>
    <w:rsid w:val="00F22EE0"/>
    <w:rsid w:val="00FB33A9"/>
    <w:rsid w:val="00FC7226"/>
    <w:rsid w:val="00FE1B50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3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6D524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D524B"/>
  </w:style>
  <w:style w:type="character" w:customStyle="1" w:styleId="PedmtkomenteChar">
    <w:name w:val="Předmět komentáře Char"/>
    <w:basedOn w:val="TextkomenteChar"/>
    <w:link w:val="Pedmtkomente"/>
    <w:rsid w:val="006D524B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983D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452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3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6D524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D524B"/>
  </w:style>
  <w:style w:type="character" w:customStyle="1" w:styleId="PedmtkomenteChar">
    <w:name w:val="Předmět komentáře Char"/>
    <w:basedOn w:val="TextkomenteChar"/>
    <w:link w:val="Pedmtkomente"/>
    <w:rsid w:val="006D524B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983D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452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E190-AE19-4540-9FE0-19916DC9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841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Soňa PECKERTOVÁ</cp:lastModifiedBy>
  <cp:revision>9</cp:revision>
  <cp:lastPrinted>2016-09-27T09:30:00Z</cp:lastPrinted>
  <dcterms:created xsi:type="dcterms:W3CDTF">2017-05-12T12:20:00Z</dcterms:created>
  <dcterms:modified xsi:type="dcterms:W3CDTF">2017-05-17T07:18:00Z</dcterms:modified>
</cp:coreProperties>
</file>