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9569" w14:textId="77777777" w:rsidR="00000000" w:rsidRDefault="006E291D">
      <w:pPr>
        <w:pStyle w:val="Style2"/>
        <w:framePr w:w="9562" w:h="12859" w:hRule="exact" w:wrap="none" w:vAnchor="page" w:hAnchor="page" w:x="960" w:y="1474"/>
        <w:shd w:val="clear" w:color="auto" w:fill="auto"/>
        <w:spacing w:after="0"/>
        <w:ind w:firstLine="0"/>
        <w:jc w:val="center"/>
      </w:pPr>
      <w:bookmarkStart w:id="0" w:name="bookmark0"/>
      <w:bookmarkStart w:id="1" w:name="bookmark1"/>
      <w:bookmarkStart w:id="2" w:name="bookmark2"/>
      <w:r>
        <w:rPr>
          <w:rStyle w:val="CharStyle3"/>
          <w:b/>
          <w:bCs/>
          <w:color w:val="000000"/>
        </w:rPr>
        <w:t>SMLOUVA</w:t>
      </w:r>
      <w:bookmarkEnd w:id="0"/>
      <w:bookmarkEnd w:id="1"/>
      <w:bookmarkEnd w:id="2"/>
    </w:p>
    <w:p w14:paraId="1DC8AAB3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0"/>
        <w:jc w:val="center"/>
      </w:pPr>
      <w:r>
        <w:rPr>
          <w:rStyle w:val="CharStyle5"/>
          <w:b/>
          <w:bCs/>
          <w:color w:val="000000"/>
        </w:rPr>
        <w:t>O POSKYTOVÁNÍ PRÁVNÍCH SLUŽEB</w:t>
      </w:r>
      <w:r>
        <w:rPr>
          <w:rStyle w:val="CharStyle5"/>
          <w:b/>
          <w:bCs/>
          <w:color w:val="000000"/>
        </w:rPr>
        <w:br/>
      </w:r>
      <w:r>
        <w:rPr>
          <w:rStyle w:val="CharStyle5"/>
          <w:color w:val="000000"/>
        </w:rPr>
        <w:t>podle § 2430 a násl. zákona č. 89/2013 Sb. (občanský</w:t>
      </w:r>
      <w:r>
        <w:rPr>
          <w:rStyle w:val="CharStyle5"/>
          <w:color w:val="000000"/>
        </w:rPr>
        <w:br/>
        <w:t>zákoník), za použití zákona č. 85/1996 Sb. (zákon o</w:t>
      </w:r>
      <w:r>
        <w:rPr>
          <w:rStyle w:val="CharStyle5"/>
          <w:color w:val="000000"/>
        </w:rPr>
        <w:br/>
        <w:t>advokacii)</w:t>
      </w:r>
    </w:p>
    <w:p w14:paraId="3649486E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240"/>
        <w:jc w:val="center"/>
      </w:pPr>
      <w:r>
        <w:rPr>
          <w:rStyle w:val="CharStyle5"/>
          <w:color w:val="000000"/>
        </w:rPr>
        <w:t>a vyhlášky č. 177/1996 Sb. (advokátní</w:t>
      </w:r>
      <w:r>
        <w:rPr>
          <w:rStyle w:val="CharStyle5"/>
          <w:color w:val="000000"/>
        </w:rPr>
        <w:t xml:space="preserve"> tarif)</w:t>
      </w:r>
    </w:p>
    <w:p w14:paraId="346C6EAA" w14:textId="77777777" w:rsidR="00000000" w:rsidRDefault="006E291D">
      <w:pPr>
        <w:pStyle w:val="Style2"/>
        <w:framePr w:w="9562" w:h="12859" w:hRule="exact" w:wrap="none" w:vAnchor="page" w:hAnchor="page" w:x="960" w:y="1474"/>
        <w:numPr>
          <w:ilvl w:val="0"/>
          <w:numId w:val="1"/>
        </w:numPr>
        <w:shd w:val="clear" w:color="auto" w:fill="auto"/>
        <w:tabs>
          <w:tab w:val="left" w:pos="1581"/>
        </w:tabs>
        <w:spacing w:after="0"/>
        <w:ind w:firstLine="880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rPr>
          <w:rStyle w:val="CharStyle3"/>
          <w:b/>
          <w:bCs/>
          <w:color w:val="000000"/>
        </w:rPr>
        <w:t>Ústav chemických procesů AV ČR, v. v. i.</w:t>
      </w:r>
      <w:bookmarkEnd w:id="4"/>
      <w:bookmarkEnd w:id="5"/>
      <w:bookmarkEnd w:id="6"/>
    </w:p>
    <w:p w14:paraId="3EDE4D45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0"/>
        <w:ind w:left="1580" w:firstLine="40"/>
      </w:pPr>
      <w:r>
        <w:rPr>
          <w:rStyle w:val="CharStyle5"/>
          <w:color w:val="000000"/>
        </w:rPr>
        <w:t>IČ: 67985858,</w:t>
      </w:r>
    </w:p>
    <w:p w14:paraId="71471DEA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0"/>
        <w:ind w:left="1580" w:firstLine="40"/>
      </w:pPr>
      <w:r>
        <w:rPr>
          <w:rStyle w:val="CharStyle5"/>
          <w:color w:val="000000"/>
        </w:rPr>
        <w:t>DIČ: CZ67985858,</w:t>
      </w:r>
    </w:p>
    <w:p w14:paraId="50538FA5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0"/>
        <w:ind w:left="1580" w:firstLine="40"/>
      </w:pPr>
      <w:r>
        <w:rPr>
          <w:rStyle w:val="CharStyle5"/>
          <w:color w:val="000000"/>
        </w:rPr>
        <w:t>se sídlem: Rozvojová 135, 165 00 Praha 6,</w:t>
      </w:r>
    </w:p>
    <w:p w14:paraId="30BA8DAD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240"/>
        <w:ind w:left="1580" w:firstLine="40"/>
      </w:pPr>
      <w:r>
        <w:rPr>
          <w:rStyle w:val="CharStyle5"/>
          <w:color w:val="000000"/>
        </w:rPr>
        <w:t>instituce zapsaná v rejstříku veřejných výzkumných institu</w:t>
      </w:r>
      <w:r>
        <w:rPr>
          <w:rStyle w:val="CharStyle5"/>
          <w:color w:val="000000"/>
        </w:rPr>
        <w:t xml:space="preserve">cí vedeném MŠMT ČR zastoupený: Ing. Michalem </w:t>
      </w:r>
      <w:proofErr w:type="spellStart"/>
      <w:r>
        <w:rPr>
          <w:rStyle w:val="CharStyle5"/>
          <w:color w:val="000000"/>
        </w:rPr>
        <w:t>Šycem</w:t>
      </w:r>
      <w:proofErr w:type="spellEnd"/>
      <w:r>
        <w:rPr>
          <w:rStyle w:val="CharStyle5"/>
          <w:color w:val="000000"/>
        </w:rPr>
        <w:t>, Ph.D., ředitelem (dále jen jako „</w:t>
      </w:r>
      <w:r>
        <w:rPr>
          <w:rStyle w:val="CharStyle5"/>
          <w:b/>
          <w:bCs/>
          <w:color w:val="000000"/>
        </w:rPr>
        <w:t>klient</w:t>
      </w:r>
      <w:r>
        <w:rPr>
          <w:rStyle w:val="CharStyle5"/>
          <w:color w:val="000000"/>
        </w:rPr>
        <w:t>“)</w:t>
      </w:r>
    </w:p>
    <w:p w14:paraId="7FD9EC6D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240"/>
        <w:ind w:left="1580" w:firstLine="40"/>
      </w:pPr>
      <w:r>
        <w:rPr>
          <w:rStyle w:val="CharStyle5"/>
          <w:color w:val="000000"/>
        </w:rPr>
        <w:t>a</w:t>
      </w:r>
    </w:p>
    <w:p w14:paraId="665015D8" w14:textId="77777777" w:rsidR="00000000" w:rsidRDefault="006E291D">
      <w:pPr>
        <w:pStyle w:val="Style2"/>
        <w:framePr w:w="9562" w:h="12859" w:hRule="exact" w:wrap="none" w:vAnchor="page" w:hAnchor="page" w:x="960" w:y="1474"/>
        <w:numPr>
          <w:ilvl w:val="0"/>
          <w:numId w:val="1"/>
        </w:numPr>
        <w:shd w:val="clear" w:color="auto" w:fill="auto"/>
        <w:tabs>
          <w:tab w:val="left" w:pos="1581"/>
        </w:tabs>
        <w:spacing w:after="0"/>
        <w:ind w:firstLine="880"/>
      </w:pPr>
      <w:bookmarkStart w:id="7" w:name="bookmark9"/>
      <w:bookmarkStart w:id="8" w:name="bookmark10"/>
      <w:bookmarkStart w:id="9" w:name="bookmark7"/>
      <w:bookmarkStart w:id="10" w:name="bookmark8"/>
      <w:bookmarkEnd w:id="7"/>
      <w:proofErr w:type="spellStart"/>
      <w:r>
        <w:rPr>
          <w:rStyle w:val="CharStyle3"/>
          <w:b/>
          <w:bCs/>
          <w:color w:val="000000"/>
        </w:rPr>
        <w:t>Biem&amp;Schýbal</w:t>
      </w:r>
      <w:proofErr w:type="spellEnd"/>
      <w:r>
        <w:rPr>
          <w:rStyle w:val="CharStyle3"/>
          <w:b/>
          <w:bCs/>
          <w:color w:val="000000"/>
        </w:rPr>
        <w:t>, advokátní kancelář, s.r.o.</w:t>
      </w:r>
      <w:bookmarkEnd w:id="8"/>
      <w:bookmarkEnd w:id="9"/>
      <w:bookmarkEnd w:id="10"/>
    </w:p>
    <w:p w14:paraId="2962F03D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0"/>
        <w:ind w:left="1580" w:firstLine="40"/>
      </w:pPr>
      <w:r>
        <w:rPr>
          <w:rStyle w:val="CharStyle5"/>
          <w:color w:val="000000"/>
        </w:rPr>
        <w:t>IČO 04677111</w:t>
      </w:r>
    </w:p>
    <w:p w14:paraId="53A715CC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240"/>
        <w:ind w:left="1580" w:firstLine="40"/>
      </w:pPr>
      <w:r>
        <w:rPr>
          <w:rStyle w:val="CharStyle5"/>
          <w:color w:val="000000"/>
        </w:rPr>
        <w:t>sídlem V Holešovičkách</w:t>
      </w:r>
      <w:r>
        <w:rPr>
          <w:rStyle w:val="CharStyle5"/>
          <w:color w:val="000000"/>
        </w:rPr>
        <w:t xml:space="preserve"> 94/41, 182 00 Praha 8 zastoupena jednatelem Mgr. Tomášem </w:t>
      </w:r>
      <w:proofErr w:type="spellStart"/>
      <w:r>
        <w:rPr>
          <w:rStyle w:val="CharStyle5"/>
          <w:color w:val="000000"/>
        </w:rPr>
        <w:t>Biemem</w:t>
      </w:r>
      <w:proofErr w:type="spellEnd"/>
      <w:r>
        <w:rPr>
          <w:rStyle w:val="CharStyle5"/>
          <w:color w:val="000000"/>
        </w:rPr>
        <w:t xml:space="preserve"> (dále jen „</w:t>
      </w:r>
      <w:r>
        <w:rPr>
          <w:rStyle w:val="CharStyle5"/>
          <w:b/>
          <w:bCs/>
          <w:color w:val="000000"/>
        </w:rPr>
        <w:t>advokát</w:t>
      </w:r>
      <w:r>
        <w:rPr>
          <w:rStyle w:val="CharStyle5"/>
          <w:color w:val="000000"/>
        </w:rPr>
        <w:t>“)</w:t>
      </w:r>
    </w:p>
    <w:p w14:paraId="4BFC1172" w14:textId="77777777" w:rsidR="00000000" w:rsidRDefault="006E291D">
      <w:pPr>
        <w:pStyle w:val="Style4"/>
        <w:framePr w:w="9562" w:h="12859" w:hRule="exact" w:wrap="none" w:vAnchor="page" w:hAnchor="page" w:x="960" w:y="1474"/>
        <w:shd w:val="clear" w:color="auto" w:fill="auto"/>
        <w:spacing w:after="240"/>
      </w:pPr>
      <w:r>
        <w:rPr>
          <w:rStyle w:val="CharStyle5"/>
          <w:color w:val="000000"/>
        </w:rPr>
        <w:t>Níže uvedeného dne uzavřely smluvní strany tuto smlouvu o poskytování právních služeb:</w:t>
      </w:r>
    </w:p>
    <w:p w14:paraId="20361031" w14:textId="77777777" w:rsidR="00000000" w:rsidRDefault="006E291D">
      <w:pPr>
        <w:pStyle w:val="Style2"/>
        <w:framePr w:w="9562" w:h="12859" w:hRule="exact" w:wrap="none" w:vAnchor="page" w:hAnchor="page" w:x="960" w:y="1474"/>
        <w:numPr>
          <w:ilvl w:val="0"/>
          <w:numId w:val="2"/>
        </w:numPr>
        <w:shd w:val="clear" w:color="auto" w:fill="auto"/>
        <w:tabs>
          <w:tab w:val="left" w:pos="427"/>
        </w:tabs>
        <w:spacing w:after="240"/>
        <w:ind w:firstLine="0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rPr>
          <w:rStyle w:val="CharStyle3"/>
          <w:b/>
          <w:bCs/>
          <w:color w:val="000000"/>
        </w:rPr>
        <w:t>Předmět smlouvy</w:t>
      </w:r>
      <w:bookmarkEnd w:id="12"/>
      <w:bookmarkEnd w:id="13"/>
      <w:bookmarkEnd w:id="14"/>
    </w:p>
    <w:p w14:paraId="5517F01B" w14:textId="77777777" w:rsidR="00000000" w:rsidRDefault="006E291D">
      <w:pPr>
        <w:pStyle w:val="Style4"/>
        <w:framePr w:w="9562" w:h="12859" w:hRule="exact" w:wrap="none" w:vAnchor="page" w:hAnchor="page" w:x="960" w:y="1474"/>
        <w:numPr>
          <w:ilvl w:val="1"/>
          <w:numId w:val="2"/>
        </w:numPr>
        <w:shd w:val="clear" w:color="auto" w:fill="auto"/>
        <w:tabs>
          <w:tab w:val="left" w:pos="552"/>
        </w:tabs>
        <w:spacing w:after="240"/>
        <w:ind w:left="440" w:hanging="440"/>
      </w:pPr>
      <w:bookmarkStart w:id="15" w:name="bookmark15"/>
      <w:bookmarkEnd w:id="15"/>
      <w:r>
        <w:rPr>
          <w:rStyle w:val="CharStyle5"/>
          <w:color w:val="000000"/>
        </w:rPr>
        <w:t>Advokát se zavazuje poskytovat klientovi právní služby, sestávající zejména z následujících činností:</w:t>
      </w:r>
    </w:p>
    <w:p w14:paraId="12632084" w14:textId="77777777" w:rsidR="00000000" w:rsidRDefault="006E291D">
      <w:pPr>
        <w:pStyle w:val="Style4"/>
        <w:framePr w:w="9562" w:h="12859" w:hRule="exact" w:wrap="none" w:vAnchor="page" w:hAnchor="page" w:x="960" w:y="1474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left="1300" w:hanging="420"/>
      </w:pPr>
      <w:bookmarkStart w:id="16" w:name="bookmark16"/>
      <w:bookmarkEnd w:id="16"/>
      <w:r>
        <w:rPr>
          <w:rStyle w:val="CharStyle5"/>
          <w:color w:val="000000"/>
        </w:rPr>
        <w:t>zpracování návrhu zadávacích podmínek, včetně návrhu smluvní</w:t>
      </w:r>
      <w:r>
        <w:rPr>
          <w:rStyle w:val="CharStyle5"/>
          <w:color w:val="000000"/>
        </w:rPr>
        <w:t xml:space="preserve"> dokumentace pro realizaci Veřejné zakázky a její konzultace s klientem;</w:t>
      </w:r>
    </w:p>
    <w:p w14:paraId="7FE32038" w14:textId="77777777" w:rsidR="00000000" w:rsidRDefault="006E291D">
      <w:pPr>
        <w:pStyle w:val="Style4"/>
        <w:framePr w:w="9562" w:h="12859" w:hRule="exact" w:wrap="none" w:vAnchor="page" w:hAnchor="page" w:x="960" w:y="1474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firstLine="880"/>
      </w:pPr>
      <w:bookmarkStart w:id="17" w:name="bookmark17"/>
      <w:bookmarkEnd w:id="17"/>
      <w:r>
        <w:rPr>
          <w:rStyle w:val="CharStyle5"/>
          <w:color w:val="000000"/>
        </w:rPr>
        <w:t>zastupování v zadávacím řízení;</w:t>
      </w:r>
    </w:p>
    <w:p w14:paraId="4758145B" w14:textId="77777777" w:rsidR="00000000" w:rsidRDefault="006E291D">
      <w:pPr>
        <w:pStyle w:val="Style4"/>
        <w:framePr w:w="9562" w:h="12859" w:hRule="exact" w:wrap="none" w:vAnchor="page" w:hAnchor="page" w:x="960" w:y="1474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left="1300" w:hanging="420"/>
        <w:jc w:val="both"/>
      </w:pPr>
      <w:bookmarkStart w:id="18" w:name="bookmark18"/>
      <w:bookmarkEnd w:id="18"/>
      <w:r>
        <w:rPr>
          <w:rStyle w:val="CharStyle5"/>
          <w:color w:val="000000"/>
        </w:rPr>
        <w:t>zpracování úkonů týkající se oznamovací povinnosti Zadavatele co do Věstníku veřejných zakázek a TED (ozn</w:t>
      </w:r>
      <w:r>
        <w:rPr>
          <w:rStyle w:val="CharStyle5"/>
          <w:color w:val="000000"/>
        </w:rPr>
        <w:t>ámení o zahájení zadávacího řízení, oznámení o výsledku zadávacího řízení, změnové formuláře);</w:t>
      </w:r>
    </w:p>
    <w:p w14:paraId="1911C565" w14:textId="77777777" w:rsidR="00000000" w:rsidRDefault="006E291D">
      <w:pPr>
        <w:pStyle w:val="Style4"/>
        <w:framePr w:w="9562" w:h="12859" w:hRule="exact" w:wrap="none" w:vAnchor="page" w:hAnchor="page" w:x="960" w:y="1474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left="1300" w:hanging="420"/>
        <w:jc w:val="both"/>
      </w:pPr>
      <w:bookmarkStart w:id="19" w:name="bookmark19"/>
      <w:bookmarkEnd w:id="19"/>
      <w:r>
        <w:rPr>
          <w:rStyle w:val="CharStyle5"/>
          <w:color w:val="000000"/>
        </w:rPr>
        <w:t>posouzení nabídek uchazečů z pohledu splnění zadávacích podmínek, komunikaci s klientem při formulaci odpovědí k případným žádostem o vysv</w:t>
      </w:r>
      <w:r>
        <w:rPr>
          <w:rStyle w:val="CharStyle5"/>
          <w:color w:val="000000"/>
        </w:rPr>
        <w:t>ětlení požadavků v zadávací dokumentaci;</w:t>
      </w:r>
    </w:p>
    <w:p w14:paraId="59CE8177" w14:textId="77777777" w:rsidR="00000000" w:rsidRDefault="006E291D">
      <w:pPr>
        <w:pStyle w:val="Style4"/>
        <w:framePr w:w="9562" w:h="12859" w:hRule="exact" w:wrap="none" w:vAnchor="page" w:hAnchor="page" w:x="960" w:y="1474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left="1300" w:hanging="420"/>
        <w:jc w:val="both"/>
      </w:pPr>
      <w:bookmarkStart w:id="20" w:name="bookmark20"/>
      <w:bookmarkEnd w:id="20"/>
      <w:r>
        <w:rPr>
          <w:rStyle w:val="CharStyle5"/>
          <w:color w:val="000000"/>
        </w:rPr>
        <w:t xml:space="preserve">ve vyhotovení žádostí o písemné vysvětlení nabídky ve spolupráci s </w:t>
      </w:r>
      <w:proofErr w:type="gramStart"/>
      <w:r>
        <w:rPr>
          <w:rStyle w:val="CharStyle5"/>
          <w:color w:val="000000"/>
        </w:rPr>
        <w:t>klientem</w:t>
      </w:r>
      <w:proofErr w:type="gramEnd"/>
      <w:r>
        <w:rPr>
          <w:rStyle w:val="CharStyle5"/>
          <w:color w:val="000000"/>
        </w:rPr>
        <w:t xml:space="preserve"> pokud jde o technické upřesnění dotazů;</w:t>
      </w:r>
    </w:p>
    <w:p w14:paraId="6249A0E6" w14:textId="77777777" w:rsidR="00000000" w:rsidRDefault="006E291D">
      <w:pPr>
        <w:pStyle w:val="Style4"/>
        <w:framePr w:w="9562" w:h="12859" w:hRule="exact" w:wrap="none" w:vAnchor="page" w:hAnchor="page" w:x="960" w:y="1474"/>
        <w:numPr>
          <w:ilvl w:val="0"/>
          <w:numId w:val="3"/>
        </w:numPr>
        <w:shd w:val="clear" w:color="auto" w:fill="auto"/>
        <w:tabs>
          <w:tab w:val="left" w:pos="1307"/>
        </w:tabs>
        <w:spacing w:after="0"/>
        <w:ind w:firstLine="880"/>
      </w:pPr>
      <w:bookmarkStart w:id="21" w:name="bookmark21"/>
      <w:bookmarkEnd w:id="21"/>
      <w:r>
        <w:rPr>
          <w:rStyle w:val="CharStyle5"/>
          <w:color w:val="000000"/>
        </w:rPr>
        <w:t>ve vypracování závěrečné zprávy o posouzení a hodnoce</w:t>
      </w:r>
      <w:r>
        <w:rPr>
          <w:rStyle w:val="CharStyle5"/>
          <w:color w:val="000000"/>
        </w:rPr>
        <w:t>ní nabídek;</w:t>
      </w:r>
    </w:p>
    <w:p w14:paraId="3DAE7C42" w14:textId="77777777" w:rsidR="00000000" w:rsidRDefault="006E291D">
      <w:pPr>
        <w:pStyle w:val="Style4"/>
        <w:framePr w:w="9562" w:h="859" w:hRule="exact" w:wrap="none" w:vAnchor="page" w:hAnchor="page" w:x="960" w:y="14540"/>
        <w:shd w:val="clear" w:color="auto" w:fill="auto"/>
        <w:spacing w:after="0"/>
        <w:ind w:left="1300" w:hanging="420"/>
        <w:jc w:val="both"/>
      </w:pPr>
      <w:r>
        <w:rPr>
          <w:rStyle w:val="CharStyle5"/>
          <w:color w:val="000000"/>
        </w:rPr>
        <w:t>- ve vypracování podkladů pro rozhodnutí zadavatele o přidělení zakázky (zpracování veškerých protokolů, výzev, zpráv, požadavků na účastníky, resp. dodavatele, a oznámení účastníkům podle ZZVZ včetně včasného a bezodkladného zajištění</w:t>
      </w:r>
    </w:p>
    <w:p w14:paraId="69E1CE9C" w14:textId="77777777" w:rsidR="00000000" w:rsidRDefault="006E291D">
      <w:pPr>
        <w:spacing w:line="1" w:lineRule="exact"/>
        <w:rPr>
          <w:color w:val="auto"/>
        </w:rPr>
        <w:sectPr w:rsidR="00000000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C02053" w14:textId="77777777" w:rsidR="00000000" w:rsidRDefault="006E291D">
      <w:pPr>
        <w:pStyle w:val="Style4"/>
        <w:framePr w:w="9557" w:h="581" w:hRule="exact" w:wrap="none" w:vAnchor="page" w:hAnchor="page" w:x="962" w:y="1407"/>
        <w:shd w:val="clear" w:color="auto" w:fill="auto"/>
        <w:spacing w:after="0"/>
        <w:ind w:left="1300"/>
      </w:pPr>
      <w:r>
        <w:rPr>
          <w:rStyle w:val="CharStyle5"/>
          <w:color w:val="000000"/>
        </w:rPr>
        <w:lastRenderedPageBreak/>
        <w:t>fyzických, resp. elektronických podpisů členů hodnoticí komise, přizvaných odborníků a případně dalších dotčených osob);</w:t>
      </w:r>
    </w:p>
    <w:p w14:paraId="63A4C7F9" w14:textId="77777777" w:rsidR="00000000" w:rsidRDefault="006E291D">
      <w:pPr>
        <w:pStyle w:val="Style4"/>
        <w:framePr w:w="9557" w:h="2923" w:hRule="exact" w:wrap="none" w:vAnchor="page" w:hAnchor="page" w:x="962" w:y="2199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left="1300" w:hanging="420"/>
      </w:pPr>
      <w:bookmarkStart w:id="22" w:name="bookmark22"/>
      <w:bookmarkEnd w:id="22"/>
      <w:r>
        <w:rPr>
          <w:rStyle w:val="CharStyle5"/>
          <w:color w:val="000000"/>
        </w:rPr>
        <w:t>ve zpracování návrhů rozhodnutí o vyloučení účastníka, rozhodnutí o výběru dodavatel</w:t>
      </w:r>
      <w:r>
        <w:rPr>
          <w:rStyle w:val="CharStyle5"/>
          <w:color w:val="000000"/>
        </w:rPr>
        <w:t>e;</w:t>
      </w:r>
    </w:p>
    <w:p w14:paraId="439881A9" w14:textId="77777777" w:rsidR="00000000" w:rsidRDefault="006E291D">
      <w:pPr>
        <w:pStyle w:val="Style4"/>
        <w:framePr w:w="9557" w:h="2923" w:hRule="exact" w:wrap="none" w:vAnchor="page" w:hAnchor="page" w:x="962" w:y="2199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firstLine="880"/>
      </w:pPr>
      <w:bookmarkStart w:id="23" w:name="bookmark23"/>
      <w:bookmarkEnd w:id="23"/>
      <w:r>
        <w:rPr>
          <w:rStyle w:val="CharStyle5"/>
          <w:color w:val="000000"/>
        </w:rPr>
        <w:t>ve zpracování písemné zprávy zadavatele o průběhu zadávacího řízení;</w:t>
      </w:r>
    </w:p>
    <w:p w14:paraId="4CB300F1" w14:textId="77777777" w:rsidR="00000000" w:rsidRDefault="006E291D">
      <w:pPr>
        <w:pStyle w:val="Style4"/>
        <w:framePr w:w="9557" w:h="2923" w:hRule="exact" w:wrap="none" w:vAnchor="page" w:hAnchor="page" w:x="962" w:y="2199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firstLine="880"/>
      </w:pPr>
      <w:bookmarkStart w:id="24" w:name="bookmark24"/>
      <w:bookmarkEnd w:id="24"/>
      <w:r>
        <w:rPr>
          <w:rStyle w:val="CharStyle5"/>
          <w:color w:val="000000"/>
        </w:rPr>
        <w:t>archivace zadávacího řízení,</w:t>
      </w:r>
    </w:p>
    <w:p w14:paraId="0A380182" w14:textId="77777777" w:rsidR="00000000" w:rsidRDefault="006E291D">
      <w:pPr>
        <w:pStyle w:val="Style4"/>
        <w:framePr w:w="9557" w:h="2923" w:hRule="exact" w:wrap="none" w:vAnchor="page" w:hAnchor="page" w:x="962" w:y="2199"/>
        <w:numPr>
          <w:ilvl w:val="0"/>
          <w:numId w:val="3"/>
        </w:numPr>
        <w:shd w:val="clear" w:color="auto" w:fill="auto"/>
        <w:tabs>
          <w:tab w:val="left" w:pos="1307"/>
        </w:tabs>
        <w:spacing w:after="240"/>
        <w:ind w:firstLine="880"/>
      </w:pPr>
      <w:bookmarkStart w:id="25" w:name="bookmark25"/>
      <w:bookmarkEnd w:id="25"/>
      <w:r>
        <w:rPr>
          <w:rStyle w:val="CharStyle5"/>
          <w:color w:val="000000"/>
        </w:rPr>
        <w:t>vypořádání připomínek řídícího orgánu v souvislosti s vedením zadávacího řízení,</w:t>
      </w:r>
    </w:p>
    <w:p w14:paraId="219E978B" w14:textId="77777777" w:rsidR="00000000" w:rsidRDefault="006E291D">
      <w:pPr>
        <w:pStyle w:val="Style4"/>
        <w:framePr w:w="9557" w:h="2923" w:hRule="exact" w:wrap="none" w:vAnchor="page" w:hAnchor="page" w:x="962" w:y="2199"/>
        <w:numPr>
          <w:ilvl w:val="0"/>
          <w:numId w:val="3"/>
        </w:numPr>
        <w:shd w:val="clear" w:color="auto" w:fill="auto"/>
        <w:tabs>
          <w:tab w:val="left" w:pos="1307"/>
        </w:tabs>
        <w:spacing w:after="0"/>
        <w:ind w:left="1300" w:hanging="420"/>
      </w:pPr>
      <w:bookmarkStart w:id="26" w:name="bookmark26"/>
      <w:bookmarkEnd w:id="26"/>
      <w:r>
        <w:rPr>
          <w:rStyle w:val="CharStyle5"/>
          <w:color w:val="000000"/>
        </w:rPr>
        <w:t>komplexní vedení elektronického nástroje pro zadání veřejné zakázky, vč. sledování dodržení zákonných lhůt.</w:t>
      </w:r>
    </w:p>
    <w:p w14:paraId="5C2875A1" w14:textId="77777777" w:rsidR="00000000" w:rsidRDefault="006E291D">
      <w:pPr>
        <w:pStyle w:val="Style4"/>
        <w:framePr w:w="9557" w:h="9413" w:hRule="exact" w:wrap="none" w:vAnchor="page" w:hAnchor="page" w:x="962" w:y="5612"/>
        <w:numPr>
          <w:ilvl w:val="1"/>
          <w:numId w:val="2"/>
        </w:numPr>
        <w:shd w:val="clear" w:color="auto" w:fill="auto"/>
        <w:tabs>
          <w:tab w:val="left" w:pos="940"/>
        </w:tabs>
        <w:spacing w:after="240"/>
        <w:ind w:left="880" w:hanging="440"/>
        <w:jc w:val="both"/>
      </w:pPr>
      <w:bookmarkStart w:id="27" w:name="bookmark27"/>
      <w:bookmarkEnd w:id="27"/>
      <w:r>
        <w:rPr>
          <w:rStyle w:val="CharStyle5"/>
          <w:b/>
          <w:bCs/>
          <w:color w:val="000000"/>
        </w:rPr>
        <w:t>Služby advokáta budou poskytovány v souladu s Pravidly pro zadávání a kontrolu veřejných zakázek v rám</w:t>
      </w:r>
      <w:r>
        <w:rPr>
          <w:rStyle w:val="CharStyle5"/>
          <w:b/>
          <w:bCs/>
          <w:color w:val="000000"/>
        </w:rPr>
        <w:t>ci Operačního programu Jan Amos Komenský a v souladu s Právním aktem o poskytnutí/převodu podpory.</w:t>
      </w:r>
    </w:p>
    <w:p w14:paraId="17357BEE" w14:textId="77777777" w:rsidR="00000000" w:rsidRDefault="006E291D">
      <w:pPr>
        <w:pStyle w:val="Style4"/>
        <w:framePr w:w="9557" w:h="9413" w:hRule="exact" w:wrap="none" w:vAnchor="page" w:hAnchor="page" w:x="962" w:y="5612"/>
        <w:numPr>
          <w:ilvl w:val="1"/>
          <w:numId w:val="2"/>
        </w:numPr>
        <w:shd w:val="clear" w:color="auto" w:fill="auto"/>
        <w:tabs>
          <w:tab w:val="left" w:pos="500"/>
        </w:tabs>
        <w:spacing w:after="240"/>
      </w:pPr>
      <w:bookmarkStart w:id="28" w:name="bookmark28"/>
      <w:bookmarkEnd w:id="28"/>
      <w:r>
        <w:rPr>
          <w:rStyle w:val="CharStyle5"/>
          <w:b/>
          <w:bCs/>
          <w:color w:val="000000"/>
        </w:rPr>
        <w:t>Pro vyloučení pochybností advokát uvádí, že předmětem jeho činnosti není:</w:t>
      </w:r>
    </w:p>
    <w:p w14:paraId="79E01626" w14:textId="77777777" w:rsidR="00000000" w:rsidRDefault="006E291D">
      <w:pPr>
        <w:pStyle w:val="Style4"/>
        <w:framePr w:w="9557" w:h="9413" w:hRule="exact" w:wrap="none" w:vAnchor="page" w:hAnchor="page" w:x="962" w:y="5612"/>
        <w:numPr>
          <w:ilvl w:val="0"/>
          <w:numId w:val="3"/>
        </w:numPr>
        <w:shd w:val="clear" w:color="auto" w:fill="auto"/>
        <w:tabs>
          <w:tab w:val="left" w:pos="942"/>
        </w:tabs>
        <w:spacing w:after="240"/>
        <w:ind w:left="880" w:hanging="160"/>
        <w:jc w:val="both"/>
      </w:pPr>
      <w:bookmarkStart w:id="29" w:name="bookmark29"/>
      <w:bookmarkEnd w:id="29"/>
      <w:r>
        <w:rPr>
          <w:rStyle w:val="CharStyle5"/>
          <w:b/>
          <w:bCs/>
          <w:color w:val="000000"/>
        </w:rPr>
        <w:t>vymezení technických požadavků</w:t>
      </w:r>
      <w:r>
        <w:rPr>
          <w:rStyle w:val="CharStyle5"/>
          <w:b/>
          <w:bCs/>
          <w:color w:val="000000"/>
        </w:rPr>
        <w:t xml:space="preserve"> a parametrů na poptávané služby či technická konzultace ohledně parametrů zajištění služeb či technických dotazů uchazečů o veřejnou zakázku,</w:t>
      </w:r>
    </w:p>
    <w:p w14:paraId="24BEB4F4" w14:textId="77777777" w:rsidR="00000000" w:rsidRDefault="006E291D">
      <w:pPr>
        <w:pStyle w:val="Style2"/>
        <w:framePr w:w="9557" w:h="9413" w:hRule="exact" w:wrap="none" w:vAnchor="page" w:hAnchor="page" w:x="962" w:y="5612"/>
        <w:numPr>
          <w:ilvl w:val="0"/>
          <w:numId w:val="3"/>
        </w:numPr>
        <w:shd w:val="clear" w:color="auto" w:fill="auto"/>
        <w:tabs>
          <w:tab w:val="left" w:pos="942"/>
        </w:tabs>
        <w:spacing w:after="240"/>
        <w:ind w:firstLine="720"/>
      </w:pPr>
      <w:bookmarkStart w:id="30" w:name="bookmark32"/>
      <w:bookmarkStart w:id="31" w:name="bookmark33"/>
      <w:bookmarkEnd w:id="30"/>
      <w:r>
        <w:rPr>
          <w:rStyle w:val="CharStyle3"/>
          <w:b/>
          <w:bCs/>
          <w:color w:val="000000"/>
        </w:rPr>
        <w:t>stanovení předpokládané hodnoty veřejné zakázky.</w:t>
      </w:r>
      <w:bookmarkEnd w:id="31"/>
    </w:p>
    <w:p w14:paraId="4330C5F0" w14:textId="77777777" w:rsidR="00000000" w:rsidRDefault="006E291D">
      <w:pPr>
        <w:pStyle w:val="Style2"/>
        <w:framePr w:w="9557" w:h="9413" w:hRule="exact" w:wrap="none" w:vAnchor="page" w:hAnchor="page" w:x="962" w:y="5612"/>
        <w:numPr>
          <w:ilvl w:val="0"/>
          <w:numId w:val="2"/>
        </w:numPr>
        <w:shd w:val="clear" w:color="auto" w:fill="auto"/>
        <w:tabs>
          <w:tab w:val="left" w:pos="427"/>
        </w:tabs>
        <w:spacing w:after="240"/>
        <w:ind w:firstLine="0"/>
      </w:pPr>
      <w:bookmarkStart w:id="32" w:name="bookmark34"/>
      <w:bookmarkStart w:id="33" w:name="bookmark30"/>
      <w:bookmarkStart w:id="34" w:name="bookmark31"/>
      <w:bookmarkStart w:id="35" w:name="bookmark35"/>
      <w:bookmarkEnd w:id="32"/>
      <w:r>
        <w:rPr>
          <w:rStyle w:val="CharStyle3"/>
          <w:b/>
          <w:bCs/>
          <w:color w:val="000000"/>
        </w:rPr>
        <w:t>Práva a povinnosti smluvních stran</w:t>
      </w:r>
      <w:bookmarkEnd w:id="33"/>
      <w:bookmarkEnd w:id="34"/>
      <w:bookmarkEnd w:id="35"/>
    </w:p>
    <w:p w14:paraId="41266519" w14:textId="77777777" w:rsidR="00000000" w:rsidRDefault="006E291D">
      <w:pPr>
        <w:pStyle w:val="Style4"/>
        <w:framePr w:w="9557" w:h="9413" w:hRule="exact" w:wrap="none" w:vAnchor="page" w:hAnchor="page" w:x="962" w:y="5612"/>
        <w:numPr>
          <w:ilvl w:val="1"/>
          <w:numId w:val="2"/>
        </w:numPr>
        <w:shd w:val="clear" w:color="auto" w:fill="auto"/>
        <w:tabs>
          <w:tab w:val="left" w:pos="500"/>
        </w:tabs>
        <w:spacing w:after="240"/>
        <w:ind w:left="440" w:hanging="440"/>
        <w:jc w:val="both"/>
      </w:pPr>
      <w:bookmarkStart w:id="36" w:name="bookmark36"/>
      <w:bookmarkEnd w:id="36"/>
      <w:r>
        <w:rPr>
          <w:rStyle w:val="CharStyle5"/>
          <w:color w:val="000000"/>
        </w:rPr>
        <w:t>Advokát se zavazuje chránit a prosazovat práva a oprávněné zájmy klienta. Při poskytování pr</w:t>
      </w:r>
      <w:r>
        <w:rPr>
          <w:rStyle w:val="CharStyle5"/>
          <w:color w:val="000000"/>
        </w:rPr>
        <w:t>ávních služeb je advokát nezávislý, je však vázán právními předpisy a v jejich mezích příkazy a pokyny klienta. Jsou-li pokyny klienta v rozporu se zákonem nebo předpisem upravujícím výkon advokacie, není jimi advokát vázán; o tom je povinen klienta neprod</w:t>
      </w:r>
      <w:r>
        <w:rPr>
          <w:rStyle w:val="CharStyle5"/>
          <w:color w:val="000000"/>
        </w:rPr>
        <w:t>leně vyrozumět.</w:t>
      </w:r>
    </w:p>
    <w:p w14:paraId="790152E9" w14:textId="77777777" w:rsidR="00000000" w:rsidRDefault="006E291D">
      <w:pPr>
        <w:pStyle w:val="Style4"/>
        <w:framePr w:w="9557" w:h="9413" w:hRule="exact" w:wrap="none" w:vAnchor="page" w:hAnchor="page" w:x="962" w:y="5612"/>
        <w:numPr>
          <w:ilvl w:val="1"/>
          <w:numId w:val="2"/>
        </w:numPr>
        <w:shd w:val="clear" w:color="auto" w:fill="auto"/>
        <w:tabs>
          <w:tab w:val="left" w:pos="500"/>
        </w:tabs>
        <w:spacing w:after="240"/>
        <w:ind w:left="440" w:hanging="440"/>
        <w:jc w:val="both"/>
      </w:pPr>
      <w:bookmarkStart w:id="37" w:name="bookmark37"/>
      <w:bookmarkEnd w:id="37"/>
      <w:r>
        <w:rPr>
          <w:rStyle w:val="CharStyle5"/>
          <w:color w:val="000000"/>
        </w:rPr>
        <w:t>Klient se zavazuje poskytovat advokátovi včas úplné a pravdivé informace a předkládat mu veškeré listinné materiály potřebné k řádnému výkonu činnosti podle této smlouvy, jakož</w:t>
      </w:r>
      <w:r>
        <w:rPr>
          <w:rStyle w:val="CharStyle5"/>
          <w:color w:val="000000"/>
        </w:rPr>
        <w:t xml:space="preserve"> i poskytnout jinou potřebnou součinnost; zejména stvrzuje pravdivost údajů, které advokátovi v souvislosti s jeho činností dle této dohody poskytl a je srozuměn s následky poskytnutí nepravdivých či neúplných informací v souvislosti s poskytováním právníc</w:t>
      </w:r>
      <w:r>
        <w:rPr>
          <w:rStyle w:val="CharStyle5"/>
          <w:color w:val="000000"/>
        </w:rPr>
        <w:t>h služeb dle této smlouvy. Poskytnutí nepravdivých či neúplných informací může být advokátem považováno za narušení důvěry mezi klienty a advokátem. Klient je též povinen advokáta písemně upozornit, pokud ve věci, ve které jsou právní služby poskytovány, h</w:t>
      </w:r>
      <w:r>
        <w:rPr>
          <w:rStyle w:val="CharStyle5"/>
          <w:color w:val="000000"/>
        </w:rPr>
        <w:t xml:space="preserve">rozí nebezpečí škody přesahující </w:t>
      </w:r>
      <w:proofErr w:type="gramStart"/>
      <w:r>
        <w:rPr>
          <w:rStyle w:val="CharStyle5"/>
          <w:color w:val="000000"/>
        </w:rPr>
        <w:t>100.000.000,-</w:t>
      </w:r>
      <w:proofErr w:type="gramEnd"/>
      <w:r>
        <w:rPr>
          <w:rStyle w:val="CharStyle5"/>
          <w:color w:val="000000"/>
        </w:rPr>
        <w:t xml:space="preserve"> Kč. Klient je povinen </w:t>
      </w:r>
      <w:r>
        <w:rPr>
          <w:rStyle w:val="CharStyle5"/>
          <w:b/>
          <w:bCs/>
          <w:color w:val="000000"/>
        </w:rPr>
        <w:t xml:space="preserve">vytvořit řádné podmínky pro činnost advokáta </w:t>
      </w:r>
      <w:r>
        <w:rPr>
          <w:rStyle w:val="CharStyle5"/>
          <w:color w:val="000000"/>
        </w:rPr>
        <w:t xml:space="preserve">a poskytovat mu během plnění předmětu smlouvy </w:t>
      </w:r>
      <w:r>
        <w:rPr>
          <w:rStyle w:val="CharStyle5"/>
          <w:b/>
          <w:bCs/>
          <w:color w:val="000000"/>
        </w:rPr>
        <w:t xml:space="preserve">nezbytnou další součinnost </w:t>
      </w:r>
      <w:r>
        <w:rPr>
          <w:rStyle w:val="CharStyle5"/>
          <w:color w:val="000000"/>
        </w:rPr>
        <w:t xml:space="preserve">(např. jmenování členů komise, vyhrazení prostor v sídle klienta pro </w:t>
      </w:r>
      <w:r>
        <w:rPr>
          <w:rStyle w:val="CharStyle5"/>
          <w:color w:val="000000"/>
        </w:rPr>
        <w:t>úkony realizované advokátem dle ZZVZ a této smlouvy).</w:t>
      </w:r>
    </w:p>
    <w:p w14:paraId="42D6A4E3" w14:textId="77777777" w:rsidR="00000000" w:rsidRDefault="006E291D">
      <w:pPr>
        <w:pStyle w:val="Style4"/>
        <w:framePr w:w="9557" w:h="9413" w:hRule="exact" w:wrap="none" w:vAnchor="page" w:hAnchor="page" w:x="962" w:y="5612"/>
        <w:shd w:val="clear" w:color="auto" w:fill="auto"/>
        <w:spacing w:after="0"/>
        <w:ind w:firstLine="440"/>
        <w:jc w:val="both"/>
      </w:pPr>
      <w:r>
        <w:rPr>
          <w:rStyle w:val="CharStyle5"/>
          <w:color w:val="000000"/>
        </w:rPr>
        <w:t>Klient výslovně potvrzuje, že byl před podpisem této smlouvy ze strany advokáta poučen</w:t>
      </w:r>
    </w:p>
    <w:p w14:paraId="3F807633" w14:textId="77777777" w:rsidR="00000000" w:rsidRDefault="006E291D">
      <w:pPr>
        <w:spacing w:line="1" w:lineRule="exact"/>
        <w:rPr>
          <w:color w:val="auto"/>
        </w:rPr>
        <w:sectPr w:rsidR="00000000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436549" w14:textId="77777777" w:rsidR="00000000" w:rsidRDefault="006E291D">
      <w:pPr>
        <w:pStyle w:val="Style4"/>
        <w:framePr w:wrap="none" w:vAnchor="page" w:hAnchor="page" w:x="962" w:y="1407"/>
        <w:shd w:val="clear" w:color="auto" w:fill="auto"/>
        <w:spacing w:after="0"/>
        <w:ind w:right="432" w:firstLine="440"/>
        <w:jc w:val="both"/>
      </w:pPr>
      <w:r>
        <w:rPr>
          <w:rStyle w:val="CharStyle5"/>
          <w:color w:val="000000"/>
        </w:rPr>
        <w:lastRenderedPageBreak/>
        <w:t>o skutkových podstatách trestných činů maření spravedlnosti a důsledcích jejich naplně</w:t>
      </w:r>
      <w:r>
        <w:rPr>
          <w:rStyle w:val="CharStyle5"/>
          <w:color w:val="000000"/>
        </w:rPr>
        <w:t>ní.</w:t>
      </w:r>
    </w:p>
    <w:p w14:paraId="3A91646E" w14:textId="77777777" w:rsidR="00000000" w:rsidRDefault="006E291D">
      <w:pPr>
        <w:pStyle w:val="Style8"/>
        <w:framePr w:wrap="none" w:vAnchor="page" w:hAnchor="page" w:x="10097" w:y="1393"/>
        <w:shd w:val="clear" w:color="auto" w:fill="auto"/>
        <w:spacing w:after="0"/>
        <w:jc w:val="both"/>
        <w:rPr>
          <w:sz w:val="16"/>
          <w:szCs w:val="16"/>
        </w:rPr>
      </w:pPr>
      <w:r>
        <w:rPr>
          <w:rStyle w:val="CharStyle9"/>
          <w:color w:val="000000"/>
          <w:sz w:val="16"/>
          <w:szCs w:val="16"/>
        </w:rPr>
        <w:t>1</w:t>
      </w:r>
    </w:p>
    <w:p w14:paraId="76C6B1AA" w14:textId="77777777" w:rsidR="00000000" w:rsidRDefault="006E291D">
      <w:pPr>
        <w:pStyle w:val="Style4"/>
        <w:framePr w:w="9557" w:h="5275" w:hRule="exact" w:wrap="none" w:vAnchor="page" w:hAnchor="page" w:x="962" w:y="1959"/>
        <w:shd w:val="clear" w:color="auto" w:fill="auto"/>
        <w:ind w:left="440"/>
        <w:jc w:val="both"/>
      </w:pPr>
      <w:r>
        <w:rPr>
          <w:rStyle w:val="CharStyle5"/>
          <w:color w:val="000000"/>
        </w:rPr>
        <w:t>Zejména pak klient potvrzuje, že byl poučen o tom, že následkem předložení padělaného nebo pozměněného důkazního prostředku může být spojeno s rizikem trestního stíhání. Klient dále bere na vědomí, že poskytnutí nepravých listin, dokumentů, elektroni</w:t>
      </w:r>
      <w:r>
        <w:rPr>
          <w:rStyle w:val="CharStyle5"/>
          <w:color w:val="000000"/>
        </w:rPr>
        <w:t>ckých a zvukových nosičů i jiných zdrojů bude a nepravdivých či neúplných informací může být advokátem považováno za narušení důvěry mezi klientem a advokátem. Podobně klient bere na vědomí, že odepření vystavení písemného prohlášení o tom, že konkrétní dů</w:t>
      </w:r>
      <w:r>
        <w:rPr>
          <w:rStyle w:val="CharStyle5"/>
          <w:color w:val="000000"/>
        </w:rPr>
        <w:t>kazní prostředky, jež mají nebo mohou mít význam pro rozhodnutí ve věci, které klient advokátovi předal, nejsou padělané nebo pozměněné, může být rovněž důvodem pro vypovězení této smlouvy dle ustanovení § 20 odst. 2 zákona o advokacii.</w:t>
      </w:r>
    </w:p>
    <w:p w14:paraId="3F9AC191" w14:textId="77777777" w:rsidR="00000000" w:rsidRDefault="006E291D">
      <w:pPr>
        <w:pStyle w:val="Style4"/>
        <w:framePr w:w="9557" w:h="5275" w:hRule="exact" w:wrap="none" w:vAnchor="page" w:hAnchor="page" w:x="962" w:y="1959"/>
        <w:numPr>
          <w:ilvl w:val="1"/>
          <w:numId w:val="2"/>
        </w:numPr>
        <w:shd w:val="clear" w:color="auto" w:fill="auto"/>
        <w:tabs>
          <w:tab w:val="left" w:pos="533"/>
        </w:tabs>
        <w:ind w:left="440" w:hanging="440"/>
        <w:jc w:val="both"/>
      </w:pPr>
      <w:bookmarkStart w:id="38" w:name="bookmark38"/>
      <w:bookmarkEnd w:id="38"/>
      <w:r>
        <w:rPr>
          <w:rStyle w:val="CharStyle5"/>
          <w:color w:val="000000"/>
        </w:rPr>
        <w:t xml:space="preserve">Společnost </w:t>
      </w:r>
      <w:proofErr w:type="spellStart"/>
      <w:r>
        <w:rPr>
          <w:rStyle w:val="CharStyle5"/>
          <w:color w:val="000000"/>
        </w:rPr>
        <w:t>Biem&amp;Schýbal</w:t>
      </w:r>
      <w:proofErr w:type="spellEnd"/>
      <w:r>
        <w:rPr>
          <w:rStyle w:val="CharStyle5"/>
          <w:color w:val="000000"/>
        </w:rPr>
        <w:t xml:space="preserve">, advokátní kancelář, s.r.o. je pojištěna z hlediska profesní odpovědnosti advokáta na částku ve výši </w:t>
      </w:r>
      <w:proofErr w:type="gramStart"/>
      <w:r>
        <w:rPr>
          <w:rStyle w:val="CharStyle5"/>
          <w:color w:val="000000"/>
        </w:rPr>
        <w:t>100.000.000,-</w:t>
      </w:r>
      <w:proofErr w:type="gramEnd"/>
      <w:r>
        <w:rPr>
          <w:rStyle w:val="CharStyle5"/>
          <w:color w:val="000000"/>
        </w:rPr>
        <w:t>Kč.</w:t>
      </w:r>
    </w:p>
    <w:p w14:paraId="2F00A66D" w14:textId="77777777" w:rsidR="00000000" w:rsidRDefault="006E291D">
      <w:pPr>
        <w:pStyle w:val="Style4"/>
        <w:framePr w:w="9557" w:h="5275" w:hRule="exact" w:wrap="none" w:vAnchor="page" w:hAnchor="page" w:x="962" w:y="1959"/>
        <w:numPr>
          <w:ilvl w:val="1"/>
          <w:numId w:val="2"/>
        </w:numPr>
        <w:shd w:val="clear" w:color="auto" w:fill="auto"/>
        <w:tabs>
          <w:tab w:val="left" w:pos="533"/>
        </w:tabs>
        <w:ind w:left="440" w:hanging="440"/>
        <w:jc w:val="both"/>
      </w:pPr>
      <w:bookmarkStart w:id="39" w:name="bookmark39"/>
      <w:bookmarkEnd w:id="39"/>
      <w:r>
        <w:rPr>
          <w:rStyle w:val="CharStyle5"/>
          <w:color w:val="000000"/>
        </w:rPr>
        <w:t>Klient se zavazuje uvědomit stanoveným způsobem advokáta s dostatečným př</w:t>
      </w:r>
      <w:r>
        <w:rPr>
          <w:rStyle w:val="CharStyle5"/>
          <w:color w:val="000000"/>
        </w:rPr>
        <w:t>edstihem o svých požadavcích na poskytování právních služeb podle této smlouvy.</w:t>
      </w:r>
    </w:p>
    <w:p w14:paraId="46FD79C4" w14:textId="77777777" w:rsidR="00000000" w:rsidRDefault="006E291D">
      <w:pPr>
        <w:pStyle w:val="Style4"/>
        <w:framePr w:w="9557" w:h="5275" w:hRule="exact" w:wrap="none" w:vAnchor="page" w:hAnchor="page" w:x="962" w:y="1959"/>
        <w:numPr>
          <w:ilvl w:val="1"/>
          <w:numId w:val="2"/>
        </w:numPr>
        <w:shd w:val="clear" w:color="auto" w:fill="auto"/>
        <w:tabs>
          <w:tab w:val="left" w:pos="533"/>
        </w:tabs>
        <w:spacing w:after="0"/>
        <w:ind w:left="440" w:hanging="440"/>
        <w:jc w:val="both"/>
      </w:pPr>
      <w:bookmarkStart w:id="40" w:name="bookmark40"/>
      <w:bookmarkEnd w:id="40"/>
      <w:r>
        <w:rPr>
          <w:rStyle w:val="CharStyle5"/>
          <w:color w:val="000000"/>
        </w:rPr>
        <w:t>Advokát se zavazuje informovat včas klienta o důležitých skutečnostech souvisejících s poskytováním právních služeb a poučit jej o jeho oprávněných ná</w:t>
      </w:r>
      <w:r>
        <w:rPr>
          <w:rStyle w:val="CharStyle5"/>
          <w:color w:val="000000"/>
        </w:rPr>
        <w:t>rocích jakož i o lhůtách, v nichž je třeba je uplatňovat, nebo o povinnostech vyplývajících z právních a jiných předpisů.</w:t>
      </w:r>
    </w:p>
    <w:p w14:paraId="053529B3" w14:textId="77777777" w:rsidR="00000000" w:rsidRDefault="006E291D">
      <w:pPr>
        <w:pStyle w:val="Style2"/>
        <w:framePr w:w="9557" w:h="854" w:hRule="exact" w:wrap="none" w:vAnchor="page" w:hAnchor="page" w:x="962" w:y="7762"/>
        <w:numPr>
          <w:ilvl w:val="0"/>
          <w:numId w:val="2"/>
        </w:numPr>
        <w:shd w:val="clear" w:color="auto" w:fill="auto"/>
        <w:tabs>
          <w:tab w:val="left" w:pos="427"/>
        </w:tabs>
        <w:ind w:firstLine="0"/>
        <w:jc w:val="both"/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rPr>
          <w:rStyle w:val="CharStyle3"/>
          <w:b/>
          <w:bCs/>
          <w:color w:val="000000"/>
        </w:rPr>
        <w:t>Odměna a náhrada nákladů</w:t>
      </w:r>
      <w:bookmarkEnd w:id="42"/>
      <w:bookmarkEnd w:id="43"/>
      <w:bookmarkEnd w:id="44"/>
    </w:p>
    <w:p w14:paraId="638D752B" w14:textId="77777777" w:rsidR="00000000" w:rsidRDefault="006E291D">
      <w:pPr>
        <w:pStyle w:val="Style4"/>
        <w:framePr w:w="9557" w:h="854" w:hRule="exact" w:wrap="none" w:vAnchor="page" w:hAnchor="page" w:x="962" w:y="7762"/>
        <w:shd w:val="clear" w:color="auto" w:fill="auto"/>
        <w:spacing w:after="0"/>
        <w:jc w:val="both"/>
      </w:pPr>
      <w:r>
        <w:rPr>
          <w:rStyle w:val="CharStyle5"/>
          <w:color w:val="000000"/>
        </w:rPr>
        <w:t xml:space="preserve">3.1. </w:t>
      </w:r>
      <w:r>
        <w:rPr>
          <w:rStyle w:val="CharStyle5"/>
          <w:b/>
          <w:bCs/>
          <w:color w:val="000000"/>
        </w:rPr>
        <w:t>Odměna za poskytovan</w:t>
      </w:r>
      <w:r>
        <w:rPr>
          <w:rStyle w:val="CharStyle5"/>
          <w:b/>
          <w:bCs/>
          <w:color w:val="000000"/>
        </w:rPr>
        <w:t xml:space="preserve">é právní služby </w:t>
      </w:r>
      <w:r>
        <w:rPr>
          <w:rStyle w:val="CharStyle5"/>
          <w:color w:val="000000"/>
        </w:rPr>
        <w:t>se stanovuje dohodou obou smluvních stran, a to</w:t>
      </w:r>
    </w:p>
    <w:p w14:paraId="44D4D4DA" w14:textId="77777777" w:rsidR="00000000" w:rsidRDefault="006E291D">
      <w:pPr>
        <w:pStyle w:val="Style11"/>
        <w:framePr w:w="9557" w:h="6163" w:hRule="exact" w:wrap="none" w:vAnchor="page" w:hAnchor="page" w:x="962" w:y="9054"/>
        <w:shd w:val="clear" w:color="auto" w:fill="auto"/>
        <w:spacing w:after="260"/>
        <w:ind w:left="0"/>
        <w:jc w:val="center"/>
      </w:pPr>
      <w:r>
        <w:rPr>
          <w:rStyle w:val="CharStyle12"/>
          <w:color w:val="000000"/>
          <w:vertAlign w:val="superscript"/>
        </w:rPr>
        <w:t>1</w:t>
      </w:r>
      <w:r>
        <w:rPr>
          <w:rStyle w:val="CharStyle12"/>
          <w:color w:val="000000"/>
        </w:rPr>
        <w:t xml:space="preserve"> </w:t>
      </w:r>
      <w:r>
        <w:rPr>
          <w:rStyle w:val="CharStyle12"/>
          <w:i/>
          <w:iCs/>
          <w:color w:val="000000"/>
        </w:rPr>
        <w:t>§ 347a zák. č. 40/2009 Sb. (Trestní zákoník)</w:t>
      </w:r>
    </w:p>
    <w:p w14:paraId="33F68E0E" w14:textId="77777777" w:rsidR="00000000" w:rsidRDefault="006E291D">
      <w:pPr>
        <w:pStyle w:val="Style11"/>
        <w:framePr w:w="9557" w:h="6163" w:hRule="exact" w:wrap="none" w:vAnchor="page" w:hAnchor="page" w:x="962" w:y="9054"/>
        <w:shd w:val="clear" w:color="auto" w:fill="auto"/>
        <w:spacing w:after="260"/>
        <w:ind w:left="4540"/>
      </w:pPr>
      <w:r>
        <w:rPr>
          <w:rStyle w:val="CharStyle12"/>
          <w:b/>
          <w:bCs/>
          <w:i/>
          <w:iCs/>
          <w:color w:val="000000"/>
        </w:rPr>
        <w:t>Maření spravedlnosti</w:t>
      </w:r>
    </w:p>
    <w:p w14:paraId="14B48748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4"/>
        </w:numPr>
        <w:shd w:val="clear" w:color="auto" w:fill="auto"/>
        <w:tabs>
          <w:tab w:val="left" w:pos="843"/>
        </w:tabs>
        <w:ind w:left="440"/>
      </w:pPr>
      <w:bookmarkStart w:id="45" w:name="bookmark45"/>
      <w:bookmarkEnd w:id="45"/>
      <w:r>
        <w:rPr>
          <w:rStyle w:val="CharStyle12"/>
          <w:i/>
          <w:iCs/>
          <w:color w:val="000000"/>
        </w:rPr>
        <w:t>Kdo pro účely zahájení řízení před soudem, před mezinárodním soudním orgá</w:t>
      </w:r>
      <w:r>
        <w:rPr>
          <w:rStyle w:val="CharStyle12"/>
          <w:i/>
          <w:iCs/>
          <w:color w:val="000000"/>
        </w:rPr>
        <w:t>nem nebo trestního řízení anebo v takovém řízení předloží věcný nebo listinný důkazní prostředek, který má podstatný význam</w:t>
      </w:r>
    </w:p>
    <w:p w14:paraId="6CB6809D" w14:textId="77777777" w:rsidR="00000000" w:rsidRDefault="006E291D">
      <w:pPr>
        <w:pStyle w:val="Style11"/>
        <w:framePr w:w="9557" w:h="6163" w:hRule="exact" w:wrap="none" w:vAnchor="page" w:hAnchor="page" w:x="962" w:y="9054"/>
        <w:shd w:val="clear" w:color="auto" w:fill="auto"/>
        <w:ind w:left="440"/>
      </w:pPr>
      <w:r>
        <w:rPr>
          <w:rStyle w:val="CharStyle12"/>
          <w:i/>
          <w:iCs/>
          <w:color w:val="000000"/>
        </w:rPr>
        <w:t>pro rozhodnutí, o kterém ví, že je padělaný nebo pozměněný, v úmyslu, aby byl použit jako pravý, anebo padělá nebo pozmění takový dů</w:t>
      </w:r>
      <w:r>
        <w:rPr>
          <w:rStyle w:val="CharStyle12"/>
          <w:i/>
          <w:iCs/>
          <w:color w:val="000000"/>
        </w:rPr>
        <w:t>kazní prostředek v úmyslu, aby byl použit jako pravý, bude potrestán odnětím svobody až na dvě léta.</w:t>
      </w:r>
    </w:p>
    <w:p w14:paraId="3070EE5D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4"/>
        </w:numPr>
        <w:shd w:val="clear" w:color="auto" w:fill="auto"/>
        <w:tabs>
          <w:tab w:val="left" w:pos="843"/>
        </w:tabs>
        <w:ind w:left="0" w:firstLine="440"/>
        <w:jc w:val="both"/>
      </w:pPr>
      <w:bookmarkStart w:id="46" w:name="bookmark46"/>
      <w:bookmarkEnd w:id="46"/>
      <w:r>
        <w:rPr>
          <w:rStyle w:val="CharStyle12"/>
          <w:i/>
          <w:iCs/>
          <w:color w:val="000000"/>
        </w:rPr>
        <w:t>Kdo sám nebo prostřednictvím jiného poskytne, nabídne nebo slíbí prospěch jinému nebo pro jiného</w:t>
      </w:r>
    </w:p>
    <w:p w14:paraId="77752BD7" w14:textId="77777777" w:rsidR="00000000" w:rsidRDefault="006E291D">
      <w:pPr>
        <w:pStyle w:val="Style11"/>
        <w:framePr w:w="9557" w:h="6163" w:hRule="exact" w:wrap="none" w:vAnchor="page" w:hAnchor="page" w:x="962" w:y="9054"/>
        <w:shd w:val="clear" w:color="auto" w:fill="auto"/>
        <w:ind w:left="440"/>
        <w:jc w:val="both"/>
      </w:pPr>
      <w:r>
        <w:rPr>
          <w:rStyle w:val="CharStyle12"/>
          <w:i/>
          <w:iCs/>
          <w:color w:val="000000"/>
        </w:rPr>
        <w:t>za účelem spáchání trestného činu</w:t>
      </w:r>
      <w:r>
        <w:rPr>
          <w:rStyle w:val="CharStyle12"/>
          <w:i/>
          <w:iCs/>
          <w:color w:val="000000"/>
        </w:rPr>
        <w:t xml:space="preserve"> křivého obvinění (§ 345), křivé výpovědi a nepravdivého znaleckého posudku (§ 346) nebo křivého tlumočení (§ 347), bude potrestán odnětím svobody až na tři léta.</w:t>
      </w:r>
    </w:p>
    <w:p w14:paraId="651FD0F0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4"/>
        </w:numPr>
        <w:shd w:val="clear" w:color="auto" w:fill="auto"/>
        <w:tabs>
          <w:tab w:val="left" w:pos="843"/>
        </w:tabs>
        <w:ind w:left="0" w:firstLine="440"/>
        <w:jc w:val="both"/>
      </w:pPr>
      <w:bookmarkStart w:id="47" w:name="bookmark47"/>
      <w:bookmarkEnd w:id="47"/>
      <w:r>
        <w:rPr>
          <w:rStyle w:val="CharStyle12"/>
          <w:i/>
          <w:iCs/>
          <w:color w:val="000000"/>
        </w:rPr>
        <w:t>Odnětím svobody na jeden rok až pět let bude pachatel potrestán,</w:t>
      </w:r>
    </w:p>
    <w:p w14:paraId="109F6E84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5"/>
        </w:numPr>
        <w:shd w:val="clear" w:color="auto" w:fill="auto"/>
        <w:tabs>
          <w:tab w:val="left" w:pos="781"/>
        </w:tabs>
        <w:ind w:left="0" w:firstLine="440"/>
        <w:jc w:val="both"/>
      </w:pPr>
      <w:bookmarkStart w:id="48" w:name="bookmark48"/>
      <w:bookmarkEnd w:id="48"/>
      <w:r>
        <w:rPr>
          <w:rStyle w:val="CharStyle12"/>
          <w:i/>
          <w:iCs/>
          <w:color w:val="000000"/>
        </w:rPr>
        <w:t>spáchá-li čin uvedený v odstavci 1 nebo 2 v úmyslu získat pro sebe nebo pro jiného prospěch,</w:t>
      </w:r>
    </w:p>
    <w:p w14:paraId="4F5F83EF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5"/>
        </w:numPr>
        <w:shd w:val="clear" w:color="auto" w:fill="auto"/>
        <w:tabs>
          <w:tab w:val="left" w:pos="781"/>
        </w:tabs>
        <w:ind w:left="0" w:firstLine="440"/>
        <w:jc w:val="both"/>
      </w:pPr>
      <w:bookmarkStart w:id="49" w:name="bookmark49"/>
      <w:bookmarkEnd w:id="49"/>
      <w:r>
        <w:rPr>
          <w:rStyle w:val="CharStyle12"/>
          <w:i/>
          <w:iCs/>
          <w:color w:val="000000"/>
        </w:rPr>
        <w:t>spáchá-li takový čin jako úřední osoba,</w:t>
      </w:r>
    </w:p>
    <w:p w14:paraId="1E555AB1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5"/>
        </w:numPr>
        <w:shd w:val="clear" w:color="auto" w:fill="auto"/>
        <w:tabs>
          <w:tab w:val="left" w:pos="781"/>
        </w:tabs>
        <w:ind w:left="440"/>
        <w:jc w:val="both"/>
      </w:pPr>
      <w:bookmarkStart w:id="50" w:name="bookmark50"/>
      <w:bookmarkEnd w:id="50"/>
      <w:r>
        <w:rPr>
          <w:rStyle w:val="CharStyle12"/>
          <w:i/>
          <w:iCs/>
          <w:color w:val="000000"/>
        </w:rPr>
        <w:t>spáchá-li takový čin v úmyslu vážně jiného poš</w:t>
      </w:r>
      <w:r>
        <w:rPr>
          <w:rStyle w:val="CharStyle12"/>
          <w:i/>
          <w:iCs/>
          <w:color w:val="000000"/>
        </w:rPr>
        <w:t>kodit v zaměstnání, narušit jeho rodinné vztahy nebo způsobit mu jinou vážnou újmu, nebo</w:t>
      </w:r>
    </w:p>
    <w:p w14:paraId="4B84FD3C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5"/>
        </w:numPr>
        <w:shd w:val="clear" w:color="auto" w:fill="auto"/>
        <w:tabs>
          <w:tab w:val="left" w:pos="781"/>
        </w:tabs>
        <w:ind w:left="440"/>
        <w:jc w:val="both"/>
      </w:pPr>
      <w:bookmarkStart w:id="51" w:name="bookmark51"/>
      <w:bookmarkEnd w:id="51"/>
      <w:r>
        <w:rPr>
          <w:rStyle w:val="CharStyle12"/>
          <w:i/>
          <w:iCs/>
          <w:color w:val="000000"/>
        </w:rPr>
        <w:t>spáchá-li takový čin na jiném, který vůči němu plnil svoji povinnost vyplývající z jeho zaměstnání, povolání, postavení nebo funkce nebo uložen</w:t>
      </w:r>
      <w:r>
        <w:rPr>
          <w:rStyle w:val="CharStyle12"/>
          <w:i/>
          <w:iCs/>
          <w:color w:val="000000"/>
        </w:rPr>
        <w:t>ou mu podle zákona.</w:t>
      </w:r>
    </w:p>
    <w:p w14:paraId="47F3C4D5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4"/>
        </w:numPr>
        <w:shd w:val="clear" w:color="auto" w:fill="auto"/>
        <w:tabs>
          <w:tab w:val="left" w:pos="843"/>
        </w:tabs>
        <w:ind w:left="0" w:firstLine="440"/>
        <w:jc w:val="both"/>
      </w:pPr>
      <w:bookmarkStart w:id="52" w:name="bookmark52"/>
      <w:bookmarkEnd w:id="52"/>
      <w:r>
        <w:rPr>
          <w:rStyle w:val="CharStyle12"/>
          <w:i/>
          <w:iCs/>
          <w:color w:val="000000"/>
        </w:rPr>
        <w:t>Odnětím svobody na dvě léta až osm let bude pachatel potrestán,</w:t>
      </w:r>
    </w:p>
    <w:p w14:paraId="6DD2F7A4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6"/>
        </w:numPr>
        <w:shd w:val="clear" w:color="auto" w:fill="auto"/>
        <w:tabs>
          <w:tab w:val="left" w:pos="781"/>
        </w:tabs>
        <w:ind w:left="0" w:firstLine="440"/>
        <w:jc w:val="both"/>
      </w:pPr>
      <w:bookmarkStart w:id="53" w:name="bookmark53"/>
      <w:bookmarkEnd w:id="53"/>
      <w:r>
        <w:rPr>
          <w:rStyle w:val="CharStyle12"/>
          <w:i/>
          <w:iCs/>
          <w:color w:val="000000"/>
        </w:rPr>
        <w:t>spáchá-li čin uvedený v odstavci 1 nebo 2 jako člen organizované skupiny,</w:t>
      </w:r>
    </w:p>
    <w:p w14:paraId="51734DBB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6"/>
        </w:numPr>
        <w:shd w:val="clear" w:color="auto" w:fill="auto"/>
        <w:tabs>
          <w:tab w:val="left" w:pos="781"/>
        </w:tabs>
        <w:ind w:left="0" w:firstLine="440"/>
        <w:jc w:val="both"/>
      </w:pPr>
      <w:bookmarkStart w:id="54" w:name="bookmark54"/>
      <w:bookmarkEnd w:id="54"/>
      <w:r>
        <w:rPr>
          <w:rStyle w:val="CharStyle12"/>
          <w:i/>
          <w:iCs/>
          <w:color w:val="000000"/>
        </w:rPr>
        <w:t xml:space="preserve">způsobí-li takovým činem </w:t>
      </w:r>
      <w:r>
        <w:rPr>
          <w:rStyle w:val="CharStyle12"/>
          <w:i/>
          <w:iCs/>
          <w:color w:val="000000"/>
        </w:rPr>
        <w:t>značnou škodu, nebo</w:t>
      </w:r>
    </w:p>
    <w:p w14:paraId="4F79E237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6"/>
        </w:numPr>
        <w:shd w:val="clear" w:color="auto" w:fill="auto"/>
        <w:tabs>
          <w:tab w:val="left" w:pos="781"/>
        </w:tabs>
        <w:ind w:left="0" w:firstLine="440"/>
        <w:jc w:val="both"/>
      </w:pPr>
      <w:bookmarkStart w:id="55" w:name="bookmark55"/>
      <w:bookmarkEnd w:id="55"/>
      <w:r>
        <w:rPr>
          <w:rStyle w:val="CharStyle12"/>
          <w:i/>
          <w:iCs/>
          <w:color w:val="000000"/>
        </w:rPr>
        <w:t>získá-li takovým činem pro sebe nebo pro jiného značný prospěch.</w:t>
      </w:r>
    </w:p>
    <w:p w14:paraId="11E8254F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4"/>
        </w:numPr>
        <w:shd w:val="clear" w:color="auto" w:fill="auto"/>
        <w:tabs>
          <w:tab w:val="left" w:pos="843"/>
        </w:tabs>
        <w:ind w:left="0" w:firstLine="440"/>
        <w:jc w:val="both"/>
      </w:pPr>
      <w:bookmarkStart w:id="56" w:name="bookmark56"/>
      <w:bookmarkEnd w:id="56"/>
      <w:r>
        <w:rPr>
          <w:rStyle w:val="CharStyle12"/>
          <w:i/>
          <w:iCs/>
          <w:color w:val="000000"/>
        </w:rPr>
        <w:t>Odnětím svobody na tři léta až deset let bude pachatel potrestán,</w:t>
      </w:r>
    </w:p>
    <w:p w14:paraId="11EC0C90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7"/>
        </w:numPr>
        <w:shd w:val="clear" w:color="auto" w:fill="auto"/>
        <w:tabs>
          <w:tab w:val="left" w:pos="781"/>
        </w:tabs>
        <w:ind w:left="0" w:firstLine="440"/>
        <w:jc w:val="both"/>
      </w:pPr>
      <w:bookmarkStart w:id="57" w:name="bookmark57"/>
      <w:bookmarkEnd w:id="57"/>
      <w:r>
        <w:rPr>
          <w:rStyle w:val="CharStyle12"/>
          <w:i/>
          <w:iCs/>
          <w:color w:val="000000"/>
        </w:rPr>
        <w:t>způsobí-li činem uvedeným v odst</w:t>
      </w:r>
      <w:r>
        <w:rPr>
          <w:rStyle w:val="CharStyle12"/>
          <w:i/>
          <w:iCs/>
          <w:color w:val="000000"/>
        </w:rPr>
        <w:t>avci 1 nebo 2 škodu velkého rozsahu, nebo</w:t>
      </w:r>
    </w:p>
    <w:p w14:paraId="27AAA105" w14:textId="77777777" w:rsidR="00000000" w:rsidRDefault="006E291D">
      <w:pPr>
        <w:pStyle w:val="Style11"/>
        <w:framePr w:w="9557" w:h="6163" w:hRule="exact" w:wrap="none" w:vAnchor="page" w:hAnchor="page" w:x="962" w:y="9054"/>
        <w:numPr>
          <w:ilvl w:val="0"/>
          <w:numId w:val="7"/>
        </w:numPr>
        <w:shd w:val="clear" w:color="auto" w:fill="auto"/>
        <w:tabs>
          <w:tab w:val="left" w:pos="781"/>
        </w:tabs>
        <w:ind w:left="0" w:firstLine="440"/>
        <w:jc w:val="both"/>
      </w:pPr>
      <w:bookmarkStart w:id="58" w:name="bookmark58"/>
      <w:bookmarkEnd w:id="58"/>
      <w:r>
        <w:rPr>
          <w:rStyle w:val="CharStyle12"/>
          <w:i/>
          <w:iCs/>
          <w:color w:val="000000"/>
        </w:rPr>
        <w:t>získá-li takovým činem pro sebe nebo pro jiného prospěch velkého rozsahu.</w:t>
      </w:r>
    </w:p>
    <w:p w14:paraId="57EFF2D7" w14:textId="77777777" w:rsidR="00000000" w:rsidRDefault="006E291D">
      <w:pPr>
        <w:spacing w:line="1" w:lineRule="exact"/>
        <w:rPr>
          <w:color w:val="auto"/>
        </w:rPr>
        <w:sectPr w:rsidR="00000000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43FA86" w14:textId="77777777" w:rsidR="00000000" w:rsidRDefault="006E291D">
      <w:pPr>
        <w:pStyle w:val="Style4"/>
        <w:framePr w:w="9562" w:h="8203" w:hRule="exact" w:wrap="none" w:vAnchor="page" w:hAnchor="page" w:x="960" w:y="1407"/>
        <w:shd w:val="clear" w:color="auto" w:fill="auto"/>
        <w:ind w:firstLine="440"/>
        <w:jc w:val="both"/>
      </w:pPr>
      <w:r>
        <w:rPr>
          <w:rStyle w:val="CharStyle5"/>
          <w:color w:val="000000"/>
        </w:rPr>
        <w:lastRenderedPageBreak/>
        <w:t>následujícím způsobem:</w:t>
      </w:r>
    </w:p>
    <w:p w14:paraId="69EEA70A" w14:textId="77777777" w:rsidR="00000000" w:rsidRDefault="006E291D">
      <w:pPr>
        <w:pStyle w:val="Style4"/>
        <w:framePr w:w="9562" w:h="8203" w:hRule="exact" w:wrap="none" w:vAnchor="page" w:hAnchor="page" w:x="960" w:y="1407"/>
        <w:numPr>
          <w:ilvl w:val="0"/>
          <w:numId w:val="3"/>
        </w:numPr>
        <w:shd w:val="clear" w:color="auto" w:fill="auto"/>
        <w:tabs>
          <w:tab w:val="left" w:pos="1446"/>
        </w:tabs>
        <w:ind w:left="1440" w:hanging="560"/>
        <w:jc w:val="both"/>
      </w:pPr>
      <w:bookmarkStart w:id="59" w:name="bookmark59"/>
      <w:bookmarkEnd w:id="59"/>
      <w:r>
        <w:rPr>
          <w:rStyle w:val="CharStyle5"/>
          <w:color w:val="000000"/>
        </w:rPr>
        <w:t xml:space="preserve">Pro administraci </w:t>
      </w:r>
      <w:r>
        <w:rPr>
          <w:rStyle w:val="CharStyle5"/>
          <w:b/>
          <w:bCs/>
          <w:color w:val="000000"/>
        </w:rPr>
        <w:t xml:space="preserve">jednoho </w:t>
      </w:r>
      <w:r>
        <w:rPr>
          <w:rStyle w:val="CharStyle5"/>
          <w:color w:val="000000"/>
        </w:rPr>
        <w:t>zadávacího ří</w:t>
      </w:r>
      <w:r>
        <w:rPr>
          <w:rStyle w:val="CharStyle5"/>
          <w:color w:val="000000"/>
        </w:rPr>
        <w:t xml:space="preserve">zení na nadlimitní veřejnou zakázku - odměna ve výši </w:t>
      </w:r>
      <w:proofErr w:type="gramStart"/>
      <w:r>
        <w:rPr>
          <w:rStyle w:val="CharStyle5"/>
          <w:b/>
          <w:bCs/>
          <w:color w:val="000000"/>
        </w:rPr>
        <w:t>77.000,-</w:t>
      </w:r>
      <w:proofErr w:type="gramEnd"/>
      <w:r>
        <w:rPr>
          <w:rStyle w:val="CharStyle5"/>
          <w:b/>
          <w:bCs/>
          <w:color w:val="000000"/>
        </w:rPr>
        <w:t>Kč bez DPH</w:t>
      </w:r>
      <w:r>
        <w:rPr>
          <w:rStyle w:val="CharStyle5"/>
          <w:color w:val="000000"/>
        </w:rPr>
        <w:t>;</w:t>
      </w:r>
    </w:p>
    <w:p w14:paraId="038B2BF7" w14:textId="77777777" w:rsidR="00000000" w:rsidRDefault="006E291D">
      <w:pPr>
        <w:pStyle w:val="Style4"/>
        <w:framePr w:w="9562" w:h="8203" w:hRule="exact" w:wrap="none" w:vAnchor="page" w:hAnchor="page" w:x="960" w:y="1407"/>
        <w:numPr>
          <w:ilvl w:val="0"/>
          <w:numId w:val="3"/>
        </w:numPr>
        <w:shd w:val="clear" w:color="auto" w:fill="auto"/>
        <w:tabs>
          <w:tab w:val="left" w:pos="1446"/>
        </w:tabs>
        <w:ind w:left="1440" w:hanging="560"/>
        <w:jc w:val="both"/>
      </w:pPr>
      <w:bookmarkStart w:id="60" w:name="bookmark60"/>
      <w:bookmarkEnd w:id="60"/>
      <w:r>
        <w:rPr>
          <w:rStyle w:val="CharStyle5"/>
          <w:color w:val="000000"/>
        </w:rPr>
        <w:t>V případě, že by docházelo k opakování zadávacího řízení (např. pro nepodání nabídek, zrušení zadávacího řízení z důvodů na straně zadavatele), pak by každé dal</w:t>
      </w:r>
      <w:r>
        <w:rPr>
          <w:rStyle w:val="CharStyle5"/>
          <w:color w:val="000000"/>
        </w:rPr>
        <w:t xml:space="preserve">ší zadávací řízení </w:t>
      </w:r>
      <w:r>
        <w:rPr>
          <w:rStyle w:val="CharStyle5"/>
          <w:b/>
          <w:bCs/>
          <w:color w:val="000000"/>
        </w:rPr>
        <w:t xml:space="preserve">bylo honorováno částkou </w:t>
      </w:r>
      <w:proofErr w:type="gramStart"/>
      <w:r>
        <w:rPr>
          <w:rStyle w:val="CharStyle5"/>
          <w:b/>
          <w:bCs/>
          <w:color w:val="000000"/>
        </w:rPr>
        <w:t>25.000,-</w:t>
      </w:r>
      <w:proofErr w:type="gramEnd"/>
      <w:r>
        <w:rPr>
          <w:rStyle w:val="CharStyle5"/>
          <w:b/>
          <w:bCs/>
          <w:color w:val="000000"/>
        </w:rPr>
        <w:t>Kč bez DPH za každé další zadávací řízení</w:t>
      </w:r>
      <w:r>
        <w:rPr>
          <w:rStyle w:val="CharStyle5"/>
          <w:color w:val="000000"/>
        </w:rPr>
        <w:t>.</w:t>
      </w:r>
    </w:p>
    <w:p w14:paraId="0D22437A" w14:textId="77777777" w:rsidR="00000000" w:rsidRDefault="006E291D">
      <w:pPr>
        <w:pStyle w:val="Style4"/>
        <w:framePr w:w="9562" w:h="8203" w:hRule="exact" w:wrap="none" w:vAnchor="page" w:hAnchor="page" w:x="960" w:y="1407"/>
        <w:numPr>
          <w:ilvl w:val="0"/>
          <w:numId w:val="3"/>
        </w:numPr>
        <w:shd w:val="clear" w:color="auto" w:fill="auto"/>
        <w:tabs>
          <w:tab w:val="left" w:pos="1446"/>
        </w:tabs>
        <w:ind w:left="1440" w:hanging="560"/>
        <w:jc w:val="both"/>
      </w:pPr>
      <w:bookmarkStart w:id="61" w:name="bookmark61"/>
      <w:bookmarkEnd w:id="61"/>
      <w:r>
        <w:rPr>
          <w:rStyle w:val="CharStyle5"/>
          <w:color w:val="000000"/>
        </w:rPr>
        <w:t xml:space="preserve">Administrace </w:t>
      </w:r>
      <w:r>
        <w:rPr>
          <w:rStyle w:val="CharStyle5"/>
          <w:b/>
          <w:bCs/>
          <w:color w:val="000000"/>
        </w:rPr>
        <w:t xml:space="preserve">jednoho </w:t>
      </w:r>
      <w:r>
        <w:rPr>
          <w:rStyle w:val="CharStyle5"/>
          <w:color w:val="000000"/>
        </w:rPr>
        <w:t xml:space="preserve">zadávacího řízení na podlimitní veřejnou zakázku - odměna ve výši </w:t>
      </w:r>
      <w:proofErr w:type="gramStart"/>
      <w:r>
        <w:rPr>
          <w:rStyle w:val="CharStyle5"/>
          <w:b/>
          <w:bCs/>
          <w:color w:val="000000"/>
        </w:rPr>
        <w:t>67.000,-</w:t>
      </w:r>
      <w:proofErr w:type="gramEnd"/>
      <w:r>
        <w:rPr>
          <w:rStyle w:val="CharStyle5"/>
          <w:b/>
          <w:bCs/>
          <w:color w:val="000000"/>
        </w:rPr>
        <w:t>Kč bez DPH</w:t>
      </w:r>
      <w:r>
        <w:rPr>
          <w:rStyle w:val="CharStyle5"/>
          <w:color w:val="000000"/>
        </w:rPr>
        <w:t>.</w:t>
      </w:r>
    </w:p>
    <w:p w14:paraId="76836141" w14:textId="77777777" w:rsidR="00000000" w:rsidRDefault="006E291D">
      <w:pPr>
        <w:pStyle w:val="Style4"/>
        <w:framePr w:w="9562" w:h="8203" w:hRule="exact" w:wrap="none" w:vAnchor="page" w:hAnchor="page" w:x="960" w:y="1407"/>
        <w:numPr>
          <w:ilvl w:val="0"/>
          <w:numId w:val="3"/>
        </w:numPr>
        <w:shd w:val="clear" w:color="auto" w:fill="auto"/>
        <w:tabs>
          <w:tab w:val="left" w:pos="1446"/>
        </w:tabs>
        <w:ind w:left="1440" w:hanging="560"/>
        <w:jc w:val="both"/>
      </w:pPr>
      <w:bookmarkStart w:id="62" w:name="bookmark62"/>
      <w:bookmarkEnd w:id="62"/>
      <w:r>
        <w:rPr>
          <w:rStyle w:val="CharStyle5"/>
          <w:color w:val="000000"/>
        </w:rPr>
        <w:t xml:space="preserve">V případě, že by docházelo k opakování zadávacího řízení (např. pro nepodání nabídek, zrušení zadávacího řízení z důvodů na straně zadavatele), pak by každé další zadávací řízení </w:t>
      </w:r>
      <w:r>
        <w:rPr>
          <w:rStyle w:val="CharStyle5"/>
          <w:b/>
          <w:bCs/>
          <w:color w:val="000000"/>
        </w:rPr>
        <w:t xml:space="preserve">bylo honorováno částkou </w:t>
      </w:r>
      <w:proofErr w:type="gramStart"/>
      <w:r>
        <w:rPr>
          <w:rStyle w:val="CharStyle5"/>
          <w:b/>
          <w:bCs/>
          <w:color w:val="000000"/>
        </w:rPr>
        <w:t>20.000,-</w:t>
      </w:r>
      <w:proofErr w:type="gramEnd"/>
      <w:r>
        <w:rPr>
          <w:rStyle w:val="CharStyle5"/>
          <w:b/>
          <w:bCs/>
          <w:color w:val="000000"/>
        </w:rPr>
        <w:t xml:space="preserve">Kč bez DPH za každé další zadávací </w:t>
      </w:r>
      <w:r>
        <w:rPr>
          <w:rStyle w:val="CharStyle5"/>
          <w:b/>
          <w:bCs/>
          <w:color w:val="000000"/>
        </w:rPr>
        <w:t>řízení.</w:t>
      </w:r>
    </w:p>
    <w:p w14:paraId="2936F4D3" w14:textId="77777777" w:rsidR="00000000" w:rsidRDefault="006E291D">
      <w:pPr>
        <w:pStyle w:val="Style4"/>
        <w:framePr w:w="9562" w:h="8203" w:hRule="exact" w:wrap="none" w:vAnchor="page" w:hAnchor="page" w:x="960" w:y="1407"/>
        <w:numPr>
          <w:ilvl w:val="0"/>
          <w:numId w:val="3"/>
        </w:numPr>
        <w:shd w:val="clear" w:color="auto" w:fill="auto"/>
        <w:tabs>
          <w:tab w:val="left" w:pos="1446"/>
        </w:tabs>
        <w:ind w:left="1440" w:hanging="560"/>
        <w:jc w:val="both"/>
      </w:pPr>
      <w:bookmarkStart w:id="63" w:name="bookmark63"/>
      <w:bookmarkEnd w:id="63"/>
      <w:r>
        <w:rPr>
          <w:rStyle w:val="CharStyle5"/>
          <w:color w:val="000000"/>
        </w:rPr>
        <w:t xml:space="preserve">Administrace </w:t>
      </w:r>
      <w:r>
        <w:rPr>
          <w:rStyle w:val="CharStyle5"/>
          <w:b/>
          <w:bCs/>
          <w:color w:val="000000"/>
        </w:rPr>
        <w:t xml:space="preserve">jednoho </w:t>
      </w:r>
      <w:r>
        <w:rPr>
          <w:rStyle w:val="CharStyle5"/>
          <w:color w:val="000000"/>
        </w:rPr>
        <w:t xml:space="preserve">zadávacího řízení na veřejnou zakázku malého rozsahu - odměna ve výši </w:t>
      </w:r>
      <w:proofErr w:type="gramStart"/>
      <w:r>
        <w:rPr>
          <w:rStyle w:val="CharStyle5"/>
          <w:b/>
          <w:bCs/>
          <w:color w:val="000000"/>
        </w:rPr>
        <w:t>40.000,-</w:t>
      </w:r>
      <w:proofErr w:type="gramEnd"/>
      <w:r>
        <w:rPr>
          <w:rStyle w:val="CharStyle5"/>
          <w:b/>
          <w:bCs/>
          <w:color w:val="000000"/>
        </w:rPr>
        <w:t>Kč bez DPH</w:t>
      </w:r>
      <w:r>
        <w:rPr>
          <w:rStyle w:val="CharStyle5"/>
          <w:color w:val="000000"/>
        </w:rPr>
        <w:t>.</w:t>
      </w:r>
    </w:p>
    <w:p w14:paraId="3C5B0005" w14:textId="77777777" w:rsidR="00000000" w:rsidRDefault="006E291D">
      <w:pPr>
        <w:pStyle w:val="Style4"/>
        <w:framePr w:w="9562" w:h="8203" w:hRule="exact" w:wrap="none" w:vAnchor="page" w:hAnchor="page" w:x="960" w:y="1407"/>
        <w:numPr>
          <w:ilvl w:val="0"/>
          <w:numId w:val="3"/>
        </w:numPr>
        <w:shd w:val="clear" w:color="auto" w:fill="auto"/>
        <w:tabs>
          <w:tab w:val="left" w:pos="1446"/>
        </w:tabs>
        <w:ind w:left="1440" w:hanging="560"/>
        <w:jc w:val="both"/>
      </w:pPr>
      <w:bookmarkStart w:id="64" w:name="bookmark64"/>
      <w:bookmarkEnd w:id="64"/>
      <w:r>
        <w:rPr>
          <w:rStyle w:val="CharStyle5"/>
          <w:color w:val="000000"/>
        </w:rPr>
        <w:t>V případě, že by docházelo k opakování zadávacího řízení (např. pro nepodání nabídek, zruše</w:t>
      </w:r>
      <w:r>
        <w:rPr>
          <w:rStyle w:val="CharStyle5"/>
          <w:color w:val="000000"/>
        </w:rPr>
        <w:t xml:space="preserve">ní zadávacího řízení z důvodů na straně zadavatele), pak by každé další zadávací řízení </w:t>
      </w:r>
      <w:r>
        <w:rPr>
          <w:rStyle w:val="CharStyle5"/>
          <w:b/>
          <w:bCs/>
          <w:color w:val="000000"/>
        </w:rPr>
        <w:t xml:space="preserve">bylo honorováno částkou </w:t>
      </w:r>
      <w:proofErr w:type="gramStart"/>
      <w:r>
        <w:rPr>
          <w:rStyle w:val="CharStyle5"/>
          <w:b/>
          <w:bCs/>
          <w:color w:val="000000"/>
        </w:rPr>
        <w:t>20.000,-</w:t>
      </w:r>
      <w:proofErr w:type="gramEnd"/>
      <w:r>
        <w:rPr>
          <w:rStyle w:val="CharStyle5"/>
          <w:b/>
          <w:bCs/>
          <w:color w:val="000000"/>
        </w:rPr>
        <w:t>Kč bez DPH za každé další zadávací řízení</w:t>
      </w:r>
      <w:r>
        <w:rPr>
          <w:rStyle w:val="CharStyle5"/>
          <w:color w:val="000000"/>
        </w:rPr>
        <w:t>.</w:t>
      </w:r>
    </w:p>
    <w:p w14:paraId="0A1C9098" w14:textId="77777777" w:rsidR="00000000" w:rsidRDefault="006E291D">
      <w:pPr>
        <w:pStyle w:val="Style4"/>
        <w:framePr w:w="9562" w:h="8203" w:hRule="exact" w:wrap="none" w:vAnchor="page" w:hAnchor="page" w:x="960" w:y="1407"/>
        <w:numPr>
          <w:ilvl w:val="0"/>
          <w:numId w:val="3"/>
        </w:numPr>
        <w:shd w:val="clear" w:color="auto" w:fill="auto"/>
        <w:tabs>
          <w:tab w:val="left" w:pos="1446"/>
        </w:tabs>
        <w:spacing w:after="0"/>
        <w:ind w:left="1440" w:hanging="560"/>
        <w:jc w:val="both"/>
      </w:pPr>
      <w:bookmarkStart w:id="65" w:name="bookmark65"/>
      <w:bookmarkEnd w:id="65"/>
      <w:r>
        <w:rPr>
          <w:rStyle w:val="CharStyle5"/>
          <w:color w:val="000000"/>
        </w:rPr>
        <w:t>Právní služby související se zastupováním námitkové či přezkumného říz</w:t>
      </w:r>
      <w:r>
        <w:rPr>
          <w:rStyle w:val="CharStyle5"/>
          <w:color w:val="000000"/>
        </w:rPr>
        <w:t xml:space="preserve">ení před Úřadem pro ochranu hospodářské soutěže, příp. před správními soudy či součinnost při kontrolách výběrových a zadávacích řízení budou účtovány v hodinové sazbě ve výši </w:t>
      </w:r>
      <w:proofErr w:type="gramStart"/>
      <w:r>
        <w:rPr>
          <w:rStyle w:val="CharStyle5"/>
          <w:b/>
          <w:bCs/>
          <w:color w:val="000000"/>
        </w:rPr>
        <w:t>2.200,-</w:t>
      </w:r>
      <w:proofErr w:type="gramEnd"/>
      <w:r>
        <w:rPr>
          <w:rStyle w:val="CharStyle5"/>
          <w:b/>
          <w:bCs/>
          <w:color w:val="000000"/>
        </w:rPr>
        <w:t>Kč/hod. bez DPH</w:t>
      </w:r>
      <w:r>
        <w:rPr>
          <w:rStyle w:val="CharStyle5"/>
          <w:color w:val="000000"/>
        </w:rPr>
        <w:t>.</w:t>
      </w:r>
    </w:p>
    <w:p w14:paraId="04E3C35B" w14:textId="77777777" w:rsidR="00000000" w:rsidRDefault="006E291D">
      <w:pPr>
        <w:pStyle w:val="Style4"/>
        <w:framePr w:w="9562" w:h="1690" w:hRule="exact" w:wrap="none" w:vAnchor="page" w:hAnchor="page" w:x="960" w:y="10134"/>
        <w:numPr>
          <w:ilvl w:val="0"/>
          <w:numId w:val="8"/>
        </w:numPr>
        <w:shd w:val="clear" w:color="auto" w:fill="auto"/>
        <w:tabs>
          <w:tab w:val="left" w:pos="500"/>
        </w:tabs>
        <w:ind w:left="440" w:hanging="440"/>
        <w:jc w:val="both"/>
      </w:pPr>
      <w:bookmarkStart w:id="66" w:name="bookmark66"/>
      <w:bookmarkEnd w:id="66"/>
      <w:r>
        <w:rPr>
          <w:rStyle w:val="CharStyle5"/>
          <w:color w:val="000000"/>
        </w:rPr>
        <w:t>Smluvní strany sjednávají spla</w:t>
      </w:r>
      <w:r>
        <w:rPr>
          <w:rStyle w:val="CharStyle5"/>
          <w:color w:val="000000"/>
        </w:rPr>
        <w:t xml:space="preserve">tnost veškerých faktur vystavených advokátem </w:t>
      </w:r>
      <w:r>
        <w:rPr>
          <w:rStyle w:val="CharStyle5"/>
          <w:b/>
          <w:bCs/>
          <w:color w:val="000000"/>
        </w:rPr>
        <w:t xml:space="preserve">na 10 (slovy: deset dnů) </w:t>
      </w:r>
      <w:r>
        <w:rPr>
          <w:rStyle w:val="CharStyle5"/>
          <w:color w:val="000000"/>
        </w:rPr>
        <w:t>po jejich doručení klientovi. Za den úhrady faktury je smluvními stranami považován den, kdy klient předal proveditelný příkaz k úhradě peněžnímu ústavu, u něhož má vedený účet.</w:t>
      </w:r>
    </w:p>
    <w:p w14:paraId="30CA2D03" w14:textId="77777777" w:rsidR="00000000" w:rsidRDefault="006E291D">
      <w:pPr>
        <w:pStyle w:val="Style2"/>
        <w:framePr w:w="9562" w:h="1690" w:hRule="exact" w:wrap="none" w:vAnchor="page" w:hAnchor="page" w:x="960" w:y="10134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  <w:ind w:firstLine="0"/>
      </w:pPr>
      <w:bookmarkStart w:id="67" w:name="bookmark69"/>
      <w:bookmarkStart w:id="68" w:name="bookmark67"/>
      <w:bookmarkStart w:id="69" w:name="bookmark68"/>
      <w:bookmarkStart w:id="70" w:name="bookmark70"/>
      <w:bookmarkEnd w:id="67"/>
      <w:r>
        <w:rPr>
          <w:rStyle w:val="CharStyle3"/>
          <w:b/>
          <w:bCs/>
          <w:color w:val="000000"/>
        </w:rPr>
        <w:t>Ukončení smlouvy</w:t>
      </w:r>
      <w:bookmarkEnd w:id="68"/>
      <w:bookmarkEnd w:id="69"/>
      <w:bookmarkEnd w:id="70"/>
    </w:p>
    <w:p w14:paraId="572D9358" w14:textId="77777777" w:rsidR="00000000" w:rsidRDefault="006E291D">
      <w:pPr>
        <w:pStyle w:val="Style4"/>
        <w:framePr w:w="9562" w:h="2515" w:hRule="exact" w:wrap="none" w:vAnchor="page" w:hAnchor="page" w:x="960" w:y="12342"/>
        <w:numPr>
          <w:ilvl w:val="1"/>
          <w:numId w:val="2"/>
        </w:numPr>
        <w:shd w:val="clear" w:color="auto" w:fill="auto"/>
        <w:tabs>
          <w:tab w:val="left" w:pos="500"/>
        </w:tabs>
        <w:ind w:left="440" w:hanging="440"/>
        <w:jc w:val="both"/>
      </w:pPr>
      <w:bookmarkStart w:id="71" w:name="bookmark71"/>
      <w:bookmarkEnd w:id="71"/>
      <w:r>
        <w:rPr>
          <w:rStyle w:val="CharStyle5"/>
          <w:color w:val="000000"/>
        </w:rPr>
        <w:t xml:space="preserve">Advokát může odstoupit od této smlouvy, dojde-li k narušení důvěry mezi ním a klientem, pokud klient neposkytne potřebnou součinnost </w:t>
      </w:r>
      <w:r>
        <w:rPr>
          <w:rStyle w:val="CharStyle5"/>
          <w:color w:val="000000"/>
        </w:rPr>
        <w:t>nebo v případě, že je klient v prodlení s plněním svých peněžních závazků vůči advokátovi.</w:t>
      </w:r>
    </w:p>
    <w:p w14:paraId="0A7A8D36" w14:textId="77777777" w:rsidR="00000000" w:rsidRDefault="006E291D">
      <w:pPr>
        <w:pStyle w:val="Style4"/>
        <w:framePr w:w="9562" w:h="2515" w:hRule="exact" w:wrap="none" w:vAnchor="page" w:hAnchor="page" w:x="960" w:y="12342"/>
        <w:numPr>
          <w:ilvl w:val="1"/>
          <w:numId w:val="2"/>
        </w:numPr>
        <w:shd w:val="clear" w:color="auto" w:fill="auto"/>
        <w:tabs>
          <w:tab w:val="left" w:pos="500"/>
        </w:tabs>
        <w:spacing w:after="0"/>
        <w:ind w:left="440" w:hanging="440"/>
        <w:jc w:val="both"/>
      </w:pPr>
      <w:bookmarkStart w:id="72" w:name="bookmark72"/>
      <w:bookmarkEnd w:id="72"/>
      <w:r>
        <w:rPr>
          <w:rStyle w:val="CharStyle5"/>
          <w:color w:val="000000"/>
        </w:rPr>
        <w:t>Advokát je oprávněn tuto smlouvu vypovědět bez uvedení důvodu. Výpověď je účinná od 1. dne následujícího měsíce po doručení písemné výpověd</w:t>
      </w:r>
      <w:r>
        <w:rPr>
          <w:rStyle w:val="CharStyle5"/>
          <w:color w:val="000000"/>
        </w:rPr>
        <w:t>i a výpovědní lhůta činí jeden měsíc. Touto výpovědí není dotčeno poskytování právních služeb ve věcech, které do skončení výpovědní lhůty advokát převzal k vyřízení, ledaže by advokát v této části od smlouvy odstoupil z důvodů stanovených v ní nebo v práv</w:t>
      </w:r>
      <w:r>
        <w:rPr>
          <w:rStyle w:val="CharStyle5"/>
          <w:color w:val="000000"/>
        </w:rPr>
        <w:t>ním předpisu.</w:t>
      </w:r>
    </w:p>
    <w:p w14:paraId="1A87F5DC" w14:textId="77777777" w:rsidR="00000000" w:rsidRDefault="006E291D">
      <w:pPr>
        <w:pStyle w:val="Style4"/>
        <w:framePr w:wrap="none" w:vAnchor="page" w:hAnchor="page" w:x="960" w:y="15102"/>
        <w:numPr>
          <w:ilvl w:val="1"/>
          <w:numId w:val="2"/>
        </w:numPr>
        <w:shd w:val="clear" w:color="auto" w:fill="auto"/>
        <w:tabs>
          <w:tab w:val="left" w:pos="500"/>
        </w:tabs>
        <w:spacing w:after="0"/>
      </w:pPr>
      <w:bookmarkStart w:id="73" w:name="bookmark73"/>
      <w:bookmarkEnd w:id="73"/>
      <w:r>
        <w:rPr>
          <w:rStyle w:val="CharStyle5"/>
          <w:color w:val="000000"/>
        </w:rPr>
        <w:t>Klient je oprávněn tuto smlouvu kdykoli vypovědět, a to i bez udání důvodu. V takovém</w:t>
      </w:r>
    </w:p>
    <w:p w14:paraId="6CEFB6F6" w14:textId="77777777" w:rsidR="00000000" w:rsidRDefault="006E291D">
      <w:pPr>
        <w:spacing w:line="1" w:lineRule="exact"/>
        <w:rPr>
          <w:color w:val="auto"/>
        </w:rPr>
        <w:sectPr w:rsidR="00000000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4AE47E" w14:textId="77777777" w:rsidR="00000000" w:rsidRDefault="006E291D">
      <w:pPr>
        <w:pStyle w:val="Style4"/>
        <w:framePr w:w="9557" w:h="1133" w:hRule="exact" w:wrap="none" w:vAnchor="page" w:hAnchor="page" w:x="962" w:y="1407"/>
        <w:shd w:val="clear" w:color="auto" w:fill="auto"/>
        <w:ind w:firstLine="440"/>
        <w:jc w:val="both"/>
      </w:pPr>
      <w:r>
        <w:rPr>
          <w:rStyle w:val="CharStyle5"/>
          <w:color w:val="000000"/>
        </w:rPr>
        <w:lastRenderedPageBreak/>
        <w:t>případě je klient povinen zaplatit odměnu advokáta dle advokátního tarifu.</w:t>
      </w:r>
    </w:p>
    <w:p w14:paraId="2B2C899F" w14:textId="77777777" w:rsidR="00000000" w:rsidRDefault="006E291D">
      <w:pPr>
        <w:pStyle w:val="Style4"/>
        <w:framePr w:w="9557" w:h="1133" w:hRule="exact" w:wrap="none" w:vAnchor="page" w:hAnchor="page" w:x="962" w:y="1407"/>
        <w:numPr>
          <w:ilvl w:val="1"/>
          <w:numId w:val="2"/>
        </w:numPr>
        <w:shd w:val="clear" w:color="auto" w:fill="auto"/>
        <w:tabs>
          <w:tab w:val="left" w:pos="526"/>
        </w:tabs>
        <w:spacing w:after="0"/>
        <w:ind w:left="440" w:hanging="440"/>
        <w:jc w:val="both"/>
      </w:pPr>
      <w:bookmarkStart w:id="74" w:name="bookmark74"/>
      <w:bookmarkEnd w:id="74"/>
      <w:r>
        <w:rPr>
          <w:rStyle w:val="CharStyle5"/>
          <w:color w:val="000000"/>
        </w:rPr>
        <w:t>Povinnost od této smlouvy odstoupit ze zákonných důvodů není předchozími ustanoveními dotčena.</w:t>
      </w:r>
    </w:p>
    <w:p w14:paraId="66A8560D" w14:textId="77777777" w:rsidR="00000000" w:rsidRDefault="006E291D">
      <w:pPr>
        <w:pStyle w:val="Style2"/>
        <w:framePr w:wrap="none" w:vAnchor="page" w:hAnchor="page" w:x="962" w:y="3068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  <w:ind w:firstLine="0"/>
      </w:pPr>
      <w:bookmarkStart w:id="75" w:name="bookmark77"/>
      <w:bookmarkStart w:id="76" w:name="bookmark75"/>
      <w:bookmarkStart w:id="77" w:name="bookmark76"/>
      <w:bookmarkStart w:id="78" w:name="bookmark78"/>
      <w:bookmarkEnd w:id="75"/>
      <w:r>
        <w:rPr>
          <w:rStyle w:val="CharStyle3"/>
          <w:b/>
          <w:bCs/>
          <w:color w:val="000000"/>
        </w:rPr>
        <w:t>Závěrečná ustanovení</w:t>
      </w:r>
      <w:bookmarkEnd w:id="76"/>
      <w:bookmarkEnd w:id="77"/>
      <w:bookmarkEnd w:id="78"/>
    </w:p>
    <w:p w14:paraId="62FA20E3" w14:textId="77777777" w:rsidR="00000000" w:rsidRDefault="006E291D">
      <w:pPr>
        <w:pStyle w:val="Style4"/>
        <w:framePr w:w="9557" w:h="6931" w:hRule="exact" w:wrap="none" w:vAnchor="page" w:hAnchor="page" w:x="962" w:y="3894"/>
        <w:numPr>
          <w:ilvl w:val="1"/>
          <w:numId w:val="2"/>
        </w:numPr>
        <w:shd w:val="clear" w:color="auto" w:fill="auto"/>
        <w:tabs>
          <w:tab w:val="left" w:pos="526"/>
        </w:tabs>
        <w:ind w:left="440" w:hanging="440"/>
        <w:jc w:val="both"/>
      </w:pPr>
      <w:bookmarkStart w:id="79" w:name="bookmark79"/>
      <w:bookmarkEnd w:id="79"/>
      <w:r>
        <w:rPr>
          <w:rStyle w:val="CharStyle5"/>
          <w:color w:val="000000"/>
        </w:rPr>
        <w:t>Klient touto smlouvo</w:t>
      </w:r>
      <w:r>
        <w:rPr>
          <w:rStyle w:val="CharStyle5"/>
          <w:color w:val="000000"/>
        </w:rPr>
        <w:t>u uděluje advokátovi plnou moc pro uskutečňování všech jednání potřebných k řádnému poskytování právní služby uvedené v čl. 1. Na základě žádosti advokáta se klient zavazuje vystavit o této plné moci písemné osvědčení.</w:t>
      </w:r>
    </w:p>
    <w:p w14:paraId="30CCA172" w14:textId="77777777" w:rsidR="00000000" w:rsidRDefault="006E291D">
      <w:pPr>
        <w:pStyle w:val="Style4"/>
        <w:framePr w:w="9557" w:h="6931" w:hRule="exact" w:wrap="none" w:vAnchor="page" w:hAnchor="page" w:x="962" w:y="3894"/>
        <w:numPr>
          <w:ilvl w:val="1"/>
          <w:numId w:val="2"/>
        </w:numPr>
        <w:shd w:val="clear" w:color="auto" w:fill="auto"/>
        <w:tabs>
          <w:tab w:val="left" w:pos="526"/>
        </w:tabs>
        <w:ind w:left="440" w:hanging="440"/>
        <w:jc w:val="both"/>
      </w:pPr>
      <w:bookmarkStart w:id="80" w:name="bookmark80"/>
      <w:bookmarkEnd w:id="80"/>
      <w:r>
        <w:rPr>
          <w:rStyle w:val="CharStyle5"/>
          <w:color w:val="000000"/>
        </w:rPr>
        <w:t xml:space="preserve">Advokát je </w:t>
      </w:r>
      <w:r>
        <w:rPr>
          <w:rStyle w:val="CharStyle5"/>
          <w:color w:val="000000"/>
        </w:rPr>
        <w:t>povinen zachovávat mlčenlivost o všech skutečnostech, o nichž se dozvěděl v souvislosti s poskytováním právních služeb. Povinnosti může advokáta zprostit pouze klient. I poté je však advokát povinen zachovávat mlčenlivost, pokud je z okolností případu zřej</w:t>
      </w:r>
      <w:r>
        <w:rPr>
          <w:rStyle w:val="CharStyle5"/>
          <w:color w:val="000000"/>
        </w:rPr>
        <w:t>mé, že jej klient nebo jeho právní nástupce této povinnosti zprostil pod nátlakem anebo v tísni.</w:t>
      </w:r>
    </w:p>
    <w:p w14:paraId="355A6B5B" w14:textId="77777777" w:rsidR="00000000" w:rsidRDefault="006E291D">
      <w:pPr>
        <w:pStyle w:val="Style4"/>
        <w:framePr w:w="9557" w:h="6931" w:hRule="exact" w:wrap="none" w:vAnchor="page" w:hAnchor="page" w:x="962" w:y="3894"/>
        <w:numPr>
          <w:ilvl w:val="1"/>
          <w:numId w:val="2"/>
        </w:numPr>
        <w:shd w:val="clear" w:color="auto" w:fill="auto"/>
        <w:tabs>
          <w:tab w:val="left" w:pos="526"/>
        </w:tabs>
        <w:ind w:left="440" w:hanging="440"/>
        <w:jc w:val="both"/>
      </w:pPr>
      <w:bookmarkStart w:id="81" w:name="bookmark81"/>
      <w:bookmarkEnd w:id="81"/>
      <w:r>
        <w:rPr>
          <w:rStyle w:val="CharStyle5"/>
          <w:color w:val="000000"/>
        </w:rPr>
        <w:t xml:space="preserve">Advokát se jakožto správce osobních údajů, které mu budou na základě této smlouvy klientem poskytnuty, zavazuje, že bude tyto osobní </w:t>
      </w:r>
      <w:r>
        <w:rPr>
          <w:rStyle w:val="CharStyle5"/>
          <w:color w:val="000000"/>
        </w:rPr>
        <w:t>údaje zpracovávat v souladu s právními předpisy, především se zákonem č. 85/1996 Sb. (zákon o advokacii) a Nařízením Evropského parlamentu a Rady (EU) 2016/679 ze dne 27. dubna 2016 o ochraně fyzických osob v souvislosti se zpracováním osobních údajů a o v</w:t>
      </w:r>
      <w:r>
        <w:rPr>
          <w:rStyle w:val="CharStyle5"/>
          <w:color w:val="000000"/>
        </w:rPr>
        <w:t xml:space="preserve">olném pohybu těchto údajů a o zrušení směrnice 95/46/ES. Informace související se zpracováním osobních údajů klienta jsou obsahem </w:t>
      </w:r>
      <w:r>
        <w:rPr>
          <w:rStyle w:val="CharStyle5"/>
          <w:b/>
          <w:bCs/>
          <w:color w:val="000000"/>
        </w:rPr>
        <w:t>Přílohy č.1</w:t>
      </w:r>
      <w:r>
        <w:rPr>
          <w:rStyle w:val="CharStyle5"/>
          <w:color w:val="000000"/>
        </w:rPr>
        <w:t>, která je nedílnou součástí této smlouvy.</w:t>
      </w:r>
    </w:p>
    <w:p w14:paraId="68D54CD6" w14:textId="77777777" w:rsidR="00000000" w:rsidRDefault="006E291D">
      <w:pPr>
        <w:pStyle w:val="Style4"/>
        <w:framePr w:w="9557" w:h="6931" w:hRule="exact" w:wrap="none" w:vAnchor="page" w:hAnchor="page" w:x="962" w:y="3894"/>
        <w:numPr>
          <w:ilvl w:val="1"/>
          <w:numId w:val="2"/>
        </w:numPr>
        <w:shd w:val="clear" w:color="auto" w:fill="auto"/>
        <w:tabs>
          <w:tab w:val="left" w:pos="526"/>
        </w:tabs>
        <w:ind w:left="440" w:hanging="440"/>
        <w:jc w:val="both"/>
      </w:pPr>
      <w:bookmarkStart w:id="82" w:name="bookmark82"/>
      <w:bookmarkEnd w:id="82"/>
      <w:r>
        <w:rPr>
          <w:rStyle w:val="CharStyle5"/>
          <w:color w:val="000000"/>
        </w:rPr>
        <w:t xml:space="preserve">Smluvní strany se dohodly, že advokát se může </w:t>
      </w:r>
      <w:r>
        <w:rPr>
          <w:rStyle w:val="CharStyle5"/>
          <w:color w:val="000000"/>
        </w:rPr>
        <w:t>nechat při jednotlivých úkonech zastoupit jiným advokátem, advokátním koncipientem anebo zaměstnancem advokátní kanceláře.</w:t>
      </w:r>
    </w:p>
    <w:p w14:paraId="59F19238" w14:textId="77777777" w:rsidR="00000000" w:rsidRDefault="006E291D">
      <w:pPr>
        <w:pStyle w:val="Style4"/>
        <w:framePr w:w="9557" w:h="6931" w:hRule="exact" w:wrap="none" w:vAnchor="page" w:hAnchor="page" w:x="962" w:y="3894"/>
        <w:numPr>
          <w:ilvl w:val="1"/>
          <w:numId w:val="2"/>
        </w:numPr>
        <w:shd w:val="clear" w:color="auto" w:fill="auto"/>
        <w:tabs>
          <w:tab w:val="left" w:pos="526"/>
        </w:tabs>
        <w:jc w:val="both"/>
      </w:pPr>
      <w:bookmarkStart w:id="83" w:name="bookmark83"/>
      <w:bookmarkEnd w:id="83"/>
      <w:r>
        <w:rPr>
          <w:rStyle w:val="CharStyle5"/>
          <w:color w:val="000000"/>
        </w:rPr>
        <w:t>Tato smlouva se sjednává na dobu neurčitou.</w:t>
      </w:r>
    </w:p>
    <w:p w14:paraId="23835E70" w14:textId="77777777" w:rsidR="00000000" w:rsidRDefault="006E291D">
      <w:pPr>
        <w:pStyle w:val="Style2"/>
        <w:framePr w:w="9557" w:h="6931" w:hRule="exact" w:wrap="none" w:vAnchor="page" w:hAnchor="page" w:x="962" w:y="3894"/>
        <w:shd w:val="clear" w:color="auto" w:fill="auto"/>
        <w:jc w:val="both"/>
      </w:pPr>
      <w:bookmarkStart w:id="84" w:name="bookmark84"/>
      <w:bookmarkStart w:id="85" w:name="bookmark85"/>
      <w:bookmarkStart w:id="86" w:name="bookmark86"/>
      <w:r>
        <w:rPr>
          <w:rStyle w:val="CharStyle3"/>
          <w:b/>
          <w:bCs/>
          <w:color w:val="000000"/>
        </w:rPr>
        <w:t>Příloha:</w:t>
      </w:r>
      <w:bookmarkEnd w:id="84"/>
      <w:bookmarkEnd w:id="85"/>
      <w:bookmarkEnd w:id="86"/>
    </w:p>
    <w:p w14:paraId="01CABE57" w14:textId="77777777" w:rsidR="00000000" w:rsidRDefault="006E291D">
      <w:pPr>
        <w:pStyle w:val="Style4"/>
        <w:framePr w:w="9557" w:h="6931" w:hRule="exact" w:wrap="none" w:vAnchor="page" w:hAnchor="page" w:x="962" w:y="3894"/>
        <w:shd w:val="clear" w:color="auto" w:fill="auto"/>
        <w:spacing w:after="0"/>
        <w:ind w:firstLine="440"/>
        <w:jc w:val="both"/>
      </w:pPr>
      <w:r>
        <w:rPr>
          <w:rStyle w:val="CharStyle5"/>
          <w:color w:val="000000"/>
        </w:rPr>
        <w:t>č. 1 – informace pro klienta při přijetí osobních údajů advokátem.</w:t>
      </w:r>
    </w:p>
    <w:p w14:paraId="59F4C64D" w14:textId="77777777" w:rsidR="00000000" w:rsidRDefault="006E291D">
      <w:pPr>
        <w:pStyle w:val="Style4"/>
        <w:framePr w:wrap="none" w:vAnchor="page" w:hAnchor="page" w:x="962" w:y="11161"/>
        <w:shd w:val="clear" w:color="auto" w:fill="auto"/>
        <w:spacing w:after="0"/>
        <w:ind w:right="8304" w:firstLine="440"/>
        <w:jc w:val="both"/>
      </w:pPr>
      <w:r>
        <w:rPr>
          <w:rStyle w:val="CharStyle5"/>
          <w:color w:val="000000"/>
        </w:rPr>
        <w:t>V Praze</w:t>
      </w:r>
    </w:p>
    <w:p w14:paraId="1E6868BF" w14:textId="77777777" w:rsidR="00000000" w:rsidRDefault="006E291D">
      <w:pPr>
        <w:pStyle w:val="Style4"/>
        <w:framePr w:w="821" w:h="307" w:hRule="exact" w:wrap="none" w:vAnchor="page" w:hAnchor="page" w:x="7270" w:y="11161"/>
        <w:shd w:val="clear" w:color="auto" w:fill="auto"/>
        <w:spacing w:after="0"/>
        <w:jc w:val="right"/>
      </w:pPr>
      <w:r>
        <w:rPr>
          <w:rStyle w:val="CharStyle5"/>
          <w:color w:val="000000"/>
        </w:rPr>
        <w:t>V Praze</w:t>
      </w:r>
    </w:p>
    <w:p w14:paraId="268719AA" w14:textId="77777777" w:rsidR="00000000" w:rsidRDefault="006E291D">
      <w:pPr>
        <w:pStyle w:val="Style2"/>
        <w:framePr w:w="9557" w:h="552" w:hRule="exact" w:wrap="none" w:vAnchor="page" w:hAnchor="page" w:x="962" w:y="12471"/>
        <w:shd w:val="clear" w:color="auto" w:fill="auto"/>
        <w:tabs>
          <w:tab w:val="left" w:pos="5226"/>
        </w:tabs>
        <w:spacing w:after="0"/>
        <w:jc w:val="both"/>
      </w:pPr>
      <w:bookmarkStart w:id="87" w:name="bookmark87"/>
      <w:bookmarkStart w:id="88" w:name="bookmark88"/>
      <w:bookmarkStart w:id="89" w:name="bookmark89"/>
      <w:r>
        <w:rPr>
          <w:rStyle w:val="CharStyle3"/>
          <w:b/>
          <w:bCs/>
          <w:color w:val="000000"/>
        </w:rPr>
        <w:t>Ústav chemických procesů AV ČR, v. v. i.</w:t>
      </w:r>
      <w:r>
        <w:rPr>
          <w:rStyle w:val="CharStyle3"/>
          <w:b/>
          <w:bCs/>
          <w:color w:val="000000"/>
        </w:rPr>
        <w:tab/>
      </w:r>
      <w:proofErr w:type="spellStart"/>
      <w:r>
        <w:rPr>
          <w:rStyle w:val="CharStyle3"/>
          <w:b/>
          <w:bCs/>
          <w:color w:val="000000"/>
        </w:rPr>
        <w:t>Biem&amp;Schýbal</w:t>
      </w:r>
      <w:proofErr w:type="spellEnd"/>
      <w:r>
        <w:rPr>
          <w:rStyle w:val="CharStyle3"/>
          <w:b/>
          <w:bCs/>
          <w:color w:val="000000"/>
        </w:rPr>
        <w:t>, advokátní kancelář, s.r.o.</w:t>
      </w:r>
      <w:bookmarkEnd w:id="87"/>
      <w:bookmarkEnd w:id="88"/>
      <w:bookmarkEnd w:id="89"/>
    </w:p>
    <w:p w14:paraId="27F06407" w14:textId="77777777" w:rsidR="00000000" w:rsidRDefault="006E291D">
      <w:pPr>
        <w:pStyle w:val="Style4"/>
        <w:framePr w:w="9557" w:h="552" w:hRule="exact" w:wrap="none" w:vAnchor="page" w:hAnchor="page" w:x="962" w:y="12471"/>
        <w:shd w:val="clear" w:color="auto" w:fill="auto"/>
        <w:tabs>
          <w:tab w:val="left" w:pos="6099"/>
        </w:tabs>
        <w:spacing w:after="0" w:line="211" w:lineRule="auto"/>
        <w:ind w:firstLine="440"/>
        <w:jc w:val="both"/>
      </w:pPr>
      <w:r>
        <w:rPr>
          <w:rStyle w:val="CharStyle5"/>
          <w:color w:val="000000"/>
        </w:rPr>
        <w:t xml:space="preserve">Ing. Michal </w:t>
      </w:r>
      <w:proofErr w:type="spellStart"/>
      <w:r>
        <w:rPr>
          <w:rStyle w:val="CharStyle5"/>
          <w:color w:val="000000"/>
        </w:rPr>
        <w:t>Š</w:t>
      </w:r>
      <w:r>
        <w:rPr>
          <w:rStyle w:val="CharStyle5"/>
          <w:color w:val="000000"/>
        </w:rPr>
        <w:t>yc</w:t>
      </w:r>
      <w:proofErr w:type="spellEnd"/>
      <w:r>
        <w:rPr>
          <w:rStyle w:val="CharStyle5"/>
          <w:color w:val="000000"/>
        </w:rPr>
        <w:t>, Ph.D., ředitel</w:t>
      </w:r>
      <w:r>
        <w:rPr>
          <w:rStyle w:val="CharStyle5"/>
          <w:color w:val="000000"/>
        </w:rPr>
        <w:tab/>
        <w:t>Mgr. Tomáš Biem, jednatel</w:t>
      </w:r>
    </w:p>
    <w:p w14:paraId="4C3A2F24" w14:textId="77777777" w:rsidR="00000000" w:rsidRDefault="006E291D">
      <w:pPr>
        <w:spacing w:line="1" w:lineRule="exact"/>
        <w:rPr>
          <w:color w:val="auto"/>
        </w:rPr>
        <w:sectPr w:rsidR="00000000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2F66AB" w14:textId="77777777" w:rsidR="00000000" w:rsidRDefault="006E291D">
      <w:pPr>
        <w:pStyle w:val="Style2"/>
        <w:framePr w:w="9557" w:h="6931" w:hRule="exact" w:wrap="none" w:vAnchor="page" w:hAnchor="page" w:x="966" w:y="8033"/>
        <w:shd w:val="clear" w:color="auto" w:fill="auto"/>
        <w:ind w:firstLine="0"/>
        <w:jc w:val="center"/>
      </w:pPr>
      <w:bookmarkStart w:id="90" w:name="bookmark92"/>
      <w:r>
        <w:rPr>
          <w:rStyle w:val="CharStyle3"/>
          <w:b/>
          <w:bCs/>
          <w:color w:val="000000"/>
        </w:rPr>
        <w:lastRenderedPageBreak/>
        <w:t>Příloha č. 1 ke smlouvě o poskytování právních služeb:</w:t>
      </w:r>
      <w:bookmarkEnd w:id="90"/>
    </w:p>
    <w:p w14:paraId="0882B239" w14:textId="77777777" w:rsidR="00000000" w:rsidRDefault="006E291D">
      <w:pPr>
        <w:pStyle w:val="Style2"/>
        <w:framePr w:w="9557" w:h="6931" w:hRule="exact" w:wrap="none" w:vAnchor="page" w:hAnchor="page" w:x="966" w:y="8033"/>
        <w:shd w:val="clear" w:color="auto" w:fill="auto"/>
        <w:ind w:firstLine="0"/>
        <w:jc w:val="center"/>
      </w:pPr>
      <w:bookmarkStart w:id="91" w:name="bookmark93"/>
      <w:r>
        <w:rPr>
          <w:rStyle w:val="CharStyle3"/>
          <w:b/>
          <w:bCs/>
          <w:color w:val="000000"/>
        </w:rPr>
        <w:t>Informace pro klienta při přijetí osobních údajů advokátem</w:t>
      </w:r>
      <w:bookmarkEnd w:id="91"/>
    </w:p>
    <w:p w14:paraId="18FBF12D" w14:textId="77777777" w:rsidR="00000000" w:rsidRDefault="006E291D">
      <w:pPr>
        <w:pStyle w:val="Style2"/>
        <w:framePr w:w="9557" w:h="6931" w:hRule="exact" w:wrap="none" w:vAnchor="page" w:hAnchor="page" w:x="966" w:y="8033"/>
        <w:numPr>
          <w:ilvl w:val="0"/>
          <w:numId w:val="9"/>
        </w:numPr>
        <w:shd w:val="clear" w:color="auto" w:fill="auto"/>
        <w:tabs>
          <w:tab w:val="left" w:pos="1146"/>
        </w:tabs>
      </w:pPr>
      <w:bookmarkStart w:id="92" w:name="bookmark94"/>
      <w:bookmarkStart w:id="93" w:name="bookmark90"/>
      <w:bookmarkStart w:id="94" w:name="bookmark91"/>
      <w:bookmarkStart w:id="95" w:name="bookmark95"/>
      <w:bookmarkEnd w:id="92"/>
      <w:r>
        <w:rPr>
          <w:rStyle w:val="CharStyle3"/>
          <w:b/>
          <w:bCs/>
          <w:color w:val="000000"/>
        </w:rPr>
        <w:t>Správce osobních údajů</w:t>
      </w:r>
      <w:bookmarkEnd w:id="93"/>
      <w:bookmarkEnd w:id="94"/>
      <w:bookmarkEnd w:id="95"/>
    </w:p>
    <w:p w14:paraId="1460153B" w14:textId="77777777" w:rsidR="00000000" w:rsidRDefault="006E291D">
      <w:pPr>
        <w:pStyle w:val="Style4"/>
        <w:framePr w:w="9557" w:h="6931" w:hRule="exact" w:wrap="none" w:vAnchor="page" w:hAnchor="page" w:x="966" w:y="8033"/>
        <w:shd w:val="clear" w:color="auto" w:fill="auto"/>
        <w:spacing w:after="0"/>
        <w:ind w:left="1300"/>
      </w:pPr>
      <w:proofErr w:type="spellStart"/>
      <w:r>
        <w:rPr>
          <w:rStyle w:val="CharStyle5"/>
          <w:color w:val="000000"/>
        </w:rPr>
        <w:t>Biem&amp;Schýbal</w:t>
      </w:r>
      <w:proofErr w:type="spellEnd"/>
      <w:r>
        <w:rPr>
          <w:rStyle w:val="CharStyle5"/>
          <w:color w:val="000000"/>
        </w:rPr>
        <w:t>, advokátní kancelář, s.r.o.,</w:t>
      </w:r>
    </w:p>
    <w:p w14:paraId="451B2FA8" w14:textId="77777777" w:rsidR="00000000" w:rsidRDefault="006E291D">
      <w:pPr>
        <w:pStyle w:val="Style4"/>
        <w:framePr w:w="9557" w:h="6931" w:hRule="exact" w:wrap="none" w:vAnchor="page" w:hAnchor="page" w:x="966" w:y="8033"/>
        <w:shd w:val="clear" w:color="auto" w:fill="auto"/>
        <w:spacing w:after="0"/>
        <w:ind w:left="1300"/>
      </w:pPr>
      <w:r>
        <w:rPr>
          <w:rStyle w:val="CharStyle5"/>
          <w:color w:val="000000"/>
        </w:rPr>
        <w:t>IČ 04677111,</w:t>
      </w:r>
    </w:p>
    <w:p w14:paraId="3F0014DA" w14:textId="77777777" w:rsidR="00000000" w:rsidRDefault="006E291D">
      <w:pPr>
        <w:pStyle w:val="Style4"/>
        <w:framePr w:w="9557" w:h="6931" w:hRule="exact" w:wrap="none" w:vAnchor="page" w:hAnchor="page" w:x="966" w:y="8033"/>
        <w:shd w:val="clear" w:color="auto" w:fill="auto"/>
        <w:spacing w:after="0"/>
        <w:ind w:left="1300"/>
      </w:pPr>
      <w:r>
        <w:rPr>
          <w:rStyle w:val="CharStyle5"/>
          <w:color w:val="000000"/>
        </w:rPr>
        <w:t>se sí</w:t>
      </w:r>
      <w:r>
        <w:rPr>
          <w:rStyle w:val="CharStyle5"/>
          <w:color w:val="000000"/>
        </w:rPr>
        <w:t>dlem V Holešovičkách 94/41, Libeň, 182 00 Praha 8</w:t>
      </w:r>
    </w:p>
    <w:p w14:paraId="012CBA5A" w14:textId="77777777" w:rsidR="00000000" w:rsidRDefault="006E291D">
      <w:pPr>
        <w:pStyle w:val="Style4"/>
        <w:framePr w:w="9557" w:h="6931" w:hRule="exact" w:wrap="none" w:vAnchor="page" w:hAnchor="page" w:x="966" w:y="8033"/>
        <w:shd w:val="clear" w:color="auto" w:fill="auto"/>
        <w:spacing w:after="0"/>
        <w:ind w:left="1300"/>
      </w:pPr>
      <w:r>
        <w:rPr>
          <w:rStyle w:val="CharStyle5"/>
          <w:color w:val="000000"/>
        </w:rPr>
        <w:t xml:space="preserve">zapsaná v obchodním rejstříku vedeném u Městského soudu v Praze pod </w:t>
      </w:r>
      <w:proofErr w:type="spellStart"/>
      <w:r>
        <w:rPr>
          <w:rStyle w:val="CharStyle5"/>
          <w:color w:val="000000"/>
        </w:rPr>
        <w:t>sp</w:t>
      </w:r>
      <w:proofErr w:type="spellEnd"/>
      <w:r>
        <w:rPr>
          <w:rStyle w:val="CharStyle5"/>
          <w:color w:val="000000"/>
        </w:rPr>
        <w:t>. zn. C 251986</w:t>
      </w:r>
    </w:p>
    <w:p w14:paraId="7119D488" w14:textId="02E62CBF" w:rsidR="00000000" w:rsidRDefault="006E291D" w:rsidP="00072956">
      <w:pPr>
        <w:pStyle w:val="Style4"/>
        <w:framePr w:w="9557" w:h="6931" w:hRule="exact" w:wrap="none" w:vAnchor="page" w:hAnchor="page" w:x="966" w:y="8033"/>
        <w:shd w:val="clear" w:color="auto" w:fill="auto"/>
        <w:spacing w:after="0"/>
        <w:ind w:left="1300"/>
      </w:pPr>
      <w:proofErr w:type="spellStart"/>
      <w:proofErr w:type="gramStart"/>
      <w:r>
        <w:rPr>
          <w:rStyle w:val="CharStyle5"/>
          <w:color w:val="000000"/>
        </w:rPr>
        <w:t>E-mail:</w:t>
      </w:r>
      <w:bookmarkStart w:id="96" w:name="bookmark98"/>
      <w:bookmarkStart w:id="97" w:name="bookmark96"/>
      <w:bookmarkStart w:id="98" w:name="bookmark97"/>
      <w:bookmarkStart w:id="99" w:name="bookmark99"/>
      <w:bookmarkEnd w:id="96"/>
      <w:r>
        <w:rPr>
          <w:rStyle w:val="CharStyle3"/>
          <w:b w:val="0"/>
          <w:bCs w:val="0"/>
          <w:color w:val="000000"/>
        </w:rPr>
        <w:t>Právní</w:t>
      </w:r>
      <w:proofErr w:type="spellEnd"/>
      <w:proofErr w:type="gramEnd"/>
      <w:r>
        <w:rPr>
          <w:rStyle w:val="CharStyle3"/>
          <w:b w:val="0"/>
          <w:bCs w:val="0"/>
          <w:color w:val="000000"/>
        </w:rPr>
        <w:t xml:space="preserve"> základ pro zpracování</w:t>
      </w:r>
      <w:bookmarkEnd w:id="97"/>
      <w:bookmarkEnd w:id="98"/>
      <w:bookmarkEnd w:id="99"/>
    </w:p>
    <w:p w14:paraId="06FB65E0" w14:textId="77777777" w:rsidR="00000000" w:rsidRDefault="006E291D">
      <w:pPr>
        <w:pStyle w:val="Style4"/>
        <w:framePr w:w="9557" w:h="6931" w:hRule="exact" w:wrap="none" w:vAnchor="page" w:hAnchor="page" w:x="966" w:y="8033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left="1300"/>
      </w:pPr>
      <w:bookmarkStart w:id="100" w:name="bookmark100"/>
      <w:bookmarkEnd w:id="100"/>
      <w:r>
        <w:rPr>
          <w:rStyle w:val="CharStyle5"/>
          <w:color w:val="000000"/>
        </w:rPr>
        <w:t>S</w:t>
      </w:r>
      <w:r>
        <w:rPr>
          <w:rStyle w:val="CharStyle5"/>
          <w:color w:val="000000"/>
        </w:rPr>
        <w:t>mlouva o poskytování právních služeb</w:t>
      </w:r>
    </w:p>
    <w:p w14:paraId="757FF300" w14:textId="77777777" w:rsidR="00000000" w:rsidRDefault="006E291D">
      <w:pPr>
        <w:pStyle w:val="Style4"/>
        <w:framePr w:w="9557" w:h="6931" w:hRule="exact" w:wrap="none" w:vAnchor="page" w:hAnchor="page" w:x="966" w:y="8033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</w:pPr>
      <w:bookmarkStart w:id="101" w:name="bookmark101"/>
      <w:bookmarkEnd w:id="101"/>
      <w:r>
        <w:rPr>
          <w:rStyle w:val="CharStyle5"/>
          <w:color w:val="000000"/>
        </w:rPr>
        <w:t>Poskytování osobních údajů je povinností subjektu údajů – klienta (dále jen „</w:t>
      </w:r>
      <w:r>
        <w:rPr>
          <w:rStyle w:val="CharStyle5"/>
          <w:b/>
          <w:bCs/>
          <w:color w:val="000000"/>
        </w:rPr>
        <w:t>klient</w:t>
      </w:r>
      <w:r>
        <w:rPr>
          <w:rStyle w:val="CharStyle5"/>
          <w:color w:val="000000"/>
        </w:rPr>
        <w:t>“), která vypl</w:t>
      </w:r>
      <w:r>
        <w:rPr>
          <w:rStyle w:val="CharStyle5"/>
          <w:color w:val="000000"/>
        </w:rPr>
        <w:t>ývá z výše zmíněné smlouvy.</w:t>
      </w:r>
    </w:p>
    <w:p w14:paraId="489A42C8" w14:textId="77777777" w:rsidR="00000000" w:rsidRDefault="006E291D">
      <w:pPr>
        <w:pStyle w:val="Style2"/>
        <w:framePr w:w="9557" w:h="6931" w:hRule="exact" w:wrap="none" w:vAnchor="page" w:hAnchor="page" w:x="966" w:y="8033"/>
        <w:numPr>
          <w:ilvl w:val="0"/>
          <w:numId w:val="9"/>
        </w:numPr>
        <w:shd w:val="clear" w:color="auto" w:fill="auto"/>
        <w:tabs>
          <w:tab w:val="left" w:pos="1146"/>
        </w:tabs>
        <w:jc w:val="both"/>
      </w:pPr>
      <w:bookmarkStart w:id="102" w:name="bookmark104"/>
      <w:bookmarkStart w:id="103" w:name="bookmark102"/>
      <w:bookmarkStart w:id="104" w:name="bookmark103"/>
      <w:bookmarkStart w:id="105" w:name="bookmark105"/>
      <w:bookmarkEnd w:id="102"/>
      <w:r>
        <w:rPr>
          <w:rStyle w:val="CharStyle3"/>
          <w:b/>
          <w:bCs/>
          <w:color w:val="000000"/>
        </w:rPr>
        <w:t>Účel zpracování</w:t>
      </w:r>
      <w:bookmarkEnd w:id="103"/>
      <w:bookmarkEnd w:id="104"/>
      <w:bookmarkEnd w:id="105"/>
    </w:p>
    <w:p w14:paraId="6100CF31" w14:textId="77777777" w:rsidR="00000000" w:rsidRDefault="006E291D">
      <w:pPr>
        <w:pStyle w:val="Style4"/>
        <w:framePr w:w="9557" w:h="6931" w:hRule="exact" w:wrap="none" w:vAnchor="page" w:hAnchor="page" w:x="966" w:y="8033"/>
        <w:numPr>
          <w:ilvl w:val="0"/>
          <w:numId w:val="3"/>
        </w:numPr>
        <w:shd w:val="clear" w:color="auto" w:fill="auto"/>
        <w:tabs>
          <w:tab w:val="left" w:pos="1660"/>
        </w:tabs>
        <w:ind w:left="1300"/>
      </w:pPr>
      <w:bookmarkStart w:id="106" w:name="bookmark106"/>
      <w:bookmarkEnd w:id="106"/>
      <w:r>
        <w:rPr>
          <w:rStyle w:val="CharStyle5"/>
          <w:color w:val="000000"/>
        </w:rPr>
        <w:t>Poskytování právních služeb podle smlouvy uzavřené s klientem.</w:t>
      </w:r>
    </w:p>
    <w:p w14:paraId="77197126" w14:textId="77777777" w:rsidR="00000000" w:rsidRDefault="006E291D">
      <w:pPr>
        <w:pStyle w:val="Style2"/>
        <w:framePr w:w="9557" w:h="6931" w:hRule="exact" w:wrap="none" w:vAnchor="page" w:hAnchor="page" w:x="966" w:y="8033"/>
        <w:numPr>
          <w:ilvl w:val="0"/>
          <w:numId w:val="9"/>
        </w:numPr>
        <w:shd w:val="clear" w:color="auto" w:fill="auto"/>
        <w:tabs>
          <w:tab w:val="left" w:pos="1146"/>
        </w:tabs>
        <w:spacing w:after="0"/>
      </w:pPr>
      <w:bookmarkStart w:id="107" w:name="bookmark109"/>
      <w:bookmarkStart w:id="108" w:name="bookmark107"/>
      <w:bookmarkStart w:id="109" w:name="bookmark108"/>
      <w:bookmarkStart w:id="110" w:name="bookmark110"/>
      <w:bookmarkEnd w:id="107"/>
      <w:r>
        <w:rPr>
          <w:rStyle w:val="CharStyle3"/>
          <w:b/>
          <w:bCs/>
          <w:color w:val="000000"/>
        </w:rPr>
        <w:t>Příjemci osobních údajů</w:t>
      </w:r>
      <w:bookmarkEnd w:id="108"/>
      <w:bookmarkEnd w:id="109"/>
      <w:bookmarkEnd w:id="110"/>
    </w:p>
    <w:p w14:paraId="2616C3A8" w14:textId="77777777" w:rsidR="00000000" w:rsidRDefault="006E291D">
      <w:pPr>
        <w:spacing w:line="1" w:lineRule="exact"/>
        <w:rPr>
          <w:color w:val="auto"/>
        </w:rPr>
        <w:sectPr w:rsidR="00000000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5CB974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left="1300"/>
        <w:jc w:val="both"/>
      </w:pPr>
      <w:bookmarkStart w:id="111" w:name="bookmark111"/>
      <w:bookmarkEnd w:id="111"/>
      <w:r>
        <w:rPr>
          <w:rStyle w:val="CharStyle5"/>
          <w:color w:val="000000"/>
        </w:rPr>
        <w:lastRenderedPageBreak/>
        <w:t>Orgány veřejné moci (např. soudy, správní orgány);</w:t>
      </w:r>
    </w:p>
    <w:p w14:paraId="4A438489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left="1300"/>
        <w:jc w:val="both"/>
      </w:pPr>
      <w:bookmarkStart w:id="112" w:name="bookmark112"/>
      <w:bookmarkEnd w:id="112"/>
      <w:r>
        <w:rPr>
          <w:rStyle w:val="CharStyle5"/>
          <w:color w:val="000000"/>
        </w:rPr>
        <w:t>Poskytovatelé údržby info</w:t>
      </w:r>
      <w:r>
        <w:rPr>
          <w:rStyle w:val="CharStyle5"/>
          <w:color w:val="000000"/>
        </w:rPr>
        <w:t>rmačního systému;</w:t>
      </w:r>
    </w:p>
    <w:p w14:paraId="1B405D1B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300"/>
        <w:jc w:val="both"/>
      </w:pPr>
      <w:bookmarkStart w:id="113" w:name="bookmark113"/>
      <w:bookmarkEnd w:id="113"/>
      <w:r>
        <w:rPr>
          <w:rStyle w:val="CharStyle5"/>
          <w:color w:val="000000"/>
        </w:rPr>
        <w:t>Další příjemci dle potřeb a pokynů klienta.</w:t>
      </w:r>
    </w:p>
    <w:p w14:paraId="0F40866A" w14:textId="77777777" w:rsidR="00000000" w:rsidRDefault="006E291D">
      <w:pPr>
        <w:pStyle w:val="Style2"/>
        <w:framePr w:w="9557" w:h="13555" w:hRule="exact" w:wrap="none" w:vAnchor="page" w:hAnchor="page" w:x="966" w:y="1409"/>
        <w:numPr>
          <w:ilvl w:val="0"/>
          <w:numId w:val="9"/>
        </w:numPr>
        <w:shd w:val="clear" w:color="auto" w:fill="auto"/>
        <w:tabs>
          <w:tab w:val="left" w:pos="1146"/>
        </w:tabs>
        <w:jc w:val="both"/>
      </w:pPr>
      <w:bookmarkStart w:id="114" w:name="bookmark116"/>
      <w:bookmarkStart w:id="115" w:name="bookmark114"/>
      <w:bookmarkStart w:id="116" w:name="bookmark115"/>
      <w:bookmarkStart w:id="117" w:name="bookmark117"/>
      <w:bookmarkEnd w:id="114"/>
      <w:r>
        <w:rPr>
          <w:rStyle w:val="CharStyle3"/>
          <w:b/>
          <w:bCs/>
          <w:color w:val="000000"/>
        </w:rPr>
        <w:t>Doba zpracování osobních údajů</w:t>
      </w:r>
      <w:bookmarkEnd w:id="115"/>
      <w:bookmarkEnd w:id="116"/>
      <w:bookmarkEnd w:id="117"/>
    </w:p>
    <w:p w14:paraId="39714D6D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  <w:jc w:val="both"/>
      </w:pPr>
      <w:bookmarkStart w:id="118" w:name="bookmark118"/>
      <w:bookmarkEnd w:id="118"/>
      <w:r>
        <w:rPr>
          <w:rStyle w:val="CharStyle5"/>
          <w:color w:val="000000"/>
        </w:rPr>
        <w:t>Osobní ú</w:t>
      </w:r>
      <w:r>
        <w:rPr>
          <w:rStyle w:val="CharStyle5"/>
          <w:color w:val="000000"/>
        </w:rPr>
        <w:t>daje budou zpracovávány po dobu platnosti výše zmíněné smlouvy a po jejím skončení s nimi bude naloženo dle platné právní úpravy, zejm. zákona č. 85/1996 Sb. (zákon o advokacii), zákona č. 499/2004 Sb. (zákon o archivnictví a spisové službě a o změně někte</w:t>
      </w:r>
      <w:r>
        <w:rPr>
          <w:rStyle w:val="CharStyle5"/>
          <w:color w:val="000000"/>
        </w:rPr>
        <w:t>rých zákonů) a Nařízení Evropského parlamentu a Rady (EU) 2016/679 ze dne 27. dubna 2016 o ochraně fyzických osob v souvislosti se zpracováním osobních údajů a o volném pohybu těchto údajů a o zrušení směrnice 95/46/ES (Nařízení GDPR).</w:t>
      </w:r>
    </w:p>
    <w:p w14:paraId="4AB41BEC" w14:textId="77777777" w:rsidR="00000000" w:rsidRDefault="006E291D">
      <w:pPr>
        <w:pStyle w:val="Style2"/>
        <w:framePr w:w="9557" w:h="13555" w:hRule="exact" w:wrap="none" w:vAnchor="page" w:hAnchor="page" w:x="966" w:y="1409"/>
        <w:numPr>
          <w:ilvl w:val="0"/>
          <w:numId w:val="9"/>
        </w:numPr>
        <w:shd w:val="clear" w:color="auto" w:fill="auto"/>
        <w:tabs>
          <w:tab w:val="left" w:pos="1146"/>
        </w:tabs>
        <w:jc w:val="both"/>
      </w:pPr>
      <w:bookmarkStart w:id="119" w:name="bookmark121"/>
      <w:bookmarkStart w:id="120" w:name="bookmark119"/>
      <w:bookmarkStart w:id="121" w:name="bookmark120"/>
      <w:bookmarkStart w:id="122" w:name="bookmark122"/>
      <w:bookmarkEnd w:id="119"/>
      <w:r>
        <w:rPr>
          <w:rStyle w:val="CharStyle3"/>
          <w:b/>
          <w:bCs/>
          <w:color w:val="000000"/>
        </w:rPr>
        <w:t>Práva klienta</w:t>
      </w:r>
      <w:bookmarkEnd w:id="120"/>
      <w:bookmarkEnd w:id="121"/>
      <w:bookmarkEnd w:id="122"/>
    </w:p>
    <w:p w14:paraId="7AA017F4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  <w:jc w:val="both"/>
      </w:pPr>
      <w:bookmarkStart w:id="123" w:name="bookmark123"/>
      <w:bookmarkEnd w:id="123"/>
      <w:r>
        <w:rPr>
          <w:rStyle w:val="CharStyle5"/>
          <w:b/>
          <w:bCs/>
          <w:color w:val="000000"/>
        </w:rPr>
        <w:t xml:space="preserve">Právo na přístup k osobním údajům </w:t>
      </w:r>
      <w:r>
        <w:rPr>
          <w:rStyle w:val="CharStyle5"/>
          <w:color w:val="000000"/>
        </w:rPr>
        <w:t>znamená, že klient má právo od správce – advokáta zí</w:t>
      </w:r>
      <w:r>
        <w:rPr>
          <w:rStyle w:val="CharStyle5"/>
          <w:color w:val="000000"/>
        </w:rPr>
        <w:t xml:space="preserve">skat informace o tom, zda zpracovává jeho osobní údaje, a pokud ano, o jaké údaje se jedná a jakým způsobem jsou zpracovávány. Klient má také </w:t>
      </w:r>
      <w:r>
        <w:rPr>
          <w:rStyle w:val="CharStyle5"/>
          <w:b/>
          <w:bCs/>
          <w:color w:val="000000"/>
        </w:rPr>
        <w:t xml:space="preserve">právo, aby </w:t>
      </w:r>
      <w:proofErr w:type="gramStart"/>
      <w:r>
        <w:rPr>
          <w:rStyle w:val="CharStyle5"/>
          <w:b/>
          <w:bCs/>
          <w:color w:val="000000"/>
        </w:rPr>
        <w:t>správce - advokát</w:t>
      </w:r>
      <w:proofErr w:type="gramEnd"/>
      <w:r>
        <w:rPr>
          <w:rStyle w:val="CharStyle5"/>
          <w:b/>
          <w:bCs/>
          <w:color w:val="000000"/>
        </w:rPr>
        <w:t xml:space="preserve"> </w:t>
      </w:r>
      <w:r>
        <w:rPr>
          <w:rStyle w:val="CharStyle5"/>
          <w:color w:val="000000"/>
        </w:rPr>
        <w:t xml:space="preserve">bez zbytečného odkladu </w:t>
      </w:r>
      <w:r>
        <w:rPr>
          <w:rStyle w:val="CharStyle5"/>
          <w:b/>
          <w:bCs/>
          <w:color w:val="000000"/>
        </w:rPr>
        <w:t>opravil na jeho žádost nepřesné osobní údaje</w:t>
      </w:r>
      <w:r>
        <w:rPr>
          <w:rStyle w:val="CharStyle5"/>
          <w:color w:val="000000"/>
        </w:rPr>
        <w:t>, které se ho týka</w:t>
      </w:r>
      <w:r>
        <w:rPr>
          <w:rStyle w:val="CharStyle5"/>
          <w:color w:val="000000"/>
        </w:rPr>
        <w:t xml:space="preserve">jí. </w:t>
      </w:r>
      <w:r>
        <w:rPr>
          <w:rStyle w:val="CharStyle5"/>
          <w:b/>
          <w:bCs/>
          <w:color w:val="000000"/>
        </w:rPr>
        <w:t>Neúplné osobní údaje má klient právo kdykoli doplnit</w:t>
      </w:r>
      <w:r>
        <w:rPr>
          <w:rStyle w:val="CharStyle5"/>
          <w:color w:val="000000"/>
        </w:rPr>
        <w:t>.</w:t>
      </w:r>
    </w:p>
    <w:p w14:paraId="6AC3E911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  <w:jc w:val="both"/>
      </w:pPr>
      <w:bookmarkStart w:id="124" w:name="bookmark124"/>
      <w:bookmarkEnd w:id="124"/>
      <w:r>
        <w:rPr>
          <w:rStyle w:val="CharStyle5"/>
          <w:b/>
          <w:bCs/>
          <w:color w:val="000000"/>
        </w:rPr>
        <w:t xml:space="preserve">Právo na výmaz osobních údajů </w:t>
      </w:r>
      <w:r>
        <w:rPr>
          <w:rStyle w:val="CharStyle5"/>
          <w:color w:val="000000"/>
        </w:rPr>
        <w:t>představuje jinými slovy vyjádřenou povinnost správce – advokáta zlikvidovat osobní údaje, které o klientovi zpracovává, pokud jsou splněny urč</w:t>
      </w:r>
      <w:r>
        <w:rPr>
          <w:rStyle w:val="CharStyle5"/>
          <w:color w:val="000000"/>
        </w:rPr>
        <w:t>ité podmínky a klient o to požádá.</w:t>
      </w:r>
    </w:p>
    <w:p w14:paraId="78D13413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  <w:jc w:val="both"/>
      </w:pPr>
      <w:bookmarkStart w:id="125" w:name="bookmark125"/>
      <w:bookmarkEnd w:id="125"/>
      <w:r>
        <w:rPr>
          <w:rStyle w:val="CharStyle5"/>
          <w:color w:val="000000"/>
        </w:rPr>
        <w:t xml:space="preserve">Klient má </w:t>
      </w:r>
      <w:r>
        <w:rPr>
          <w:rStyle w:val="CharStyle5"/>
          <w:b/>
          <w:bCs/>
          <w:color w:val="000000"/>
        </w:rPr>
        <w:t xml:space="preserve">právo, aby správce </w:t>
      </w:r>
      <w:r>
        <w:rPr>
          <w:rStyle w:val="CharStyle5"/>
          <w:color w:val="000000"/>
        </w:rPr>
        <w:t xml:space="preserve">– advokát v určitých případech </w:t>
      </w:r>
      <w:r>
        <w:rPr>
          <w:rStyle w:val="CharStyle5"/>
          <w:b/>
          <w:bCs/>
          <w:color w:val="000000"/>
        </w:rPr>
        <w:t xml:space="preserve">omezil zpracování </w:t>
      </w:r>
      <w:r>
        <w:rPr>
          <w:rStyle w:val="CharStyle5"/>
          <w:color w:val="000000"/>
        </w:rPr>
        <w:t xml:space="preserve">jeho osobních údajů. Proti zpracování, které je založeno na oprávněných zájmech správce – advokáta, třetí strany nebo </w:t>
      </w:r>
      <w:r>
        <w:rPr>
          <w:rStyle w:val="CharStyle5"/>
          <w:color w:val="000000"/>
        </w:rPr>
        <w:t xml:space="preserve">je nezbytné pro splnění úkolu prováděného ve veřejném zájmu nebo při výkonu veřejné moci, má klient </w:t>
      </w:r>
      <w:r>
        <w:rPr>
          <w:rStyle w:val="CharStyle5"/>
          <w:b/>
          <w:bCs/>
          <w:color w:val="000000"/>
        </w:rPr>
        <w:t xml:space="preserve">právo </w:t>
      </w:r>
      <w:r>
        <w:rPr>
          <w:rStyle w:val="CharStyle5"/>
          <w:color w:val="000000"/>
        </w:rPr>
        <w:t xml:space="preserve">kdykoli </w:t>
      </w:r>
      <w:r>
        <w:rPr>
          <w:rStyle w:val="CharStyle5"/>
          <w:b/>
          <w:bCs/>
          <w:color w:val="000000"/>
        </w:rPr>
        <w:t>vznést námitku</w:t>
      </w:r>
      <w:r>
        <w:rPr>
          <w:rStyle w:val="CharStyle5"/>
          <w:color w:val="000000"/>
        </w:rPr>
        <w:t>.</w:t>
      </w:r>
    </w:p>
    <w:p w14:paraId="0CC7A342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  <w:jc w:val="both"/>
      </w:pPr>
      <w:bookmarkStart w:id="126" w:name="bookmark126"/>
      <w:bookmarkEnd w:id="126"/>
      <w:r>
        <w:rPr>
          <w:rStyle w:val="CharStyle5"/>
          <w:b/>
          <w:bCs/>
          <w:color w:val="000000"/>
        </w:rPr>
        <w:t xml:space="preserve">Právo na přenositelnost </w:t>
      </w:r>
      <w:r>
        <w:rPr>
          <w:rStyle w:val="CharStyle5"/>
          <w:color w:val="000000"/>
        </w:rPr>
        <w:t>údajů dává klientovi možnost získat osobní údaje, které správci poskytl, v bě</w:t>
      </w:r>
      <w:r>
        <w:rPr>
          <w:rStyle w:val="CharStyle5"/>
          <w:color w:val="000000"/>
        </w:rPr>
        <w:t>žném a strojově čitelném formátu. Tyto údaje může následně předat jinému správci, nebo pokud je to technicky možné, žádat, aby si je správci předali mezi sebou.</w:t>
      </w:r>
    </w:p>
    <w:p w14:paraId="61CED33F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  <w:jc w:val="both"/>
      </w:pPr>
      <w:bookmarkStart w:id="127" w:name="bookmark127"/>
      <w:bookmarkEnd w:id="127"/>
      <w:r>
        <w:rPr>
          <w:rStyle w:val="CharStyle5"/>
          <w:color w:val="000000"/>
        </w:rPr>
        <w:t>Právo kdykoli odvolat souhlas se zpracováním osobních údajů se neuplat</w:t>
      </w:r>
      <w:r>
        <w:rPr>
          <w:rStyle w:val="CharStyle5"/>
          <w:color w:val="000000"/>
        </w:rPr>
        <w:t>ní, jelikož osobní údaje klienta jsou zpracovávány z důvodu plnění smlouvy uzavřené s klientem, nikoli na základě souhlasu se zpracováním.</w:t>
      </w:r>
    </w:p>
    <w:p w14:paraId="568B0189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ind w:left="1660" w:hanging="360"/>
        <w:jc w:val="both"/>
      </w:pPr>
      <w:bookmarkStart w:id="128" w:name="bookmark128"/>
      <w:bookmarkEnd w:id="128"/>
      <w:r>
        <w:rPr>
          <w:rStyle w:val="CharStyle5"/>
          <w:color w:val="000000"/>
        </w:rPr>
        <w:t>V případě, že bude klient jakkoli nespokojen se zpracováním svých osobních údajů prováděné s</w:t>
      </w:r>
      <w:r>
        <w:rPr>
          <w:rStyle w:val="CharStyle5"/>
          <w:color w:val="000000"/>
        </w:rPr>
        <w:t xml:space="preserve">právcem – advokátem, může podat stížnost přímo jemu, nebo </w:t>
      </w:r>
      <w:r>
        <w:rPr>
          <w:rStyle w:val="CharStyle5"/>
          <w:b/>
          <w:bCs/>
          <w:color w:val="000000"/>
        </w:rPr>
        <w:t>se obrátit na Úřad pro ochranu osobních údajů.</w:t>
      </w:r>
    </w:p>
    <w:p w14:paraId="2DC6C2F5" w14:textId="77777777" w:rsidR="00000000" w:rsidRDefault="006E291D">
      <w:pPr>
        <w:pStyle w:val="Style4"/>
        <w:framePr w:w="9557" w:h="13555" w:hRule="exact" w:wrap="none" w:vAnchor="page" w:hAnchor="page" w:x="966" w:y="1409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left="1660" w:hanging="360"/>
        <w:jc w:val="both"/>
      </w:pPr>
      <w:bookmarkStart w:id="129" w:name="bookmark129"/>
      <w:bookmarkEnd w:id="129"/>
      <w:r>
        <w:rPr>
          <w:rStyle w:val="CharStyle5"/>
          <w:color w:val="000000"/>
        </w:rPr>
        <w:t xml:space="preserve">Více informací o právech klienta je k dispozici na internetových stránkách Úřadu pro ochranu osobních údajů. </w:t>
      </w:r>
      <w:hyperlink r:id="rId5" w:history="1">
        <w:r>
          <w:rPr>
            <w:rStyle w:val="CharStyle5"/>
            <w:color w:val="000000"/>
          </w:rPr>
          <w:t>(https://www.uoou.cz/6-prava-subjektu-udaj/d-</w:t>
        </w:r>
      </w:hyperlink>
      <w:r>
        <w:rPr>
          <w:rStyle w:val="CharStyle5"/>
          <w:color w:val="000000"/>
        </w:rPr>
        <w:t xml:space="preserve"> </w:t>
      </w:r>
      <w:hyperlink r:id="rId6" w:history="1">
        <w:r>
          <w:rPr>
            <w:rStyle w:val="CharStyle5"/>
            <w:color w:val="000000"/>
          </w:rPr>
          <w:t>27276)</w:t>
        </w:r>
      </w:hyperlink>
      <w:r>
        <w:rPr>
          <w:rStyle w:val="CharStyle5"/>
          <w:color w:val="000000"/>
        </w:rPr>
        <w:t>.</w:t>
      </w:r>
    </w:p>
    <w:p w14:paraId="3D31F0D8" w14:textId="77777777" w:rsidR="00000000" w:rsidRDefault="006E291D">
      <w:pPr>
        <w:spacing w:line="1" w:lineRule="exact"/>
        <w:rPr>
          <w:color w:val="auto"/>
        </w:rPr>
        <w:sectPr w:rsidR="00000000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15F04" w14:textId="77777777" w:rsidR="00000000" w:rsidRDefault="006E291D">
      <w:pPr>
        <w:pStyle w:val="Style4"/>
        <w:framePr w:wrap="none" w:vAnchor="page" w:hAnchor="page" w:x="966" w:y="1409"/>
        <w:shd w:val="clear" w:color="auto" w:fill="auto"/>
        <w:spacing w:after="0"/>
        <w:ind w:right="7834" w:firstLine="920"/>
      </w:pPr>
      <w:r>
        <w:rPr>
          <w:rStyle w:val="CharStyle5"/>
          <w:color w:val="000000"/>
        </w:rPr>
        <w:lastRenderedPageBreak/>
        <w:t>V Praze</w:t>
      </w:r>
    </w:p>
    <w:p w14:paraId="29D70069" w14:textId="77777777" w:rsidR="00000000" w:rsidRDefault="006E291D">
      <w:pPr>
        <w:pStyle w:val="Style4"/>
        <w:framePr w:wrap="none" w:vAnchor="page" w:hAnchor="page" w:x="6347" w:y="1409"/>
        <w:shd w:val="clear" w:color="auto" w:fill="auto"/>
        <w:spacing w:after="0"/>
      </w:pPr>
      <w:r>
        <w:rPr>
          <w:rStyle w:val="CharStyle5"/>
          <w:color w:val="000000"/>
        </w:rPr>
        <w:t>V Praze</w:t>
      </w:r>
    </w:p>
    <w:p w14:paraId="38377B76" w14:textId="77777777" w:rsidR="00000000" w:rsidRDefault="006E291D">
      <w:pPr>
        <w:pStyle w:val="Style4"/>
        <w:framePr w:w="9557" w:h="576" w:hRule="exact" w:wrap="none" w:vAnchor="page" w:hAnchor="page" w:x="966" w:y="2489"/>
        <w:shd w:val="clear" w:color="auto" w:fill="auto"/>
        <w:spacing w:after="0"/>
        <w:ind w:firstLine="440"/>
      </w:pPr>
      <w:r>
        <w:rPr>
          <w:rStyle w:val="CharStyle5"/>
          <w:b/>
          <w:bCs/>
          <w:color w:val="000000"/>
        </w:rPr>
        <w:t>Ústav chemických procesů AV Č</w:t>
      </w:r>
      <w:r>
        <w:rPr>
          <w:rStyle w:val="CharStyle5"/>
          <w:b/>
          <w:bCs/>
          <w:color w:val="000000"/>
        </w:rPr>
        <w:t xml:space="preserve">R, v. v. i. </w:t>
      </w:r>
      <w:proofErr w:type="spellStart"/>
      <w:r>
        <w:rPr>
          <w:rStyle w:val="CharStyle5"/>
          <w:b/>
          <w:bCs/>
          <w:color w:val="000000"/>
        </w:rPr>
        <w:t>Biem&amp;Schýbal</w:t>
      </w:r>
      <w:proofErr w:type="spellEnd"/>
      <w:r>
        <w:rPr>
          <w:rStyle w:val="CharStyle5"/>
          <w:b/>
          <w:bCs/>
          <w:color w:val="000000"/>
        </w:rPr>
        <w:t>, advokátní kancelář, s.r.o.</w:t>
      </w:r>
    </w:p>
    <w:p w14:paraId="43882400" w14:textId="77777777" w:rsidR="00000000" w:rsidRDefault="006E291D">
      <w:pPr>
        <w:pStyle w:val="Style4"/>
        <w:framePr w:w="9557" w:h="576" w:hRule="exact" w:wrap="none" w:vAnchor="page" w:hAnchor="page" w:x="966" w:y="2489"/>
        <w:shd w:val="clear" w:color="auto" w:fill="auto"/>
        <w:tabs>
          <w:tab w:val="left" w:pos="5394"/>
        </w:tabs>
        <w:spacing w:after="0"/>
        <w:ind w:firstLine="440"/>
      </w:pPr>
      <w:r>
        <w:rPr>
          <w:rStyle w:val="CharStyle5"/>
          <w:color w:val="000000"/>
        </w:rPr>
        <w:t xml:space="preserve">Ing. Michal </w:t>
      </w:r>
      <w:proofErr w:type="spellStart"/>
      <w:r>
        <w:rPr>
          <w:rStyle w:val="CharStyle5"/>
          <w:color w:val="000000"/>
        </w:rPr>
        <w:t>Šyc</w:t>
      </w:r>
      <w:proofErr w:type="spellEnd"/>
      <w:r>
        <w:rPr>
          <w:rStyle w:val="CharStyle5"/>
          <w:color w:val="000000"/>
        </w:rPr>
        <w:t>, Ph.D., ředitel</w:t>
      </w:r>
      <w:r>
        <w:rPr>
          <w:rStyle w:val="CharStyle5"/>
          <w:color w:val="000000"/>
        </w:rPr>
        <w:tab/>
        <w:t>Mgr. Tomáš Biem, jednatel</w:t>
      </w:r>
    </w:p>
    <w:p w14:paraId="58D9EE70" w14:textId="77777777" w:rsidR="006E291D" w:rsidRDefault="006E291D">
      <w:pPr>
        <w:spacing w:line="1" w:lineRule="exact"/>
        <w:rPr>
          <w:color w:val="auto"/>
        </w:rPr>
      </w:pPr>
    </w:p>
    <w:sectPr w:rsidR="006E291D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56"/>
    <w:rsid w:val="00072956"/>
    <w:rsid w:val="006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454D0"/>
  <w14:defaultImageDpi w14:val="0"/>
  <w15:docId w15:val="{5BBCFEB6-DF68-43B8-8AE3-CEFD3321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b/>
      <w:bCs/>
      <w:u w:val="none"/>
    </w:rPr>
  </w:style>
  <w:style w:type="character" w:customStyle="1" w:styleId="CharStyle5">
    <w:name w:val="Char Style 5"/>
    <w:basedOn w:val="Standardnpsmoodstavce"/>
    <w:link w:val="Style4"/>
    <w:uiPriority w:val="99"/>
    <w:rPr>
      <w:u w:val="none"/>
    </w:rPr>
  </w:style>
  <w:style w:type="character" w:customStyle="1" w:styleId="CharStyle9">
    <w:name w:val="Char Style 9"/>
    <w:basedOn w:val="Standardnpsmoodstavce"/>
    <w:link w:val="Style8"/>
    <w:uiPriority w:val="99"/>
    <w:rPr>
      <w:u w:val="none"/>
    </w:rPr>
  </w:style>
  <w:style w:type="character" w:customStyle="1" w:styleId="CharStyle12">
    <w:name w:val="Char Style 12"/>
    <w:basedOn w:val="Standardnpsmoodstavce"/>
    <w:link w:val="Style11"/>
    <w:uiPriority w:val="99"/>
    <w:rPr>
      <w:i/>
      <w:iCs/>
      <w:sz w:val="20"/>
      <w:szCs w:val="20"/>
      <w:u w:val="none"/>
    </w:rPr>
  </w:style>
  <w:style w:type="paragraph" w:customStyle="1" w:styleId="Style2">
    <w:name w:val="Style 2"/>
    <w:basedOn w:val="Normln"/>
    <w:link w:val="CharStyle3"/>
    <w:uiPriority w:val="99"/>
    <w:pPr>
      <w:shd w:val="clear" w:color="auto" w:fill="FFFFFF"/>
      <w:spacing w:after="260"/>
      <w:ind w:firstLine="440"/>
      <w:outlineLvl w:val="0"/>
    </w:pPr>
    <w:rPr>
      <w:b/>
      <w:bCs/>
      <w:color w:val="auto"/>
    </w:rPr>
  </w:style>
  <w:style w:type="paragraph" w:customStyle="1" w:styleId="Style4">
    <w:name w:val="Style 4"/>
    <w:basedOn w:val="Normln"/>
    <w:link w:val="CharStyle5"/>
    <w:uiPriority w:val="99"/>
    <w:pPr>
      <w:shd w:val="clear" w:color="auto" w:fill="FFFFFF"/>
      <w:spacing w:after="260"/>
    </w:pPr>
    <w:rPr>
      <w:color w:val="auto"/>
    </w:rPr>
  </w:style>
  <w:style w:type="paragraph" w:customStyle="1" w:styleId="Style8">
    <w:name w:val="Style 8"/>
    <w:basedOn w:val="Normln"/>
    <w:link w:val="CharStyle9"/>
    <w:uiPriority w:val="99"/>
    <w:pPr>
      <w:shd w:val="clear" w:color="auto" w:fill="FFFFFF"/>
      <w:spacing w:after="260"/>
    </w:pPr>
    <w:rPr>
      <w:color w:val="auto"/>
    </w:rPr>
  </w:style>
  <w:style w:type="paragraph" w:customStyle="1" w:styleId="Style11">
    <w:name w:val="Style 11"/>
    <w:basedOn w:val="Normln"/>
    <w:link w:val="CharStyle12"/>
    <w:uiPriority w:val="99"/>
    <w:pPr>
      <w:shd w:val="clear" w:color="auto" w:fill="FFFFFF"/>
      <w:ind w:left="220"/>
    </w:pPr>
    <w:rPr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6-prava-subjektu-udaj/d-27276" TargetMode="External"/><Relationship Id="rId5" Type="http://schemas.openxmlformats.org/officeDocument/2006/relationships/hyperlink" Target="https://www.uoou.cz/6-prava-subjektu-udaj/d-27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2192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Codl</dc:creator>
  <cp:keywords/>
  <dc:description/>
  <cp:lastModifiedBy>Hanakova Tereza UCHP</cp:lastModifiedBy>
  <cp:revision>2</cp:revision>
  <dcterms:created xsi:type="dcterms:W3CDTF">2024-04-12T08:03:00Z</dcterms:created>
  <dcterms:modified xsi:type="dcterms:W3CDTF">2024-04-12T08:03:00Z</dcterms:modified>
</cp:coreProperties>
</file>