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37A25A8A"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054D1E">
        <w:rPr>
          <w:rFonts w:ascii="Calibri" w:eastAsia="Times New Roman" w:hAnsi="Calibri" w:cs="Calibri"/>
          <w:bCs/>
          <w:sz w:val="20"/>
          <w:szCs w:val="20"/>
        </w:rPr>
        <w:t>110</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054D1E">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065DA070"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054D1E">
        <w:rPr>
          <w:rFonts w:ascii="Calibri" w:eastAsia="Calibri" w:hAnsi="Calibri" w:cs="Calibri"/>
          <w:color w:val="000000"/>
          <w:sz w:val="20"/>
          <w:szCs w:val="20"/>
        </w:rPr>
        <w:t>6</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054D1E">
        <w:rPr>
          <w:rFonts w:ascii="Calibri" w:eastAsia="Calibri" w:hAnsi="Calibri" w:cs="Calibri"/>
          <w:color w:val="000000"/>
          <w:sz w:val="20"/>
          <w:szCs w:val="20"/>
        </w:rPr>
        <w:t>3</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054D1E">
        <w:rPr>
          <w:rFonts w:ascii="Calibri" w:eastAsia="Calibri" w:hAnsi="Calibri" w:cs="Calibri"/>
          <w:color w:val="000000"/>
          <w:sz w:val="20"/>
          <w:szCs w:val="20"/>
        </w:rPr>
        <w:t>55</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47CCA68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B5C77">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054D1E">
        <w:rPr>
          <w:rFonts w:ascii="Calibri" w:eastAsia="Calibri" w:hAnsi="Calibri" w:cs="Calibri"/>
          <w:color w:val="000000"/>
          <w:sz w:val="20"/>
          <w:szCs w:val="20"/>
        </w:rPr>
        <w:t>55</w:t>
      </w:r>
      <w:r w:rsidR="002B33D2" w:rsidRPr="002B33D2">
        <w:rPr>
          <w:rFonts w:ascii="Calibri" w:eastAsia="Calibri" w:hAnsi="Calibri" w:cs="Calibri"/>
          <w:color w:val="000000"/>
          <w:sz w:val="20"/>
          <w:szCs w:val="20"/>
        </w:rPr>
        <w:t>,</w:t>
      </w:r>
      <w:r w:rsidR="00054D1E">
        <w:rPr>
          <w:rFonts w:ascii="Calibri" w:eastAsia="Calibri" w:hAnsi="Calibri" w:cs="Calibri"/>
          <w:color w:val="000000"/>
          <w:sz w:val="20"/>
          <w:szCs w:val="20"/>
        </w:rPr>
        <w:t>44</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1DDB140C"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B5C77">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054D1E">
        <w:rPr>
          <w:rFonts w:ascii="Calibri" w:eastAsia="Calibri" w:hAnsi="Calibri" w:cs="Calibri"/>
          <w:color w:val="000000"/>
          <w:sz w:val="20"/>
          <w:szCs w:val="20"/>
        </w:rPr>
        <w:t xml:space="preserve"> v</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054D1E">
        <w:rPr>
          <w:rFonts w:ascii="Calibri" w:eastAsia="Calibri" w:hAnsi="Calibri" w:cs="Calibri"/>
          <w:color w:val="000000"/>
          <w:sz w:val="20"/>
          <w:szCs w:val="20"/>
        </w:rPr>
        <w:t>ě</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4DBC0E16"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054D1E">
        <w:rPr>
          <w:rFonts w:ascii="Calibri" w:eastAsia="Calibri" w:hAnsi="Calibri" w:cs="Calibri"/>
          <w:color w:val="000000"/>
          <w:sz w:val="20"/>
          <w:szCs w:val="20"/>
        </w:rPr>
        <w:t>05</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054D1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52008CFC"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1648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054D1E">
        <w:rPr>
          <w:rFonts w:ascii="Calibri" w:eastAsia="Calibri" w:hAnsi="Calibri" w:cs="Calibri"/>
          <w:color w:val="000000"/>
          <w:sz w:val="20"/>
          <w:szCs w:val="20"/>
        </w:rPr>
        <w:t>76</w:t>
      </w:r>
      <w:r w:rsidR="005F1876">
        <w:rPr>
          <w:rFonts w:ascii="Calibri" w:eastAsia="Calibri" w:hAnsi="Calibri" w:cs="Calibri"/>
          <w:color w:val="000000"/>
          <w:sz w:val="20"/>
          <w:szCs w:val="20"/>
        </w:rPr>
        <w:t>3</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1648E">
        <w:rPr>
          <w:rFonts w:ascii="Calibri" w:eastAsia="Calibri" w:hAnsi="Calibri" w:cs="Calibri"/>
          <w:color w:val="000000"/>
          <w:sz w:val="20"/>
          <w:szCs w:val="20"/>
        </w:rPr>
        <w:t>dvatisíce</w:t>
      </w:r>
      <w:r w:rsidR="00054D1E">
        <w:rPr>
          <w:rFonts w:ascii="Calibri" w:eastAsia="Calibri" w:hAnsi="Calibri" w:cs="Calibri"/>
          <w:color w:val="000000"/>
          <w:sz w:val="20"/>
          <w:szCs w:val="20"/>
        </w:rPr>
        <w:t>sedmsetšedesát</w:t>
      </w:r>
      <w:r w:rsidR="005F1876">
        <w:rPr>
          <w:rFonts w:ascii="Calibri" w:eastAsia="Calibri" w:hAnsi="Calibri" w:cs="Calibri"/>
          <w:color w:val="000000"/>
          <w:sz w:val="20"/>
          <w:szCs w:val="20"/>
        </w:rPr>
        <w:t>tři</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7DDA4343"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E15E83">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E15E83">
        <w:rPr>
          <w:rFonts w:ascii="Calibri" w:eastAsia="Calibri" w:hAnsi="Calibri" w:cs="Calibri"/>
          <w:color w:val="000000"/>
          <w:sz w:val="20"/>
          <w:szCs w:val="20"/>
        </w:rPr>
        <w:t>a</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77FC0D18"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E15E83">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E15E83">
        <w:rPr>
          <w:rFonts w:ascii="Calibri" w:eastAsia="Calibri" w:hAnsi="Calibri" w:cs="Calibri"/>
          <w:color w:val="000000"/>
          <w:sz w:val="20"/>
          <w:szCs w:val="20"/>
        </w:rPr>
        <w:t>4</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E15E83">
        <w:rPr>
          <w:rFonts w:ascii="Calibri" w:eastAsia="Calibri" w:hAnsi="Calibri" w:cs="Calibri"/>
          <w:color w:val="000000"/>
          <w:sz w:val="20"/>
          <w:szCs w:val="20"/>
        </w:rPr>
        <w:t>7</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C04943">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210A60DA"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5F1876">
        <w:rPr>
          <w:rFonts w:ascii="Calibri" w:eastAsia="Calibri" w:hAnsi="Calibri" w:cs="Times New Roman"/>
          <w:sz w:val="20"/>
        </w:rPr>
        <w:t>1</w:t>
      </w:r>
      <w:r w:rsidR="00E15E83">
        <w:rPr>
          <w:rFonts w:ascii="Calibri" w:eastAsia="Calibri" w:hAnsi="Calibri" w:cs="Times New Roman"/>
          <w:sz w:val="20"/>
        </w:rPr>
        <w:t>5</w:t>
      </w:r>
      <w:r w:rsidRPr="002B33D2">
        <w:rPr>
          <w:rFonts w:ascii="Calibri" w:eastAsia="Calibri" w:hAnsi="Calibri" w:cs="Times New Roman"/>
          <w:sz w:val="20"/>
        </w:rPr>
        <w:t>.</w:t>
      </w:r>
      <w:r w:rsidR="00B1648E">
        <w:rPr>
          <w:rFonts w:ascii="Calibri" w:eastAsia="Calibri" w:hAnsi="Calibri" w:cs="Times New Roman"/>
          <w:sz w:val="20"/>
        </w:rPr>
        <w:t>0</w:t>
      </w:r>
      <w:r w:rsidR="00E15E83">
        <w:rPr>
          <w:rFonts w:ascii="Calibri" w:eastAsia="Calibri" w:hAnsi="Calibri" w:cs="Times New Roman"/>
          <w:sz w:val="20"/>
        </w:rPr>
        <w:t>4</w:t>
      </w:r>
      <w:r w:rsidRPr="002B33D2">
        <w:rPr>
          <w:rFonts w:ascii="Calibri" w:eastAsia="Calibri" w:hAnsi="Calibri" w:cs="Times New Roman"/>
          <w:sz w:val="20"/>
        </w:rPr>
        <w:t>.20</w:t>
      </w:r>
      <w:r w:rsidR="005355E1">
        <w:rPr>
          <w:rFonts w:ascii="Calibri" w:eastAsia="Calibri" w:hAnsi="Calibri" w:cs="Times New Roman"/>
          <w:sz w:val="20"/>
        </w:rPr>
        <w:t>2</w:t>
      </w:r>
      <w:r w:rsidR="00E15E83">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C04943">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94F3" w14:textId="77777777" w:rsidR="00C04943" w:rsidRDefault="00C04943">
      <w:r>
        <w:separator/>
      </w:r>
    </w:p>
  </w:endnote>
  <w:endnote w:type="continuationSeparator" w:id="0">
    <w:p w14:paraId="60A092CE" w14:textId="77777777" w:rsidR="00C04943" w:rsidRDefault="00C0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4964" w14:textId="77777777" w:rsidR="00C04943" w:rsidRDefault="00C04943">
      <w:r>
        <w:separator/>
      </w:r>
    </w:p>
  </w:footnote>
  <w:footnote w:type="continuationSeparator" w:id="0">
    <w:p w14:paraId="07F5566F" w14:textId="77777777" w:rsidR="00C04943" w:rsidRDefault="00C0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54D1E"/>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04943"/>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15E83"/>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3331</Words>
  <Characters>19658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2022-06-06T06:34:00Z</cp:lastPrinted>
  <dcterms:created xsi:type="dcterms:W3CDTF">2024-04-15T06:06:00Z</dcterms:created>
  <dcterms:modified xsi:type="dcterms:W3CDTF">2024-04-15T06:06:00Z</dcterms:modified>
</cp:coreProperties>
</file>