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19E77C6D" w:rsidR="00204313" w:rsidRDefault="00204313" w:rsidP="00204313">
      <w:pPr>
        <w:spacing w:line="360" w:lineRule="auto"/>
        <w:jc w:val="center"/>
      </w:pPr>
      <w:r w:rsidRPr="00A20300">
        <w:t>číslo M/</w:t>
      </w:r>
      <w:r>
        <w:t>II/</w:t>
      </w:r>
      <w:r w:rsidR="00AF270C">
        <w:t>5</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6A04212C" w:rsidR="00F23A23" w:rsidRPr="002001EE" w:rsidRDefault="00F23A23" w:rsidP="00F23A23">
      <w:r w:rsidRPr="002001EE">
        <w:t xml:space="preserve">číslo účtu: </w:t>
      </w:r>
      <w:r w:rsidR="00B23B70">
        <w:t>XXXXXXXX</w:t>
      </w:r>
    </w:p>
    <w:p w14:paraId="6E00B9F1" w14:textId="2720090C" w:rsidR="00235CA5" w:rsidRPr="0098262D" w:rsidRDefault="00235CA5" w:rsidP="00235CA5">
      <w:r w:rsidRPr="0098262D">
        <w:t xml:space="preserve">zastoupený </w:t>
      </w:r>
      <w:r w:rsidR="00B23B70">
        <w:t>XXXXXXXXXXXXX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444DD781" w14:textId="77777777" w:rsidR="008A1B31" w:rsidRPr="004D6305" w:rsidRDefault="008A1B31" w:rsidP="008A1B31">
      <w:pPr>
        <w:jc w:val="both"/>
        <w:rPr>
          <w:b/>
          <w:snapToGrid w:val="0"/>
        </w:rPr>
      </w:pPr>
      <w:r w:rsidRPr="004D6305">
        <w:rPr>
          <w:b/>
          <w:snapToGrid w:val="0"/>
        </w:rPr>
        <w:t>Výzkumný ústav geodetický, topog</w:t>
      </w:r>
      <w:r>
        <w:rPr>
          <w:b/>
          <w:snapToGrid w:val="0"/>
        </w:rPr>
        <w:t>rafický a kartografický, v.v.i.</w:t>
      </w:r>
    </w:p>
    <w:p w14:paraId="79514175" w14:textId="77777777" w:rsidR="008A1B31" w:rsidRPr="004D6305" w:rsidRDefault="008A1B31" w:rsidP="008A1B31">
      <w:pPr>
        <w:jc w:val="both"/>
        <w:rPr>
          <w:snapToGrid w:val="0"/>
        </w:rPr>
      </w:pPr>
      <w:r>
        <w:rPr>
          <w:snapToGrid w:val="0"/>
        </w:rPr>
        <w:t>Ústecká 98, 250 66 Zdiby</w:t>
      </w:r>
    </w:p>
    <w:p w14:paraId="3D491E4A" w14:textId="77777777" w:rsidR="008A1B31" w:rsidRPr="004D6305" w:rsidRDefault="008A1B31" w:rsidP="008A1B31">
      <w:pPr>
        <w:jc w:val="both"/>
        <w:rPr>
          <w:snapToGrid w:val="0"/>
        </w:rPr>
      </w:pPr>
      <w:r w:rsidRPr="004D6305">
        <w:rPr>
          <w:snapToGrid w:val="0"/>
        </w:rPr>
        <w:t>IČO/DIČ: 00025615/CZ00025615</w:t>
      </w:r>
    </w:p>
    <w:p w14:paraId="391BCF3B" w14:textId="77777777" w:rsidR="008A1B31" w:rsidRPr="004D6305" w:rsidRDefault="008A1B31" w:rsidP="008A1B31">
      <w:pPr>
        <w:jc w:val="both"/>
        <w:rPr>
          <w:snapToGrid w:val="0"/>
        </w:rPr>
      </w:pPr>
      <w:r w:rsidRPr="004D6305">
        <w:rPr>
          <w:snapToGrid w:val="0"/>
        </w:rPr>
        <w:t>bankovní spojení:</w:t>
      </w:r>
      <w:r>
        <w:rPr>
          <w:snapToGrid w:val="0"/>
        </w:rPr>
        <w:t xml:space="preserve"> </w:t>
      </w:r>
      <w:r w:rsidRPr="004D6305">
        <w:rPr>
          <w:snapToGrid w:val="0"/>
        </w:rPr>
        <w:t xml:space="preserve">Komerční banka a.s. </w:t>
      </w:r>
    </w:p>
    <w:p w14:paraId="7AE9D5CF" w14:textId="37D90BF6" w:rsidR="008A1B31" w:rsidRPr="004D6305" w:rsidRDefault="008A1B31" w:rsidP="008A1B31">
      <w:pPr>
        <w:jc w:val="both"/>
        <w:rPr>
          <w:snapToGrid w:val="0"/>
        </w:rPr>
      </w:pPr>
      <w:r w:rsidRPr="004D6305">
        <w:rPr>
          <w:snapToGrid w:val="0"/>
        </w:rPr>
        <w:t xml:space="preserve">č.ú. </w:t>
      </w:r>
      <w:r w:rsidR="00B23B70">
        <w:rPr>
          <w:snapToGrid w:val="0"/>
        </w:rPr>
        <w:t>XXXXXXXX</w:t>
      </w:r>
    </w:p>
    <w:p w14:paraId="77BC5C0F" w14:textId="3A8F5581" w:rsidR="008A1B31" w:rsidRPr="00200C49" w:rsidRDefault="008A1B31" w:rsidP="008A1B31">
      <w:pPr>
        <w:jc w:val="both"/>
        <w:rPr>
          <w:snapToGrid w:val="0"/>
        </w:rPr>
      </w:pPr>
      <w:r w:rsidRPr="004D6305">
        <w:rPr>
          <w:snapToGrid w:val="0"/>
        </w:rPr>
        <w:t xml:space="preserve">zastoupený </w:t>
      </w:r>
      <w:r w:rsidR="00B23B70">
        <w:rPr>
          <w:snapToGrid w:val="0"/>
        </w:rPr>
        <w:t>XXXXXXXXXXXX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2D46E81B" w:rsidR="003850D7" w:rsidRDefault="00217A42" w:rsidP="009F3780">
      <w:pPr>
        <w:spacing w:before="120"/>
        <w:jc w:val="center"/>
      </w:pPr>
      <w:r>
        <w:t>II/</w:t>
      </w:r>
      <w:r w:rsidR="00AF270C">
        <w:t>5</w:t>
      </w:r>
      <w:r w:rsidR="00A4376B">
        <w:t>/</w:t>
      </w:r>
      <w:r w:rsidR="004C4BB5">
        <w:t>24</w:t>
      </w:r>
      <w:r w:rsidR="00A4376B">
        <w:t xml:space="preserve"> </w:t>
      </w:r>
      <w:r w:rsidR="008A1B31" w:rsidRPr="004D6536">
        <w:t xml:space="preserve">Uchovávání a rozvoj státního etalonu </w:t>
      </w:r>
      <w:r w:rsidR="00AF270C">
        <w:t>prostorové polohy</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4C08E6D6" w:rsidR="007E2D84" w:rsidRPr="00CE7CEA" w:rsidRDefault="00AF270C" w:rsidP="007E2D84">
      <w:pPr>
        <w:spacing w:before="120" w:after="120"/>
        <w:jc w:val="center"/>
      </w:pPr>
      <w:r>
        <w:t>198</w:t>
      </w:r>
      <w:r w:rsidR="00A4376B">
        <w:t xml:space="preserve"> 000</w:t>
      </w:r>
      <w:r w:rsidR="00A4376B" w:rsidRPr="00A20300">
        <w:t>,- Kč (slovy</w:t>
      </w:r>
      <w:r w:rsidR="00217A42">
        <w:t xml:space="preserve"> </w:t>
      </w:r>
      <w:r>
        <w:t>jedno</w:t>
      </w:r>
      <w:r w:rsidR="00043389">
        <w:t xml:space="preserve"> st</w:t>
      </w:r>
      <w:r>
        <w:t>o devadesát osm</w:t>
      </w:r>
      <w:r w:rsidR="00043389">
        <w:t xml:space="preserve"> </w:t>
      </w:r>
      <w:r w:rsidR="00A4376B">
        <w:t>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3E8E3A96" w:rsidR="005D41E3" w:rsidRPr="002001EE" w:rsidRDefault="005D41E3">
      <w:r w:rsidRPr="002001EE">
        <w:t>Příloha: Plánovací list (s příloh</w:t>
      </w:r>
      <w:r w:rsidR="000E26F3">
        <w:t>ou</w:t>
      </w:r>
      <w:r w:rsidRPr="002001EE">
        <w:t>) úkol</w:t>
      </w:r>
      <w:r w:rsidR="000E26F3">
        <w:t>u</w:t>
      </w:r>
      <w:r w:rsidR="00E5147B">
        <w:t xml:space="preserve"> č. </w:t>
      </w:r>
      <w:r w:rsidR="00217A42">
        <w:t>II/</w:t>
      </w:r>
      <w:r w:rsidR="00AF270C">
        <w:t>5</w:t>
      </w:r>
      <w:r w:rsidR="00A927C0">
        <w:t>/</w:t>
      </w:r>
      <w:r w:rsidR="004C4BB5">
        <w:t>24</w:t>
      </w:r>
    </w:p>
    <w:p w14:paraId="043C292A" w14:textId="77777777" w:rsidR="005D41E3" w:rsidRDefault="005D41E3"/>
    <w:p w14:paraId="26EBE8B2" w14:textId="77777777" w:rsidR="00F116E3" w:rsidRDefault="00F116E3"/>
    <w:p w14:paraId="59C79D50" w14:textId="77777777" w:rsidR="00217A42" w:rsidRPr="002001EE" w:rsidRDefault="00217A42"/>
    <w:p w14:paraId="26C2E9A9" w14:textId="77777777" w:rsidR="00217A42" w:rsidRPr="00A20300" w:rsidRDefault="005D41E3" w:rsidP="00217A42">
      <w:r w:rsidRPr="002001EE">
        <w:t>V Praze dne ……………………</w:t>
      </w:r>
      <w:r w:rsidRPr="002001EE">
        <w:tab/>
      </w:r>
      <w:r w:rsidRPr="002001EE">
        <w:tab/>
      </w:r>
      <w:r w:rsidRPr="002001EE">
        <w:tab/>
      </w:r>
      <w:r w:rsidRPr="002001EE">
        <w:tab/>
      </w:r>
      <w:r w:rsidR="00217A42" w:rsidRPr="00A20300">
        <w:t>V</w:t>
      </w:r>
      <w:r w:rsidR="00217A42">
        <w:t xml:space="preserve"> Praze </w:t>
      </w:r>
      <w:r w:rsidR="00217A42" w:rsidRPr="00A20300">
        <w:t>dne ……………………</w:t>
      </w:r>
    </w:p>
    <w:p w14:paraId="1E8AC439" w14:textId="77777777" w:rsidR="00217A42" w:rsidRPr="00A20300" w:rsidRDefault="00217A42" w:rsidP="00217A42"/>
    <w:p w14:paraId="4C9691A7" w14:textId="77777777" w:rsidR="00217A42" w:rsidRPr="00A20300" w:rsidRDefault="00217A42" w:rsidP="00217A42"/>
    <w:p w14:paraId="11D7A0DC" w14:textId="77777777" w:rsidR="00217A42" w:rsidRPr="00A20300" w:rsidRDefault="00217A42" w:rsidP="00217A42"/>
    <w:p w14:paraId="1842C3AF" w14:textId="77777777" w:rsidR="00217A42" w:rsidRPr="00A20300" w:rsidRDefault="00217A42" w:rsidP="00217A42"/>
    <w:p w14:paraId="5459C70C" w14:textId="77777777" w:rsidR="00217A42" w:rsidRDefault="00217A42" w:rsidP="00217A42">
      <w:r>
        <w:t>………………………………..</w:t>
      </w:r>
      <w:r>
        <w:tab/>
      </w:r>
      <w:r>
        <w:tab/>
      </w:r>
      <w:r>
        <w:tab/>
      </w:r>
      <w:r>
        <w:tab/>
        <w:t>…………………………………..</w:t>
      </w:r>
    </w:p>
    <w:p w14:paraId="446A03F5" w14:textId="39E9CA80" w:rsidR="009B0C22" w:rsidRPr="002C1514" w:rsidRDefault="00B23B70" w:rsidP="00B23B70">
      <w:pPr>
        <w:ind w:firstLine="709"/>
        <w:rPr>
          <w:snapToGrid w:val="0"/>
        </w:rPr>
      </w:pPr>
      <w:r>
        <w:t>XXXXXXXXXX</w:t>
      </w:r>
      <w:r w:rsidR="00217A42" w:rsidRPr="002C1514">
        <w:tab/>
      </w:r>
      <w:r w:rsidR="00217A42" w:rsidRPr="002C1514">
        <w:tab/>
      </w:r>
      <w:r w:rsidR="00217A42">
        <w:tab/>
      </w:r>
      <w:r w:rsidR="00217A42">
        <w:tab/>
      </w:r>
      <w:r w:rsidR="00217A42">
        <w:tab/>
      </w:r>
      <w:r>
        <w:t>XXXXXXXXXXXX</w:t>
      </w:r>
    </w:p>
    <w:sectPr w:rsidR="009B0C22" w:rsidRPr="002C1514" w:rsidSect="00DA28F8">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8DD8" w14:textId="77777777" w:rsidR="00DA28F8" w:rsidRDefault="00DA28F8">
      <w:r>
        <w:separator/>
      </w:r>
    </w:p>
  </w:endnote>
  <w:endnote w:type="continuationSeparator" w:id="0">
    <w:p w14:paraId="52DA4386" w14:textId="77777777" w:rsidR="00DA28F8" w:rsidRDefault="00DA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7C78" w14:textId="77777777" w:rsidR="00DA28F8" w:rsidRDefault="00DA28F8">
      <w:r>
        <w:separator/>
      </w:r>
    </w:p>
  </w:footnote>
  <w:footnote w:type="continuationSeparator" w:id="0">
    <w:p w14:paraId="13567AA0" w14:textId="77777777" w:rsidR="00DA28F8" w:rsidRDefault="00DA2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36A12"/>
    <w:rsid w:val="0004338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C3838"/>
    <w:rsid w:val="001D04A4"/>
    <w:rsid w:val="001D459E"/>
    <w:rsid w:val="001E2213"/>
    <w:rsid w:val="001E3422"/>
    <w:rsid w:val="001F3C87"/>
    <w:rsid w:val="002001EE"/>
    <w:rsid w:val="00204313"/>
    <w:rsid w:val="00217A42"/>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E471D"/>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4BB5"/>
    <w:rsid w:val="004C5145"/>
    <w:rsid w:val="004C7731"/>
    <w:rsid w:val="004D3481"/>
    <w:rsid w:val="004D6536"/>
    <w:rsid w:val="004D691F"/>
    <w:rsid w:val="004F45C1"/>
    <w:rsid w:val="005153E9"/>
    <w:rsid w:val="00530FE6"/>
    <w:rsid w:val="0054006E"/>
    <w:rsid w:val="0054115B"/>
    <w:rsid w:val="00544BC2"/>
    <w:rsid w:val="00550C0C"/>
    <w:rsid w:val="0055405A"/>
    <w:rsid w:val="005618A5"/>
    <w:rsid w:val="005622B1"/>
    <w:rsid w:val="005652F3"/>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60B7A"/>
    <w:rsid w:val="0077332E"/>
    <w:rsid w:val="007802A8"/>
    <w:rsid w:val="00784EB9"/>
    <w:rsid w:val="007A2B0C"/>
    <w:rsid w:val="007A5599"/>
    <w:rsid w:val="007C03DF"/>
    <w:rsid w:val="007D3EFA"/>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B31"/>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1149C"/>
    <w:rsid w:val="00A25BDB"/>
    <w:rsid w:val="00A27566"/>
    <w:rsid w:val="00A4200F"/>
    <w:rsid w:val="00A4376B"/>
    <w:rsid w:val="00A60550"/>
    <w:rsid w:val="00A72095"/>
    <w:rsid w:val="00A8556C"/>
    <w:rsid w:val="00A927C0"/>
    <w:rsid w:val="00A92905"/>
    <w:rsid w:val="00AA7113"/>
    <w:rsid w:val="00AB3CEC"/>
    <w:rsid w:val="00AC49B1"/>
    <w:rsid w:val="00AC67D2"/>
    <w:rsid w:val="00AF236B"/>
    <w:rsid w:val="00AF270C"/>
    <w:rsid w:val="00AF43EC"/>
    <w:rsid w:val="00AF5D8D"/>
    <w:rsid w:val="00B00614"/>
    <w:rsid w:val="00B0100D"/>
    <w:rsid w:val="00B01512"/>
    <w:rsid w:val="00B10C8F"/>
    <w:rsid w:val="00B16DD6"/>
    <w:rsid w:val="00B23B70"/>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A28F8"/>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1374</Words>
  <Characters>8112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4</cp:revision>
  <cp:lastPrinted>2024-03-26T13:21:00Z</cp:lastPrinted>
  <dcterms:created xsi:type="dcterms:W3CDTF">2024-03-26T13:22:00Z</dcterms:created>
  <dcterms:modified xsi:type="dcterms:W3CDTF">2024-04-15T05:31:00Z</dcterms:modified>
</cp:coreProperties>
</file>