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86E7" w14:textId="0371C0E2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zajištění 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pracovní</w:t>
      </w:r>
      <w:r w:rsidR="00A7045C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ch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 tréninků</w:t>
      </w:r>
    </w:p>
    <w:p w14:paraId="3CE7198B" w14:textId="77777777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uzavřená dle § 1746 odst. 2 zákona č. 89/2012., občansk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zákoník, 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účinném znění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397F7757" w14:textId="77777777" w:rsidR="000D6464" w:rsidRPr="000D6464" w:rsidRDefault="001D05A0" w:rsidP="000D6464">
      <w:pPr>
        <w:spacing w:after="60"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Objednatel</w:t>
      </w:r>
      <w:r w:rsidR="000D6464" w:rsidRPr="000D6464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0D6464">
      <w:pPr>
        <w:spacing w:line="276" w:lineRule="auto"/>
        <w:ind w:left="1416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77777777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77777777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  <w:t>Soukenická 54, 500 03 Hradec Králové</w:t>
      </w:r>
    </w:p>
    <w:p w14:paraId="5E90E262" w14:textId="3353D0A6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</w:t>
      </w:r>
      <w:r w:rsidR="00A76A9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6C00D4" w:rsidRPr="006C00D4">
        <w:rPr>
          <w:rFonts w:ascii="Arial" w:hAnsi="Arial" w:cs="Arial"/>
          <w:sz w:val="20"/>
        </w:rPr>
        <w:t>, ředitelka</w:t>
      </w:r>
    </w:p>
    <w:p w14:paraId="7749C2E8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bankovní spojení</w:t>
      </w:r>
      <w:r w:rsidR="000D6464">
        <w:rPr>
          <w:rFonts w:ascii="Arial" w:hAnsi="Arial" w:cs="Arial"/>
          <w:sz w:val="20"/>
        </w:rPr>
        <w:tab/>
      </w:r>
      <w:r w:rsidR="002636D3" w:rsidRPr="000D6464">
        <w:rPr>
          <w:rFonts w:ascii="Arial" w:hAnsi="Arial" w:cs="Arial"/>
          <w:sz w:val="20"/>
        </w:rPr>
        <w:t>Komerční banka, a.s. Hradec Králové, 35-0367350277/0100</w:t>
      </w:r>
    </w:p>
    <w:p w14:paraId="63C74167" w14:textId="6DD2EC5D" w:rsidR="000D0871" w:rsidRPr="000D6464" w:rsidRDefault="000D6464" w:rsidP="000D6464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A9487A" w:rsidRPr="000D6464">
        <w:rPr>
          <w:rFonts w:ascii="Arial" w:hAnsi="Arial" w:cs="Arial"/>
          <w:i/>
          <w:sz w:val="20"/>
        </w:rPr>
        <w:t>objednatel</w:t>
      </w:r>
      <w:r w:rsidR="00DE043E" w:rsidRPr="000D6464">
        <w:rPr>
          <w:rFonts w:ascii="Arial" w:hAnsi="Arial" w:cs="Arial"/>
          <w:i/>
          <w:sz w:val="20"/>
        </w:rPr>
        <w:t>“</w:t>
      </w:r>
      <w:r w:rsidR="002636D3" w:rsidRPr="000D6464">
        <w:rPr>
          <w:rFonts w:ascii="Arial" w:hAnsi="Arial" w:cs="Arial"/>
          <w:i/>
          <w:sz w:val="20"/>
        </w:rPr>
        <w:t xml:space="preserve"> </w:t>
      </w:r>
      <w:r w:rsidR="002636D3" w:rsidRPr="000D6464">
        <w:rPr>
          <w:rFonts w:ascii="Arial" w:hAnsi="Arial" w:cs="Arial"/>
          <w:sz w:val="20"/>
        </w:rPr>
        <w:t xml:space="preserve">nebo </w:t>
      </w:r>
      <w:r w:rsidR="002636D3" w:rsidRPr="000D6464">
        <w:rPr>
          <w:rFonts w:ascii="Arial" w:hAnsi="Arial" w:cs="Arial"/>
          <w:i/>
          <w:sz w:val="20"/>
        </w:rPr>
        <w:t>„CIRI</w:t>
      </w:r>
      <w:r w:rsidRPr="000D6464">
        <w:rPr>
          <w:rFonts w:ascii="Arial" w:hAnsi="Arial" w:cs="Arial"/>
          <w:i/>
          <w:sz w:val="20"/>
        </w:rPr>
        <w:t>,</w:t>
      </w:r>
      <w:r w:rsidR="002636D3"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 xml:space="preserve"> a</w:t>
      </w:r>
    </w:p>
    <w:p w14:paraId="6E2507D3" w14:textId="3758AA2E" w:rsidR="000D0871" w:rsidRDefault="000D0871" w:rsidP="000D6464">
      <w:pPr>
        <w:spacing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Poskytovatel</w:t>
      </w:r>
      <w:r w:rsidR="00DB593C">
        <w:rPr>
          <w:rFonts w:ascii="Arial" w:hAnsi="Arial" w:cs="Arial"/>
          <w:b/>
          <w:sz w:val="20"/>
        </w:rPr>
        <w:tab/>
        <w:t xml:space="preserve">              </w:t>
      </w:r>
      <w:proofErr w:type="spellStart"/>
      <w:r w:rsidR="00A7045C">
        <w:rPr>
          <w:rFonts w:ascii="Arial" w:hAnsi="Arial" w:cs="Arial"/>
          <w:b/>
          <w:sz w:val="20"/>
        </w:rPr>
        <w:t>Ergotep</w:t>
      </w:r>
      <w:proofErr w:type="spellEnd"/>
      <w:r w:rsidR="00A7045C">
        <w:rPr>
          <w:rFonts w:ascii="Arial" w:hAnsi="Arial" w:cs="Arial"/>
          <w:b/>
          <w:sz w:val="20"/>
        </w:rPr>
        <w:t xml:space="preserve">, družstvo invalidů </w:t>
      </w:r>
    </w:p>
    <w:p w14:paraId="1F435FDD" w14:textId="53F8CFF1" w:rsidR="000D6464" w:rsidRPr="00A7045C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A7045C">
        <w:rPr>
          <w:rFonts w:ascii="Arial" w:hAnsi="Arial" w:cs="Arial"/>
          <w:sz w:val="20"/>
        </w:rPr>
        <w:t xml:space="preserve"> 259 97 815</w:t>
      </w:r>
    </w:p>
    <w:p w14:paraId="76C16578" w14:textId="3304C408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="00A7045C">
        <w:rPr>
          <w:rFonts w:ascii="Arial" w:hAnsi="Arial" w:cs="Arial"/>
          <w:sz w:val="20"/>
        </w:rPr>
        <w:t xml:space="preserve"> CZ 259 97 815</w:t>
      </w:r>
    </w:p>
    <w:p w14:paraId="745E91AB" w14:textId="443D192E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7045C">
        <w:rPr>
          <w:rFonts w:ascii="Arial" w:hAnsi="Arial" w:cs="Arial"/>
          <w:sz w:val="20"/>
        </w:rPr>
        <w:t xml:space="preserve"> Zábořská 93, 539 44 Proseč</w:t>
      </w:r>
    </w:p>
    <w:p w14:paraId="6B074EAB" w14:textId="4D760015" w:rsidR="000D6464" w:rsidRDefault="00A7045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Bc. Petr Herynek, předseda družstva 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</w:p>
    <w:p w14:paraId="1261F893" w14:textId="25B0CCA1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ab/>
      </w:r>
      <w:r w:rsidR="00A7045C">
        <w:rPr>
          <w:rFonts w:ascii="Arial" w:hAnsi="Arial" w:cs="Arial"/>
          <w:sz w:val="20"/>
        </w:rPr>
        <w:t xml:space="preserve"> Československá obchodní banka, a.s., 191176075/0300 </w:t>
      </w:r>
    </w:p>
    <w:p w14:paraId="5389DC05" w14:textId="1456EA65" w:rsidR="000D0871" w:rsidRPr="000D6464" w:rsidRDefault="000D0871" w:rsidP="000D6464">
      <w:pPr>
        <w:widowControl w:val="0"/>
        <w:tabs>
          <w:tab w:val="left" w:pos="2694"/>
        </w:tabs>
        <w:spacing w:before="240" w:after="240" w:line="276" w:lineRule="auto"/>
        <w:jc w:val="both"/>
        <w:rPr>
          <w:rFonts w:ascii="Arial" w:hAnsi="Arial" w:cs="Arial"/>
          <w:i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 w:rsidR="000D6464"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„poskytovatel“</w:t>
      </w:r>
      <w:r w:rsidRPr="000D6464">
        <w:rPr>
          <w:rFonts w:ascii="Arial" w:hAnsi="Arial" w:cs="Arial"/>
          <w:sz w:val="20"/>
        </w:rPr>
        <w:t xml:space="preserve"> nebo jen jako </w:t>
      </w:r>
      <w:r w:rsidRPr="000D6464">
        <w:rPr>
          <w:rFonts w:ascii="Arial" w:hAnsi="Arial" w:cs="Arial"/>
          <w:i/>
          <w:sz w:val="20"/>
        </w:rPr>
        <w:t>„firma</w:t>
      </w:r>
      <w:r w:rsidR="000D6464" w:rsidRPr="000D6464">
        <w:rPr>
          <w:rFonts w:ascii="Arial" w:hAnsi="Arial" w:cs="Arial"/>
          <w:i/>
          <w:sz w:val="20"/>
        </w:rPr>
        <w:t>;“</w:t>
      </w:r>
      <w:r w:rsidR="000D6464">
        <w:rPr>
          <w:rFonts w:ascii="Arial" w:hAnsi="Arial" w:cs="Arial"/>
          <w:sz w:val="20"/>
        </w:rPr>
        <w:t xml:space="preserve"> objednatel a poskytovatel společně také jako </w:t>
      </w:r>
      <w:r w:rsidR="000D6464" w:rsidRPr="000D6464">
        <w:rPr>
          <w:rFonts w:ascii="Arial" w:hAnsi="Arial" w:cs="Arial"/>
          <w:i/>
          <w:sz w:val="20"/>
        </w:rPr>
        <w:t>„smluvní strany“</w:t>
      </w:r>
    </w:p>
    <w:p w14:paraId="6ACA83A1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628B331" w14:textId="656AF0AB" w:rsidR="000D0871" w:rsidRPr="000D6464" w:rsidRDefault="00602526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Úvodní ustanovení</w:t>
      </w:r>
    </w:p>
    <w:p w14:paraId="126F5ACF" w14:textId="3E2354B3" w:rsidR="000D0871" w:rsidRDefault="002D5F9F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Předmětem smlouvy je 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realizace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mladých lidí, účastnících se projektu Příležitost pro začátek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též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jako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„účastníci“)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rámci projektu „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Příležitost pro začátek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“ registrační číslo projektu </w:t>
      </w:r>
      <w:bookmarkStart w:id="0" w:name="_Hlk151554193"/>
      <w:r w:rsidR="000B0A28" w:rsidRP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CZ.03.01.01/00/23_052/0002661 </w:t>
      </w:r>
      <w:bookmarkEnd w:id="0"/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 Operačního programu Zaměstnanost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plus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(dále jen „projekt“).</w:t>
      </w:r>
    </w:p>
    <w:p w14:paraId="54FB825A" w14:textId="535647E2" w:rsidR="00602526" w:rsidRPr="00602526" w:rsidRDefault="00602526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Poskytovatelem je zaměstnavatel působící v Královéhradeckém kraji, Pardubickém kraji, Středočeském kraji nebo Libereckém kraji. </w:t>
      </w:r>
    </w:p>
    <w:p w14:paraId="4FC497A7" w14:textId="3B639A08" w:rsidR="00472106" w:rsidRDefault="000B0A28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odst. 1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ednodenní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 mohou trvat 3 až 5 hodin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Náplň (program)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se bude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realizaci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jen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“)</w:t>
      </w:r>
      <w:r w:rsidR="00D57B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je přílohou č. 1 této smlouvy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C2BD98A" w14:textId="77777777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III.</w:t>
      </w:r>
    </w:p>
    <w:p w14:paraId="79455999" w14:textId="03DB3078" w:rsidR="00376FE1" w:rsidRPr="00602526" w:rsidRDefault="00376FE1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FC6825"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poskytovatele </w:t>
      </w:r>
    </w:p>
    <w:p w14:paraId="748B33F2" w14:textId="7DFBA02F" w:rsidR="00602526" w:rsidRDefault="00376FE1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zavazuje v průběhu trvání smlouvy organizovat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skupinu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 určených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budou realizovány v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provozovně poskytovatele na adrese: </w:t>
      </w:r>
      <w:r w:rsidR="00CE0D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Zábořská 93, 539 44 Proseč.</w:t>
      </w:r>
    </w:p>
    <w:p w14:paraId="1B54C460" w14:textId="0C06B4E1" w:rsidR="00376FE1" w:rsidRPr="000D6464" w:rsidRDefault="00AF4820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předložit před konáním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návrh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růběh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obsahové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zaměření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včetně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popisu pracovních činností)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organizační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zajištění 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časového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harmonogram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každ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ého 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se bude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vždy před konáním konzultován s kontaktní osobou za 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tato jej následně schválí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DFE5B49" w14:textId="61144EE1" w:rsidR="00A20FAD" w:rsidRPr="000D6464" w:rsidRDefault="00A20FA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Poskytovatel je povinen zajistit seznámení účastníků se zásadami a předpisy k zajištění bezpečnosti a ochrany zdraví při práci na daném pracovišti a s </w:t>
      </w:r>
      <w:r w:rsidR="00FC682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provozním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řádem organizace, případně s dalšími interními předpisy dle svého uvážení.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případě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potřeby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poskytne pomůcky potřebné k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tréninku.</w:t>
      </w:r>
    </w:p>
    <w:p w14:paraId="4200D324" w14:textId="209201E1" w:rsidR="00CD7DE2" w:rsidRPr="000D6464" w:rsidRDefault="00CD7DE2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vytvářet příznivé podmínky a zajišťovat bezpečnost a ochranu zdraví při </w:t>
      </w:r>
      <w:r w:rsidR="00946F8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exkurzi 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 pracovního tréninku, zabezpečovat dodržování právních a vnitřních předpisů, zabezpečovat přijetí opatření vedoucích k ochraně majetku poskytovatele.</w:t>
      </w:r>
    </w:p>
    <w:p w14:paraId="2DD3F342" w14:textId="2FE7731F" w:rsidR="00472106" w:rsidRPr="00DE140D" w:rsidRDefault="002B735F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 případě, kdy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946F8A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nebude uskutečněn dle harmonogramu,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povinen takovou změnu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hlásit ihned po jejím zjištění kontaktní osobě objednatele.</w:t>
      </w:r>
    </w:p>
    <w:p w14:paraId="555DAA37" w14:textId="769F295E" w:rsidR="002B735F" w:rsidRPr="000D6464" w:rsidRDefault="00722BE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odůvodněných případech umožní poskytovatel využití činnosti pracovního asistenta, který bude účastníkům při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pracovním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pomáhat. Jedná se o případy, kdy by se bez jeho pomoci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účastníci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nemohli z důvodu svého postižení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účastnit. </w:t>
      </w:r>
    </w:p>
    <w:p w14:paraId="1768B229" w14:textId="26DF8FCA" w:rsidR="00DF5766" w:rsidRDefault="00BA36D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3826D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pověří metodickým vedením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A9487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 zaměstnance, tak aby byl zajištěn nad nimi dohled.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Tento zaměstnanec 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povinen řídit a kontrolovat výkon účastníků a co nejlépe organizovat realizaci pracovního tréninku.</w:t>
      </w:r>
    </w:p>
    <w:p w14:paraId="26878FEF" w14:textId="18DA796A" w:rsidR="00D71D45" w:rsidRDefault="00D71D45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Při realizaci projektu je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povinen dodržovat politiky Evropské unie, zejména pravidla hospodářské soutěže a veřejné podpory, principy udržitelného rozvoje a prosazování rovných příležitostí.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provádět publ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icitu projektu v souladu s 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Obecnou částí pravidel pro žadatele a příjemce v rámci Operačního programu Zaměstnanost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pokyny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bjednatele.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informovat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bjednatele o všech výstupech v rámci publicity.</w:t>
      </w:r>
    </w:p>
    <w:p w14:paraId="33FAD930" w14:textId="45B1DC76" w:rsidR="00BC79AB" w:rsidRDefault="00D71D45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se zavazuje poskytnout na žádost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objednatele,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Ministerstva práce a sociálních věcí, Královéhradeckého kraje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nebo Ministerstva financí, jakékoliv doplňující informace související s realizací projektu (zejména má v této souvislosti povinnost poskytnout veškeré informace o výsledcích kontrol a auditů, včetně kontrolních protokolů z kontrol provedených v souvislosti s projektem), a to ve lhůtách stanovených </w:t>
      </w:r>
      <w:r w:rsidR="00C240CB"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objednatelem, případně dalšími oprávněnými institucemi 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(M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PSV, Královéhradecký kraj, CIRI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územní finanční orgány, Ministerstvo financí, Nejvyšší kontrolní Úřad, Evropská komise, případně i další orgány oprávněné k výkonu kontroly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1EEB428" w14:textId="43AFA337" w:rsidR="0089241C" w:rsidRPr="00C240CB" w:rsidRDefault="00DF5766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umožní kontrolu plnění smlouvy prostřednictvím monitorovacích návštěv pověřeného pracovníka objednatele.</w:t>
      </w:r>
    </w:p>
    <w:p w14:paraId="524984FE" w14:textId="1CAFE541" w:rsidR="007A71C8" w:rsidRDefault="007A71C8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souhlasí s využíváním svých údajů v informačních systémech pro účely administrace prostředků z rozpočtu Evropské unie.</w:t>
      </w:r>
    </w:p>
    <w:p w14:paraId="29A5D9A6" w14:textId="626FCE39" w:rsidR="00271885" w:rsidRPr="0089241C" w:rsidRDefault="00271885" w:rsidP="002D088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uchovat veškeré dokumenty související s realizací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souladu s platnými právními předpisy ČR, a s Obecnou částí pravidel pro žadatele a příjemce v rámci Operačního programu Zaměstnanost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Poskytovatel je povinen uchovávat veškeré doklady související s realizací 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této Smlouvy po dobu 10 let od finančního ukončení projektu, minimálně do konce roku 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203</w:t>
      </w:r>
      <w:r w:rsidR="00E23958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C64949B" w14:textId="77777777" w:rsidR="00271885" w:rsidRDefault="00271885" w:rsidP="009D6542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2D823D0C" w14:textId="77777777" w:rsidR="0089241C" w:rsidRDefault="0089241C">
      <w:pPr>
        <w:spacing w:after="0" w:line="240" w:lineRule="auto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br w:type="page"/>
      </w:r>
    </w:p>
    <w:p w14:paraId="7E02CF7A" w14:textId="77777777" w:rsidR="00DF5766" w:rsidRPr="0089241C" w:rsidRDefault="00DF5766" w:rsidP="00FF0F61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89241C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lastRenderedPageBreak/>
        <w:t>IV.</w:t>
      </w:r>
    </w:p>
    <w:p w14:paraId="4CDE736E" w14:textId="3A78F146" w:rsidR="003826D6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</w:t>
      </w:r>
      <w:r w:rsidR="00E479B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ontaktní osoba</w:t>
      </w:r>
    </w:p>
    <w:p w14:paraId="32FDAAC4" w14:textId="79A96008" w:rsidR="00DF5766" w:rsidRPr="00E479B1" w:rsidRDefault="00DF5766" w:rsidP="00E479B1">
      <w:pPr>
        <w:pStyle w:val="Odstavecseseznamem"/>
        <w:widowControl w:val="0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bookmarkStart w:id="1" w:name="_Hlk151556786"/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určí kontaktní osobou pro potřeby této smlouvy, která bude zajišťovat 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hladký průběh </w:t>
      </w:r>
      <w:r w:rsidR="00BA36DD"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Jeho hlavní náplní je komunikace s realizačním týmem projektu, příprava pracovních míst pro pracovní trénink, tak, aby odpovídala specifikům dané skupiny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účastníků.</w:t>
      </w:r>
    </w:p>
    <w:bookmarkEnd w:id="1"/>
    <w:p w14:paraId="609B5588" w14:textId="43DC68B2" w:rsidR="00DF5766" w:rsidRPr="00D71D45" w:rsidRDefault="00E479B1" w:rsidP="006C04AF">
      <w:pPr>
        <w:pStyle w:val="Odstavecseseznamem"/>
        <w:widowControl w:val="0"/>
        <w:numPr>
          <w:ilvl w:val="0"/>
          <w:numId w:val="20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Kontaktní osoba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firmě se seznamuje se specifiky (hendikepem) konkrétních účastníků a o těchto specifikách informuje další zaměstnance firmy zapojené do práce s účastníky. </w:t>
      </w:r>
      <w:bookmarkStart w:id="2" w:name="_Hlk151556963"/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skončení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vypracuje hodnocení o průběhu formou vyplnění hodnotícího dotazníku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poskytne fotodokumentaci.</w:t>
      </w:r>
      <w:bookmarkEnd w:id="2"/>
    </w:p>
    <w:p w14:paraId="7E6457E5" w14:textId="0EFBA416" w:rsidR="00DF5766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V.</w:t>
      </w:r>
    </w:p>
    <w:p w14:paraId="6A8CF3E2" w14:textId="270DD3A7" w:rsidR="00A9487A" w:rsidRPr="00FF0F61" w:rsidRDefault="00A9487A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5E0CC9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objednatele</w:t>
      </w:r>
    </w:p>
    <w:p w14:paraId="3C752382" w14:textId="3B052B03" w:rsidR="0064700A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z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ajišťuje součinnost mezi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smluvními stranami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prostřednictvím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kontaktní osoby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EF17FBD" w14:textId="56B6135D" w:rsidR="00A228D4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oprávněn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provést k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ontrol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plnění smlouvy prostřednictvím monitorovací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návštěv</w:t>
      </w:r>
      <w:r w:rsidR="00C161C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místě konání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BE6156" w14:textId="77777777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FA8D465" w14:textId="77777777" w:rsidR="000320A6" w:rsidRPr="00FF0F61" w:rsidRDefault="000320A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Komunikace smluvních stran</w:t>
      </w:r>
    </w:p>
    <w:p w14:paraId="2AE8EA5A" w14:textId="21D96F63" w:rsidR="000320A6" w:rsidRPr="000D6464" w:rsidRDefault="000320A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Veškerá komunikace mezi smluvními stranami dle této smlouvy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bude realizována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písemně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v listinné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nebo elektronick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 podobě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bude označena číslem smlouvy. Písemnou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podobou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rozumí komunikace prostřednictvím provozovatele poštovních služeb nebo kurýrní služby na níže uvedené kontaktní adresy smluvních stran nebo na takovou jinou adresu, kterou příslušná smluvní strana určí v písemném oznámení zaslaném v souladu s touto smlouvou.</w:t>
      </w:r>
    </w:p>
    <w:p w14:paraId="4473595C" w14:textId="77777777" w:rsidR="000320A6" w:rsidRPr="000D6464" w:rsidRDefault="00DF576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stanoví následující kontaktní osoby: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3"/>
        <w:gridCol w:w="6284"/>
      </w:tblGrid>
      <w:tr w:rsidR="00DF5766" w14:paraId="34FFC23D" w14:textId="77777777" w:rsidTr="00FF0F61">
        <w:tc>
          <w:tcPr>
            <w:tcW w:w="8537" w:type="dxa"/>
            <w:gridSpan w:val="2"/>
            <w:shd w:val="clear" w:color="auto" w:fill="B8CCE4" w:themeFill="accent1" w:themeFillTint="66"/>
          </w:tcPr>
          <w:p w14:paraId="1837F006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poskytovatele</w:t>
            </w:r>
          </w:p>
        </w:tc>
      </w:tr>
      <w:tr w:rsidR="00DF5766" w14:paraId="03AC67D0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2CB7081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61A7F69A" w14:textId="04281A59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7E7EA5D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08173F54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7EE525CB" w14:textId="11876F86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D844C6C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716B0F3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1C8F38D7" w14:textId="13CE1B15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774AD8B" w14:textId="77777777" w:rsidR="00DF5766" w:rsidRDefault="00DF5766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3C3B408" w14:textId="77777777" w:rsidR="0089241C" w:rsidRDefault="0089241C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2"/>
        <w:gridCol w:w="6285"/>
      </w:tblGrid>
      <w:tr w:rsidR="00DF5766" w14:paraId="152D17CE" w14:textId="77777777" w:rsidTr="00A16C7F">
        <w:tc>
          <w:tcPr>
            <w:tcW w:w="8537" w:type="dxa"/>
            <w:gridSpan w:val="2"/>
            <w:shd w:val="clear" w:color="auto" w:fill="B8CCE4" w:themeFill="accent1" w:themeFillTint="66"/>
          </w:tcPr>
          <w:p w14:paraId="15DE88A6" w14:textId="77777777" w:rsidR="00DF5766" w:rsidRDefault="00DF5766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objednatele</w:t>
            </w:r>
          </w:p>
        </w:tc>
      </w:tr>
      <w:tr w:rsidR="00DF5766" w14:paraId="1C17926B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7DF708F5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091F9804" w14:textId="64F1BF55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C4F28BF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4F58D8DA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1E841610" w14:textId="2945FD64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85D7F4A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13DB056D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546BD880" w14:textId="7D16B32D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9ACAC72" w14:textId="77777777" w:rsidR="004B69E2" w:rsidRDefault="004B69E2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4614E976" w14:textId="77777777" w:rsidR="004B69E2" w:rsidRDefault="004B69E2">
      <w:pPr>
        <w:spacing w:after="0" w:line="240" w:lineRule="auto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br w:type="page"/>
      </w:r>
    </w:p>
    <w:p w14:paraId="5E4082D7" w14:textId="4060366E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lastRenderedPageBreak/>
        <w:t>VII.</w:t>
      </w:r>
    </w:p>
    <w:p w14:paraId="6BE8510A" w14:textId="77777777" w:rsidR="00CE665B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</w:t>
      </w:r>
    </w:p>
    <w:p w14:paraId="4A79CBCB" w14:textId="77777777" w:rsidR="00CE665B" w:rsidRPr="00FF0F61" w:rsidRDefault="00DF5766" w:rsidP="00FF0F61">
      <w:pPr>
        <w:pStyle w:val="Odstavecseseznamem"/>
        <w:widowControl w:val="0"/>
        <w:numPr>
          <w:ilvl w:val="0"/>
          <w:numId w:val="23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uhradí poskytovateli odměnu za plnění dle této smlouvy v následujícím rozsahu:</w:t>
      </w:r>
    </w:p>
    <w:p w14:paraId="2E710C9B" w14:textId="77777777" w:rsidR="00FA6CC2" w:rsidRDefault="0034236F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Cena za 1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hodinu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pro skupinu:</w:t>
      </w:r>
    </w:p>
    <w:p w14:paraId="760EB623" w14:textId="02CFD04E" w:rsidR="0034236F" w:rsidRDefault="00FA6CC2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 až 5 osob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D121E2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="00D71D45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000 Kč vč. DPH</w:t>
      </w:r>
    </w:p>
    <w:p w14:paraId="4C497D42" w14:textId="2E21DC53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6 až 9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5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 Kč vč. DPH</w:t>
      </w:r>
    </w:p>
    <w:p w14:paraId="3A5723BF" w14:textId="16F84E38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10 </w:t>
      </w:r>
      <w:r w:rsidR="00DF5C77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a více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2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.000 Kč vč. DPH</w:t>
      </w:r>
    </w:p>
    <w:p w14:paraId="1F648AD8" w14:textId="77B0F321" w:rsidR="00CD7DE2" w:rsidRDefault="00CD7DE2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Celková cena za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plnění této smlouvy nepřesáhne 40.000 Kč včetně DPH</w:t>
      </w:r>
      <w:r w:rsidR="008D77C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A514992" w14:textId="764745DB" w:rsidR="002E7645" w:rsidRPr="000D6464" w:rsidRDefault="00366C17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Cena za hodinu pracovního tréninku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odst. 1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ustanovení a celková cena dle odst. 2 tohoto ustanovení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pevná a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nepřekročitelná a odpovídá za komplexní zajištění služeb dle této smlouvy. </w:t>
      </w:r>
    </w:p>
    <w:p w14:paraId="2B9B6B0A" w14:textId="77777777" w:rsidR="000320A6" w:rsidRPr="00FF0F61" w:rsidRDefault="00D71D45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VIII.</w:t>
      </w:r>
    </w:p>
    <w:p w14:paraId="603286E6" w14:textId="77777777" w:rsidR="0034236F" w:rsidRPr="00FF0F61" w:rsidRDefault="0034236F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Platební podmínky</w:t>
      </w:r>
    </w:p>
    <w:p w14:paraId="51A083B4" w14:textId="38EA0D17" w:rsidR="009F320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bude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 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hrazena objednatelem a to po částech následujícím způsobem: </w:t>
      </w:r>
    </w:p>
    <w:p w14:paraId="15E9838F" w14:textId="4D172F03" w:rsidR="00991FCF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vždy za každý měsíc, ve kterém proběhl ve firmě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3A68BF65" w14:textId="224F5511" w:rsidR="009F3201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předloží objednateli fakturu/daňový doklad </w:t>
      </w:r>
      <w:r w:rsidR="00FE1D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služ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/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poskytnuté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daném měsíci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Dnem uskutečnění zdanitelného plnění bude poslední den měsíce, v kterém se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konal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4C1D4B4A" w14:textId="7BB4C97B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řílohou faktury bud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oupis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uskutečněných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(dle manuálu)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příslušném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měsíc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Soupis bude obsahovat datum konání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počet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hodin trvání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identifikac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školy a počet účastníků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ADE2097" w14:textId="7AE1152A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případě, že v daném měsíci neproběhne žádn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 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nebude za tento měsíc faktura vystavena.</w:t>
      </w:r>
    </w:p>
    <w:p w14:paraId="5694F800" w14:textId="274FEB01" w:rsidR="00281721" w:rsidRPr="00FF0F61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</w:pPr>
      <w:bookmarkStart w:id="3" w:name="_Hlk151560881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aktura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daňový doklad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musí obsahovat číslo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název a číslo projektu a lhůtu splatnosti, která činí 30 dnů od vystavení faktury, dále náležitosti daňového dokladu dle zákona č. 235/2004 Sb., o dani z přidané hodnoty, ve znění pozdějších předpisů a údaje v rozsahu dle § 435 občanského zákoníku. V případě, že faktura nebude splňovat tyto náležitosti nebo s ní nebudou předloženy přílohy, které musí být v souladu se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mlouvou, je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 oprávněn fakturu / daňový doklad vrátit poskytovateli a poskytovatel je povinen bez zbytečného odkladu vystavit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bjednateli fakturu, která bude splňovat veškeré náležitosti, bude v ní uveden nový termín splatnosti plynoucí ode dne vystavení opravené faktury, a k níž budou připojeny všechny přílohy dle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Na faktuře/daňovém dokladu musí být jednoznačně uveden text: 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„Zakázka je financována z Operačního programu Zaměstnanost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 plus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, z projektu „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Příležitost pro začátek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“, registrační číslo projektu </w:t>
      </w:r>
      <w:r w:rsidR="00DF5C77" w:rsidRP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CZ.03.01.01/00/23_052/0002661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“.</w:t>
      </w:r>
    </w:p>
    <w:bookmarkEnd w:id="3"/>
    <w:p w14:paraId="2BFB0C37" w14:textId="5545674B" w:rsidR="0028172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eškeré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platby dle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 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prováděny bezhotovostní </w:t>
      </w:r>
      <w:r w:rsidR="00FF0F6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formou – převodem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bankovní účet uvedený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poskytovatelem v této smlouvě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Platby budou probíhat výhradně v českých korunách (CZK).</w:t>
      </w:r>
    </w:p>
    <w:p w14:paraId="69A91CBE" w14:textId="4BB196B6" w:rsidR="0089241C" w:rsidRDefault="00281721" w:rsidP="0021633C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se dohodly na tom, že peněžitý závazek vůči druhé smluvní straně je splněn dnem, kdy je částka odepsána z účtu povinné strany ve prospěch účtu oprávněné strany.</w:t>
      </w:r>
    </w:p>
    <w:p w14:paraId="14266296" w14:textId="77777777" w:rsidR="003E1B3E" w:rsidRDefault="003E1B3E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65A2C332" w14:textId="7F87B48C" w:rsidR="0089241C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lastRenderedPageBreak/>
        <w:t>IX.</w:t>
      </w:r>
    </w:p>
    <w:p w14:paraId="134924FD" w14:textId="77777777" w:rsidR="000D0871" w:rsidRPr="000D6464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sz w:val="20"/>
          <w:szCs w:val="20"/>
          <w:lang w:eastAsia="cs-CZ"/>
        </w:rPr>
        <w:t>Zákaz čerpání jiných podpor</w:t>
      </w:r>
    </w:p>
    <w:p w14:paraId="781CAE50" w14:textId="0DA0F6DC" w:rsidR="000D0871" w:rsidRPr="00FF0F61" w:rsidRDefault="00D71D45" w:rsidP="00FF0F61">
      <w:pPr>
        <w:pStyle w:val="Odstavecseseznamem"/>
        <w:widowControl w:val="0"/>
        <w:numPr>
          <w:ilvl w:val="0"/>
          <w:numId w:val="26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není oprávněn žádnou z aktivit, kterou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realizuje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dle této smlouvy, financovat z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jiných finančních nástrojů Evropských Společenství či z jiných veřejných prostředků. Pokud byl určitý výdaj uhrazen z této podpory pouze z části, týká se zákaz podle předchozí věty pouze této části výdaje.</w:t>
      </w:r>
    </w:p>
    <w:p w14:paraId="042FD950" w14:textId="77777777" w:rsidR="000D0871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X.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496F1AE6" w:rsidR="0089241C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 zvláštních podmínkách účinnosti některých smluv, uveřejňování těchto smluv a o registru smluv (zákon o registru smluv)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ve znění pozdějších předpisů.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objednatel.</w:t>
      </w:r>
    </w:p>
    <w:p w14:paraId="06386710" w14:textId="1584487D" w:rsidR="000D0871" w:rsidRPr="000D6464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smlouva je uzavřena na dobu určitou, a to do 3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0AA11373" w14:textId="12CD9BFE" w:rsidR="00A577FD" w:rsidRDefault="00A577FD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registru smluv zajistí CIRI.</w:t>
      </w:r>
    </w:p>
    <w:p w14:paraId="75E1C728" w14:textId="010B2B25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Jakékoli změny této Smlouvy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Toto se nevztahuje na změnu kontaktních osob (čl. VI odst. 2 této smlouvy), kontaktní osoby </w:t>
      </w:r>
      <w:r w:rsidR="00F61C2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mohou být měněny jednostranným písemným oznámením, doručeným smluvní stranou druhé smluvní straně s tím, že takováto změna se stane účinnou následující pracovní den od doručení takového oznámení druhé smluvní straně. 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51876564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</w:p>
    <w:p w14:paraId="07CCA0D3" w14:textId="32049AF3" w:rsidR="00366C17" w:rsidRDefault="00366C17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je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 uznávané elektronické podpisy.</w:t>
      </w:r>
    </w:p>
    <w:p w14:paraId="56F22D28" w14:textId="50426EFB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po jejím přečtení prohlašují, že souhlasí s jejím obsahem, když na důkaz toho připojují své podpisy. </w:t>
      </w:r>
    </w:p>
    <w:p w14:paraId="5EB28312" w14:textId="21B9C66B" w:rsidR="000D0871" w:rsidRPr="00FF0F61" w:rsidRDefault="00CE0DFD" w:rsidP="00CE0DFD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</w:t>
      </w:r>
      <w:r w:rsidR="0089241C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 poskytovatele dne </w:t>
      </w:r>
      <w:r w:rsidR="00F20B10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12/4/2024</w:t>
      </w:r>
      <w:bookmarkStart w:id="4" w:name="_GoBack"/>
      <w:bookmarkEnd w:id="4"/>
      <w:r w:rsidR="0089241C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163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objednatele dne </w:t>
      </w:r>
      <w:r w:rsidR="00F20B10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9/4/2024</w:t>
      </w:r>
    </w:p>
    <w:p w14:paraId="784A3ECE" w14:textId="79498AD0" w:rsidR="00366C17" w:rsidRPr="004B69E2" w:rsidRDefault="00CE0DFD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proofErr w:type="spellStart"/>
      <w:r w:rsidRPr="00CE0D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Ergotep</w:t>
      </w:r>
      <w:proofErr w:type="spellEnd"/>
      <w:r w:rsidRPr="00CE0D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družstvo invalidů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   </w:t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            </w:t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Centrum investic, rozvoje a inovací</w:t>
      </w:r>
    </w:p>
    <w:p w14:paraId="0739AFD6" w14:textId="77777777" w:rsidR="003E1B3E" w:rsidRDefault="00CE0DFD" w:rsidP="003E1B3E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Bc. Petr Herynek, předseda družstva</w:t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                                </w:t>
      </w:r>
      <w:r w:rsidR="003E1B3E" w:rsidRP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et Mgr. Vendula Hájková</w:t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E1B3E"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ředitel</w:t>
      </w:r>
      <w:r w:rsidR="003E1B3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</w:t>
      </w:r>
    </w:p>
    <w:sectPr w:rsidR="003E1B3E" w:rsidSect="0017478F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3D2C7" w14:textId="77777777" w:rsidR="00A87CA6" w:rsidRDefault="00A87CA6" w:rsidP="006F6231">
      <w:pPr>
        <w:spacing w:after="0" w:line="240" w:lineRule="auto"/>
      </w:pPr>
      <w:r>
        <w:separator/>
      </w:r>
    </w:p>
  </w:endnote>
  <w:endnote w:type="continuationSeparator" w:id="0">
    <w:p w14:paraId="672AF44B" w14:textId="77777777" w:rsidR="00A87CA6" w:rsidRDefault="00A87CA6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360090"/>
      <w:docPartObj>
        <w:docPartGallery w:val="Page Numbers (Bottom of Page)"/>
        <w:docPartUnique/>
      </w:docPartObj>
    </w:sdtPr>
    <w:sdtEndPr/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B10">
          <w:rPr>
            <w:noProof/>
          </w:rPr>
          <w:t>5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4816C" w14:textId="77777777" w:rsidR="00A87CA6" w:rsidRDefault="00A87CA6" w:rsidP="006F6231">
      <w:pPr>
        <w:spacing w:after="0" w:line="240" w:lineRule="auto"/>
      </w:pPr>
      <w:r>
        <w:separator/>
      </w:r>
    </w:p>
  </w:footnote>
  <w:footnote w:type="continuationSeparator" w:id="0">
    <w:p w14:paraId="1143B80F" w14:textId="77777777" w:rsidR="00A87CA6" w:rsidRDefault="00A87CA6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10"/>
  </w:num>
  <w:num w:numId="6">
    <w:abstractNumId w:val="24"/>
  </w:num>
  <w:num w:numId="7">
    <w:abstractNumId w:val="22"/>
  </w:num>
  <w:num w:numId="8">
    <w:abstractNumId w:val="4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3"/>
  </w:num>
  <w:num w:numId="20">
    <w:abstractNumId w:val="18"/>
  </w:num>
  <w:num w:numId="21">
    <w:abstractNumId w:val="15"/>
  </w:num>
  <w:num w:numId="22">
    <w:abstractNumId w:val="13"/>
  </w:num>
  <w:num w:numId="23">
    <w:abstractNumId w:val="6"/>
  </w:num>
  <w:num w:numId="24">
    <w:abstractNumId w:val="5"/>
  </w:num>
  <w:num w:numId="25">
    <w:abstractNumId w:val="12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71"/>
    <w:rsid w:val="00027E34"/>
    <w:rsid w:val="000320A6"/>
    <w:rsid w:val="00040F32"/>
    <w:rsid w:val="000734A4"/>
    <w:rsid w:val="000B0A28"/>
    <w:rsid w:val="000D0871"/>
    <w:rsid w:val="000D6464"/>
    <w:rsid w:val="000D6A34"/>
    <w:rsid w:val="000D76F2"/>
    <w:rsid w:val="000E0EC3"/>
    <w:rsid w:val="000E3A10"/>
    <w:rsid w:val="0010496D"/>
    <w:rsid w:val="00127537"/>
    <w:rsid w:val="00133940"/>
    <w:rsid w:val="001358B1"/>
    <w:rsid w:val="001359E4"/>
    <w:rsid w:val="0017478F"/>
    <w:rsid w:val="00190128"/>
    <w:rsid w:val="001C44C5"/>
    <w:rsid w:val="001D05A0"/>
    <w:rsid w:val="001E2D29"/>
    <w:rsid w:val="00213361"/>
    <w:rsid w:val="0021633C"/>
    <w:rsid w:val="00223CD6"/>
    <w:rsid w:val="00240CCD"/>
    <w:rsid w:val="002636D3"/>
    <w:rsid w:val="00271885"/>
    <w:rsid w:val="00280B6A"/>
    <w:rsid w:val="00280F4D"/>
    <w:rsid w:val="00281721"/>
    <w:rsid w:val="00287369"/>
    <w:rsid w:val="002A2D15"/>
    <w:rsid w:val="002B12DA"/>
    <w:rsid w:val="002B735F"/>
    <w:rsid w:val="002C670D"/>
    <w:rsid w:val="002D088D"/>
    <w:rsid w:val="002D5F9F"/>
    <w:rsid w:val="002E7645"/>
    <w:rsid w:val="00335305"/>
    <w:rsid w:val="00337B89"/>
    <w:rsid w:val="0034236F"/>
    <w:rsid w:val="00366C17"/>
    <w:rsid w:val="00376FBE"/>
    <w:rsid w:val="00376FE1"/>
    <w:rsid w:val="003826D6"/>
    <w:rsid w:val="003B4FFA"/>
    <w:rsid w:val="003E1B3E"/>
    <w:rsid w:val="003E1C04"/>
    <w:rsid w:val="003F30B0"/>
    <w:rsid w:val="004044F3"/>
    <w:rsid w:val="004047A9"/>
    <w:rsid w:val="004047C8"/>
    <w:rsid w:val="00424FDD"/>
    <w:rsid w:val="004405B8"/>
    <w:rsid w:val="00460CE1"/>
    <w:rsid w:val="00472106"/>
    <w:rsid w:val="004836B2"/>
    <w:rsid w:val="00487F8C"/>
    <w:rsid w:val="004A4CCF"/>
    <w:rsid w:val="004B2F16"/>
    <w:rsid w:val="004B69E2"/>
    <w:rsid w:val="004D78AF"/>
    <w:rsid w:val="004E5A5F"/>
    <w:rsid w:val="004F2411"/>
    <w:rsid w:val="00511A78"/>
    <w:rsid w:val="00513206"/>
    <w:rsid w:val="00527356"/>
    <w:rsid w:val="005D55EF"/>
    <w:rsid w:val="005E0CC9"/>
    <w:rsid w:val="005F0DF0"/>
    <w:rsid w:val="00600629"/>
    <w:rsid w:val="00602526"/>
    <w:rsid w:val="006306F7"/>
    <w:rsid w:val="0064700A"/>
    <w:rsid w:val="00667078"/>
    <w:rsid w:val="00670FDD"/>
    <w:rsid w:val="00683BBC"/>
    <w:rsid w:val="006B1258"/>
    <w:rsid w:val="006B298B"/>
    <w:rsid w:val="006C00D4"/>
    <w:rsid w:val="006C04AF"/>
    <w:rsid w:val="006D284B"/>
    <w:rsid w:val="006F6231"/>
    <w:rsid w:val="00722BED"/>
    <w:rsid w:val="007255D6"/>
    <w:rsid w:val="0073527A"/>
    <w:rsid w:val="0079638E"/>
    <w:rsid w:val="007A71C8"/>
    <w:rsid w:val="007B4DE5"/>
    <w:rsid w:val="007C2C40"/>
    <w:rsid w:val="007D0584"/>
    <w:rsid w:val="007E43AE"/>
    <w:rsid w:val="007F7D8D"/>
    <w:rsid w:val="00803088"/>
    <w:rsid w:val="00806495"/>
    <w:rsid w:val="008304B4"/>
    <w:rsid w:val="0085241F"/>
    <w:rsid w:val="0086247B"/>
    <w:rsid w:val="008727D8"/>
    <w:rsid w:val="008732E4"/>
    <w:rsid w:val="00873621"/>
    <w:rsid w:val="00875A40"/>
    <w:rsid w:val="0089241C"/>
    <w:rsid w:val="008B2F87"/>
    <w:rsid w:val="008C20AC"/>
    <w:rsid w:val="008D5A78"/>
    <w:rsid w:val="008D77CC"/>
    <w:rsid w:val="00946F8A"/>
    <w:rsid w:val="00955097"/>
    <w:rsid w:val="00964749"/>
    <w:rsid w:val="00991A99"/>
    <w:rsid w:val="00991FCF"/>
    <w:rsid w:val="009D6542"/>
    <w:rsid w:val="009F3201"/>
    <w:rsid w:val="00A20FAD"/>
    <w:rsid w:val="00A228D4"/>
    <w:rsid w:val="00A401BA"/>
    <w:rsid w:val="00A45FE3"/>
    <w:rsid w:val="00A577FD"/>
    <w:rsid w:val="00A7045C"/>
    <w:rsid w:val="00A76A9E"/>
    <w:rsid w:val="00A87CA6"/>
    <w:rsid w:val="00A9487A"/>
    <w:rsid w:val="00AC0602"/>
    <w:rsid w:val="00AC5BB3"/>
    <w:rsid w:val="00AF4820"/>
    <w:rsid w:val="00B02AE4"/>
    <w:rsid w:val="00B041BC"/>
    <w:rsid w:val="00B44758"/>
    <w:rsid w:val="00BA36DD"/>
    <w:rsid w:val="00BC79AB"/>
    <w:rsid w:val="00BF5F64"/>
    <w:rsid w:val="00C161CD"/>
    <w:rsid w:val="00C240CB"/>
    <w:rsid w:val="00C417D4"/>
    <w:rsid w:val="00C5402F"/>
    <w:rsid w:val="00C5663F"/>
    <w:rsid w:val="00C658BF"/>
    <w:rsid w:val="00CA5753"/>
    <w:rsid w:val="00CB65EC"/>
    <w:rsid w:val="00CC0134"/>
    <w:rsid w:val="00CD7DE2"/>
    <w:rsid w:val="00CE0DFD"/>
    <w:rsid w:val="00CE665B"/>
    <w:rsid w:val="00D121E2"/>
    <w:rsid w:val="00D55585"/>
    <w:rsid w:val="00D57B61"/>
    <w:rsid w:val="00D71D45"/>
    <w:rsid w:val="00D71F67"/>
    <w:rsid w:val="00D758D8"/>
    <w:rsid w:val="00D77D2C"/>
    <w:rsid w:val="00D87499"/>
    <w:rsid w:val="00D9799F"/>
    <w:rsid w:val="00DB593C"/>
    <w:rsid w:val="00DE043E"/>
    <w:rsid w:val="00DE140D"/>
    <w:rsid w:val="00DE16CE"/>
    <w:rsid w:val="00DF2C35"/>
    <w:rsid w:val="00DF47CB"/>
    <w:rsid w:val="00DF5766"/>
    <w:rsid w:val="00DF5C77"/>
    <w:rsid w:val="00DF6A60"/>
    <w:rsid w:val="00E009EB"/>
    <w:rsid w:val="00E2078B"/>
    <w:rsid w:val="00E23958"/>
    <w:rsid w:val="00E479B1"/>
    <w:rsid w:val="00EB5A2D"/>
    <w:rsid w:val="00EC5D01"/>
    <w:rsid w:val="00ED1C59"/>
    <w:rsid w:val="00ED47C9"/>
    <w:rsid w:val="00F20B10"/>
    <w:rsid w:val="00F61C21"/>
    <w:rsid w:val="00FA6CC2"/>
    <w:rsid w:val="00FC6825"/>
    <w:rsid w:val="00FE1DDD"/>
    <w:rsid w:val="00FE660D"/>
    <w:rsid w:val="00FF0F61"/>
    <w:rsid w:val="00FF2588"/>
    <w:rsid w:val="00FF5C8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9" ma:contentTypeDescription="Vytvoří nový dokument" ma:contentTypeScope="" ma:versionID="fb0623f2481040fe24f968305af2539f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c56f164e13ecde4ac2e426b50109c508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3.xml><?xml version="1.0" encoding="utf-8"?>
<ds:datastoreItem xmlns:ds="http://schemas.openxmlformats.org/officeDocument/2006/customXml" ds:itemID="{2773160C-B5E9-4582-ACBA-BDD97F858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1710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Jarmila Bukvaldová</cp:lastModifiedBy>
  <cp:revision>7</cp:revision>
  <cp:lastPrinted>2024-04-03T07:35:00Z</cp:lastPrinted>
  <dcterms:created xsi:type="dcterms:W3CDTF">2024-04-03T07:28:00Z</dcterms:created>
  <dcterms:modified xsi:type="dcterms:W3CDTF">2024-04-12T18:02:00Z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0x010100E7C1866EA6950942A58CE4483D61A6D7</vt:lpwstr>
  </property>
  <property fmtid="{D5CDD505-2E9C-101B-9397-08002B2CF9AE}" pid="3" name="MediaServiceImageTags">
    <vt:lpwstr/>
  </property>
</Properties>
</file>