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0755D8C8" w14:textId="77777777" w:rsidR="00C16FBA" w:rsidRDefault="00C16FBA" w:rsidP="00C16FBA">
      <w:pPr>
        <w:suppressAutoHyphens/>
        <w:autoSpaceDE w:val="0"/>
        <w:spacing w:line="240" w:lineRule="auto"/>
        <w:jc w:val="left"/>
      </w:pPr>
      <w:r>
        <w:rPr>
          <w:b/>
          <w:bCs/>
        </w:rPr>
        <w:t>PHOENIX lékárenský velkoobchod, s.r.o.</w:t>
      </w:r>
    </w:p>
    <w:p w14:paraId="036A27BC" w14:textId="77777777" w:rsidR="00C16FBA" w:rsidRDefault="00C16FBA" w:rsidP="00C16FBA">
      <w:r>
        <w:t>IČO: 45359326</w:t>
      </w:r>
    </w:p>
    <w:p w14:paraId="1A82F7D2" w14:textId="77777777" w:rsidR="00C16FBA" w:rsidRDefault="00C16FBA" w:rsidP="00C16FBA">
      <w:r>
        <w:t>DIČ: CZ45359326</w:t>
      </w:r>
    </w:p>
    <w:p w14:paraId="2D69E053" w14:textId="77777777" w:rsidR="00C16FBA" w:rsidRDefault="00C16FBA" w:rsidP="00C16FBA">
      <w:r>
        <w:t>se sídlem: K pérovně 945/7, 102 00 Praha 10 - Hostivař</w:t>
      </w:r>
    </w:p>
    <w:p w14:paraId="51CF89FF" w14:textId="77777777" w:rsidR="00C16FBA" w:rsidRDefault="00C16FBA" w:rsidP="00C16FBA">
      <w:r>
        <w:t>zastoupena: MUDr. Michaelou Steklou, prokuristkou a Ing. Martinem Pytlíkem, prokuristou</w:t>
      </w:r>
    </w:p>
    <w:p w14:paraId="21EDDE2B" w14:textId="77777777" w:rsidR="00C16FBA" w:rsidRDefault="00C16FBA" w:rsidP="00C16FBA">
      <w:r>
        <w:t>bankovní spojení: Česká spořitelna</w:t>
      </w:r>
    </w:p>
    <w:p w14:paraId="3D70EBFE" w14:textId="77777777" w:rsidR="00C16FBA" w:rsidRDefault="00C16FBA" w:rsidP="00C16FBA">
      <w:r>
        <w:t>číslo účtu: 1054262/0800</w:t>
      </w:r>
    </w:p>
    <w:p w14:paraId="301A36FB" w14:textId="77777777" w:rsidR="00C16FBA" w:rsidRDefault="00C16FBA" w:rsidP="00C16FBA">
      <w:r>
        <w:t>zapsána v obchodním rejstříku vedeném Městským soudem v Praze, oddíl C, vložka 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Default="001B5F9C" w:rsidP="00726B26">
      <w:pPr>
        <w:rPr>
          <w:rStyle w:val="platne1"/>
        </w:rPr>
      </w:pPr>
      <w:r>
        <w:rPr>
          <w:rStyle w:val="platne1"/>
        </w:rPr>
        <w:t xml:space="preserve">a to </w:t>
      </w:r>
      <w:r w:rsidR="00726B26" w:rsidRPr="002B77A6">
        <w:rPr>
          <w:rStyle w:val="platne1"/>
        </w:rPr>
        <w:t>v následujícím znění:</w:t>
      </w:r>
    </w:p>
    <w:p w14:paraId="4A992D03" w14:textId="77777777" w:rsidR="00626766" w:rsidRDefault="00626766" w:rsidP="00726B26">
      <w:pPr>
        <w:rPr>
          <w:rStyle w:val="platne1"/>
        </w:rPr>
      </w:pPr>
    </w:p>
    <w:p w14:paraId="7160AB2C" w14:textId="77777777" w:rsidR="00626766" w:rsidRDefault="00626766" w:rsidP="00726B26">
      <w:pPr>
        <w:rPr>
          <w:rStyle w:val="platne1"/>
        </w:rPr>
      </w:pPr>
    </w:p>
    <w:p w14:paraId="2493A415" w14:textId="77777777" w:rsidR="00626766" w:rsidRDefault="00626766" w:rsidP="00726B26">
      <w:pPr>
        <w:rPr>
          <w:rStyle w:val="platne1"/>
        </w:rPr>
      </w:pPr>
    </w:p>
    <w:p w14:paraId="4F0A7F16" w14:textId="77777777" w:rsidR="00626766" w:rsidRDefault="00626766" w:rsidP="00726B26">
      <w:pPr>
        <w:rPr>
          <w:rStyle w:val="platne1"/>
        </w:rPr>
      </w:pPr>
    </w:p>
    <w:p w14:paraId="60BA5771" w14:textId="77777777" w:rsidR="00626766" w:rsidRDefault="00626766" w:rsidP="00726B26">
      <w:pPr>
        <w:rPr>
          <w:rStyle w:val="platne1"/>
        </w:rPr>
      </w:pPr>
    </w:p>
    <w:p w14:paraId="67B96BD5" w14:textId="77777777" w:rsidR="00626766" w:rsidRDefault="00626766" w:rsidP="00726B26">
      <w:pPr>
        <w:rPr>
          <w:rStyle w:val="platne1"/>
        </w:rPr>
      </w:pPr>
    </w:p>
    <w:p w14:paraId="4F6AA5CA" w14:textId="77777777" w:rsidR="00626766" w:rsidRDefault="00626766" w:rsidP="00726B26">
      <w:pPr>
        <w:rPr>
          <w:rStyle w:val="platne1"/>
        </w:rPr>
      </w:pPr>
    </w:p>
    <w:p w14:paraId="4967274D" w14:textId="77777777" w:rsidR="00626766" w:rsidRDefault="00626766" w:rsidP="00726B26">
      <w:pPr>
        <w:rPr>
          <w:rStyle w:val="platne1"/>
        </w:rPr>
      </w:pPr>
    </w:p>
    <w:p w14:paraId="155B848D" w14:textId="77777777" w:rsidR="00626766" w:rsidRDefault="00626766" w:rsidP="00726B26">
      <w:pPr>
        <w:rPr>
          <w:rStyle w:val="platne1"/>
        </w:rPr>
      </w:pPr>
    </w:p>
    <w:p w14:paraId="72F8C4F3" w14:textId="77777777" w:rsidR="00626766" w:rsidRDefault="00626766" w:rsidP="00726B26">
      <w:pPr>
        <w:rPr>
          <w:rStyle w:val="platne1"/>
        </w:rPr>
      </w:pPr>
    </w:p>
    <w:p w14:paraId="4CA8932A" w14:textId="77777777" w:rsidR="00626766" w:rsidRDefault="00626766" w:rsidP="00726B26">
      <w:pPr>
        <w:rPr>
          <w:rStyle w:val="platne1"/>
        </w:rPr>
      </w:pPr>
    </w:p>
    <w:p w14:paraId="7A2299E1" w14:textId="77777777" w:rsidR="00626766" w:rsidRDefault="00626766" w:rsidP="00726B26">
      <w:pPr>
        <w:rPr>
          <w:rStyle w:val="platne1"/>
        </w:rPr>
      </w:pPr>
    </w:p>
    <w:p w14:paraId="1C7654F6" w14:textId="77777777" w:rsidR="00626766" w:rsidRDefault="00626766" w:rsidP="00726B26">
      <w:pPr>
        <w:rPr>
          <w:rStyle w:val="platne1"/>
        </w:rPr>
      </w:pPr>
    </w:p>
    <w:p w14:paraId="59A96F98" w14:textId="77777777" w:rsidR="00E265BC" w:rsidRDefault="00E265BC" w:rsidP="00726B26">
      <w:pPr>
        <w:rPr>
          <w:rStyle w:val="platne1"/>
        </w:rPr>
      </w:pPr>
    </w:p>
    <w:p w14:paraId="02A61D8A" w14:textId="77777777" w:rsidR="00626766" w:rsidRPr="002B77A6" w:rsidRDefault="00626766" w:rsidP="00726B26">
      <w:pPr>
        <w:rPr>
          <w:rStyle w:val="platne1"/>
        </w:rPr>
      </w:pPr>
    </w:p>
    <w:p w14:paraId="62F78EFF" w14:textId="77777777" w:rsidR="00726B26" w:rsidRPr="002B77A6" w:rsidRDefault="00726B26" w:rsidP="00726B26">
      <w:pPr>
        <w:spacing w:after="60"/>
        <w:rPr>
          <w:rStyle w:val="platne1"/>
        </w:rPr>
      </w:pP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24B3BF58" w:rsidR="007426B4" w:rsidRDefault="007426B4" w:rsidP="00645FAE">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r w:rsidR="00645FAE" w:rsidRPr="00645FAE">
        <w:rPr>
          <w:b/>
        </w:rPr>
        <w:t>TRIFLURIDIN, TIPIRACIL-HYDROCHLORID</w:t>
      </w:r>
      <w:r w:rsidRPr="00626766">
        <w:rPr>
          <w:b/>
        </w:rPr>
        <w:t>“</w:t>
      </w:r>
      <w:r w:rsidR="00626766">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5DEFE92A" w14:textId="4A22B9ED" w:rsidR="00C16FBA" w:rsidRDefault="00C16FBA" w:rsidP="00C16FBA">
      <w:pPr>
        <w:pStyle w:val="Psmenoodstavce"/>
        <w:numPr>
          <w:ilvl w:val="2"/>
          <w:numId w:val="25"/>
        </w:numPr>
        <w:jc w:val="left"/>
      </w:pPr>
      <w:r>
        <w:t>e-mailem na adresu e-mailem na adresu</w:t>
      </w:r>
      <w:r w:rsidR="001B3966">
        <w:t xml:space="preserve"> </w:t>
      </w:r>
      <w:proofErr w:type="spellStart"/>
      <w:r w:rsidR="001B3966">
        <w:t>xxxxxxxxxxxxxxxxxxxx</w:t>
      </w:r>
      <w:proofErr w:type="spellEnd"/>
    </w:p>
    <w:p w14:paraId="57D0DC14" w14:textId="4968EC66" w:rsidR="00C16FBA" w:rsidRDefault="00C16FBA" w:rsidP="00C16FBA">
      <w:pPr>
        <w:pStyle w:val="Psmenoodstavce"/>
        <w:numPr>
          <w:ilvl w:val="2"/>
          <w:numId w:val="25"/>
        </w:numPr>
      </w:pPr>
      <w:r>
        <w:t xml:space="preserve">telefonní číslo </w:t>
      </w:r>
      <w:proofErr w:type="spellStart"/>
      <w:r w:rsidR="001B3966">
        <w:t>xxxxxxxxxxxxxxxxxxxx</w:t>
      </w:r>
      <w:proofErr w:type="spellEnd"/>
    </w:p>
    <w:p w14:paraId="0297D3B8" w14:textId="64E89557" w:rsidR="00C16FBA" w:rsidRDefault="00C16FBA" w:rsidP="00C16FBA">
      <w:pPr>
        <w:pStyle w:val="Psmenoodstavce"/>
        <w:numPr>
          <w:ilvl w:val="2"/>
          <w:numId w:val="25"/>
        </w:numPr>
      </w:pPr>
      <w:r>
        <w:t xml:space="preserve">v internetovém systému Prodávajícího na </w:t>
      </w:r>
      <w:proofErr w:type="spellStart"/>
      <w:r w:rsidR="001B3966">
        <w:t>xxxxxxxxxxxxxxxxxxxx</w:t>
      </w:r>
      <w:proofErr w:type="spellEnd"/>
    </w:p>
    <w:p w14:paraId="62F78F16" w14:textId="77777777" w:rsidR="00014CFB" w:rsidRDefault="00014CFB" w:rsidP="00014CFB">
      <w:pPr>
        <w:pStyle w:val="Odstavecsmlouvy"/>
        <w:numPr>
          <w:ilvl w:val="0"/>
          <w:numId w:val="0"/>
        </w:numPr>
        <w:ind w:left="567"/>
      </w:pPr>
    </w:p>
    <w:p w14:paraId="62F78F17" w14:textId="7076FFF7" w:rsidR="00014CFB" w:rsidRDefault="00014CFB" w:rsidP="00014CFB">
      <w:pPr>
        <w:pStyle w:val="Odstavecsmlouvy"/>
      </w:pPr>
      <w:r>
        <w:t xml:space="preserve">V naléhavých případech je Kupující oprávněn učinit Objednávku rovněž telefonicky na čísle </w:t>
      </w:r>
      <w:proofErr w:type="spellStart"/>
      <w:r w:rsidR="001B3966">
        <w:t>xxxxxxxxxxxxxxxxxxxx</w:t>
      </w:r>
      <w:proofErr w:type="spellEnd"/>
      <w:r w:rsidR="001B3966">
        <w:t>.</w:t>
      </w:r>
    </w:p>
    <w:p w14:paraId="62F78F18" w14:textId="77777777" w:rsidR="00014CFB" w:rsidRDefault="00014CFB" w:rsidP="00014CFB">
      <w:pPr>
        <w:pStyle w:val="Odstavecsmlouvy"/>
        <w:numPr>
          <w:ilvl w:val="0"/>
          <w:numId w:val="0"/>
        </w:numPr>
        <w:ind w:left="567"/>
      </w:pPr>
    </w:p>
    <w:p w14:paraId="62F78F19" w14:textId="37843E3C"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1B3966">
        <w:t>xxxxxxxxxxxxxxxxxxxx</w:t>
      </w:r>
      <w:proofErr w:type="spellEnd"/>
      <w:r w:rsidR="001B3966">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60A08257" w:rsidR="007C1EE0" w:rsidRDefault="00014CFB" w:rsidP="00626766">
      <w:pPr>
        <w:pStyle w:val="Psmenoodstavce"/>
      </w:pPr>
      <w:r>
        <w:t>místo dodání.</w:t>
      </w:r>
    </w:p>
    <w:p w14:paraId="0E605AF2" w14:textId="77777777" w:rsidR="00E265BC" w:rsidRDefault="00E265BC" w:rsidP="00E265BC">
      <w:pPr>
        <w:pStyle w:val="Psmenoodstavce"/>
        <w:numPr>
          <w:ilvl w:val="0"/>
          <w:numId w:val="0"/>
        </w:numPr>
        <w:ind w:left="2160"/>
      </w:pPr>
    </w:p>
    <w:p w14:paraId="2BAC7328" w14:textId="77777777" w:rsidR="00E265BC" w:rsidRDefault="00E265BC" w:rsidP="00E265BC">
      <w:pPr>
        <w:pStyle w:val="Psmenoodstavce"/>
        <w:numPr>
          <w:ilvl w:val="0"/>
          <w:numId w:val="0"/>
        </w:numPr>
        <w:ind w:left="2160"/>
      </w:pPr>
    </w:p>
    <w:p w14:paraId="46E4FD7F" w14:textId="77777777" w:rsidR="00E265BC" w:rsidRPr="00626766" w:rsidRDefault="00E265BC" w:rsidP="00E265BC">
      <w:pPr>
        <w:pStyle w:val="Psmenoodstavce"/>
        <w:numPr>
          <w:ilvl w:val="0"/>
          <w:numId w:val="0"/>
        </w:numPr>
        <w:ind w:left="2160"/>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CA1429" w:rsidR="006A5B99" w:rsidRDefault="006A5B99" w:rsidP="006A5B99">
      <w:pPr>
        <w:pStyle w:val="Odstavecsmlouvy"/>
      </w:pPr>
      <w:bookmarkStart w:id="5" w:name="_Ref525635743"/>
      <w:bookmarkStart w:id="6" w:name="_Ref8729760"/>
      <w:r>
        <w:t xml:space="preserve">Prodávající je povinen dodat Zboží dle Objednávky </w:t>
      </w:r>
      <w:r w:rsidRPr="00D424B9">
        <w:rPr>
          <w:b/>
        </w:rPr>
        <w:t>do</w:t>
      </w:r>
      <w:r w:rsidR="00D424B9" w:rsidRPr="00D424B9">
        <w:t xml:space="preserve"> </w:t>
      </w:r>
      <w:r w:rsidRPr="00D424B9">
        <w:rPr>
          <w:b/>
        </w:rPr>
        <w:t>1 pracovního dne</w:t>
      </w:r>
      <w:r w:rsidR="00D424B9" w:rsidRPr="00D424B9">
        <w:rPr>
          <w:b/>
        </w:rPr>
        <w:t xml:space="preserve"> </w:t>
      </w:r>
      <w:r w:rsidRPr="00D424B9">
        <w:t>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4296E949" w14:textId="77777777" w:rsidR="00031043" w:rsidRDefault="00E84B32" w:rsidP="00031043">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038D95FD" w14:textId="77777777" w:rsidR="00031043" w:rsidRPr="00031043" w:rsidRDefault="00031043" w:rsidP="00031043">
      <w:pPr>
        <w:rPr>
          <w:shd w:val="clear" w:color="auto" w:fill="FFFFFF"/>
        </w:rPr>
      </w:pPr>
    </w:p>
    <w:p w14:paraId="35D5EAF5" w14:textId="4BB89E8D" w:rsidR="00E84B32" w:rsidRPr="00031043" w:rsidRDefault="00E84B32" w:rsidP="00031043">
      <w:pPr>
        <w:pStyle w:val="Odstavecsmlouvy"/>
        <w:numPr>
          <w:ilvl w:val="0"/>
          <w:numId w:val="0"/>
        </w:numPr>
        <w:ind w:left="567"/>
      </w:pPr>
      <w:r w:rsidRPr="00031043">
        <w:rPr>
          <w:shd w:val="clear" w:color="auto" w:fill="FFFFFF"/>
        </w:rPr>
        <w:t>Prodávající je oprávněn, v případě nedodání zboží, k jehož dodávce</w:t>
      </w:r>
      <w:r w:rsidR="00031043" w:rsidRPr="00031043">
        <w:rPr>
          <w:shd w:val="clear" w:color="auto" w:fill="FFFFFF"/>
        </w:rPr>
        <w:t xml:space="preserve"> byl vyzván, </w:t>
      </w:r>
      <w:proofErr w:type="gramStart"/>
      <w:r w:rsidR="00031043" w:rsidRPr="00031043">
        <w:rPr>
          <w:shd w:val="clear" w:color="auto" w:fill="FFFFFF"/>
        </w:rPr>
        <w:t xml:space="preserve">nabídnout </w:t>
      </w:r>
      <w:r w:rsidRPr="00031043">
        <w:rPr>
          <w:shd w:val="clear" w:color="auto" w:fill="FFFFFF"/>
        </w:rPr>
        <w:t xml:space="preserve">  kupujícímu</w:t>
      </w:r>
      <w:proofErr w:type="gramEnd"/>
      <w:r w:rsidRPr="00031043">
        <w:rPr>
          <w:shd w:val="clear" w:color="auto" w:fill="FFFFFF"/>
        </w:rPr>
        <w:t xml:space="preserve"> alternativní předmět plnění, který bude v souladu s touto</w:t>
      </w:r>
      <w:r w:rsidR="00031043" w:rsidRPr="00031043">
        <w:rPr>
          <w:shd w:val="clear" w:color="auto" w:fill="FFFFFF"/>
        </w:rPr>
        <w:t xml:space="preserve"> smlouvou a Zadávací </w:t>
      </w:r>
      <w:r w:rsidRPr="00031043">
        <w:rPr>
          <w:shd w:val="clear" w:color="auto" w:fill="FFFFFF"/>
        </w:rPr>
        <w:t>dokumentací. Kupující má právo dodávku alternativního plnění odmítnout.</w:t>
      </w:r>
    </w:p>
    <w:p w14:paraId="22384C06" w14:textId="77777777" w:rsidR="00031043" w:rsidRPr="00345CD7" w:rsidRDefault="00031043" w:rsidP="00031043"/>
    <w:p w14:paraId="66067DBB" w14:textId="77777777" w:rsidR="00031043" w:rsidRPr="00E265BC" w:rsidRDefault="00031043" w:rsidP="00031043">
      <w:pPr>
        <w:pStyle w:val="Odstavecsmlouvy"/>
      </w:pPr>
      <w:r w:rsidRPr="00345CD7">
        <w:rPr>
          <w:shd w:val="clear" w:color="auto" w:fill="FFFFFF"/>
        </w:rPr>
        <w:t>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w:t>
      </w:r>
      <w:r w:rsidRPr="00345CD7">
        <w:rPr>
          <w:rFonts w:eastAsia="Arial"/>
          <w:shd w:val="clear" w:color="auto" w:fill="FFFFFF"/>
        </w:rPr>
        <w:t xml:space="preserve">hodnutím SÚKL) nebo z důvodu výpadku dodávek/omezení výroby Zboží (doložené </w:t>
      </w:r>
      <w:r w:rsidRPr="00E265BC">
        <w:rPr>
          <w:rFonts w:eastAsia="Arial"/>
          <w:shd w:val="clear" w:color="auto" w:fill="FFFFFF"/>
        </w:rPr>
        <w:t>prohlášením výrobce Zboží)</w:t>
      </w:r>
      <w:r w:rsidRPr="00E265BC">
        <w:rPr>
          <w:rFonts w:eastAsia="Arial"/>
        </w:rPr>
        <w:t>,</w:t>
      </w:r>
      <w:r w:rsidRPr="00E265BC">
        <w:rPr>
          <w:rFonts w:eastAsia="Arial"/>
          <w:shd w:val="clear" w:color="auto" w:fill="FFFFFF"/>
        </w:rPr>
        <w:t xml:space="preserve"> nevznikne Kupujícímu v těchto případech nárok na úhradu rozdílu v ceně </w:t>
      </w:r>
      <w:r w:rsidRPr="00E265BC">
        <w:t xml:space="preserve">dle </w:t>
      </w:r>
      <w:r w:rsidRPr="00E265BC">
        <w:rPr>
          <w:u w:val="single"/>
        </w:rPr>
        <w:t xml:space="preserve">čl. IV. </w:t>
      </w:r>
      <w:proofErr w:type="gramStart"/>
      <w:r w:rsidRPr="00E265BC">
        <w:rPr>
          <w:u w:val="single"/>
        </w:rPr>
        <w:t>odst.12</w:t>
      </w:r>
      <w:proofErr w:type="gramEnd"/>
      <w:r w:rsidRPr="00E265BC">
        <w:rPr>
          <w:u w:val="single"/>
        </w:rPr>
        <w:t xml:space="preserve"> této smlouvy</w:t>
      </w:r>
      <w:r w:rsidRPr="00E265BC">
        <w:rPr>
          <w:rFonts w:eastAsia="Arial"/>
          <w:shd w:val="clear" w:color="auto" w:fill="FFFFFF"/>
        </w:rPr>
        <w:t>.</w:t>
      </w:r>
      <w:r w:rsidRPr="00E265BC">
        <w:rPr>
          <w:shd w:val="clear" w:color="auto" w:fill="FFFFFF"/>
        </w:rPr>
        <w:t xml:space="preserve"> Prodávající je povinen doložit Kupujícímu podklady prokazující výše uvedené důvody prodlení nejpozději do 48 hodin od uplynutí termínu pro dodání Zboží dle této smlouvy, nedohodnou-li se smluvní strany jinak. </w:t>
      </w:r>
      <w:r w:rsidRPr="00E265BC">
        <w:rPr>
          <w:u w:val="single"/>
          <w:shd w:val="clear" w:color="auto" w:fill="FFFFFF"/>
        </w:rPr>
        <w:t xml:space="preserve">Zařazení Zboží do tzv. systému rezervních zásob prodávajícího nezprošťuje povinnosti uhradit kupujícímu rozdíl v ceně dle čl. IV. </w:t>
      </w:r>
      <w:proofErr w:type="gramStart"/>
      <w:r w:rsidRPr="00E265BC">
        <w:rPr>
          <w:u w:val="single"/>
          <w:shd w:val="clear" w:color="auto" w:fill="FFFFFF"/>
        </w:rPr>
        <w:t>odst.12</w:t>
      </w:r>
      <w:proofErr w:type="gramEnd"/>
      <w:r w:rsidRPr="00E265BC">
        <w:rPr>
          <w:u w:val="single"/>
          <w:shd w:val="clear" w:color="auto" w:fill="FFFFFF"/>
        </w:rPr>
        <w:t xml:space="preserve"> této smlouvy.</w:t>
      </w:r>
    </w:p>
    <w:p w14:paraId="1EE052D0" w14:textId="77777777" w:rsidR="00E84B32" w:rsidRPr="00E265BC" w:rsidRDefault="00E84B32" w:rsidP="00E84B32">
      <w:pPr>
        <w:pStyle w:val="Odstavecsmlouvy"/>
        <w:numPr>
          <w:ilvl w:val="0"/>
          <w:numId w:val="0"/>
        </w:numPr>
        <w:ind w:left="567"/>
      </w:pPr>
    </w:p>
    <w:p w14:paraId="1ED5AE10" w14:textId="77777777" w:rsidR="00E84B32" w:rsidRDefault="00E84B32" w:rsidP="00E84B32">
      <w:pPr>
        <w:pStyle w:val="Odstavecsmlouvy"/>
      </w:pPr>
      <w:r w:rsidRPr="00031043">
        <w:t>V případě, že orgán státního dohledu nařídí stažení některého Zboží z oběhu, které již Prodávající dodal Kupujícímu, je Prodávající povinen toto Zboží od Kupujícího na vlastní</w:t>
      </w:r>
      <w:r>
        <w:t xml:space="preserve"> náklady odebrat zpět a Kupní cenu tohoto zboží Kupujícímu vrátit, případně po dohodě s Kupujícím dodat Zboží náhradní.</w:t>
      </w:r>
    </w:p>
    <w:p w14:paraId="06834DA5" w14:textId="77777777" w:rsidR="00E84B32" w:rsidRDefault="00E84B32" w:rsidP="00E84B32"/>
    <w:p w14:paraId="76465E66" w14:textId="3FEA9C0B"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proofErr w:type="spellStart"/>
      <w:r w:rsidR="001B3966">
        <w:t>xxxxxxxxxxxxxxxxxxxx</w:t>
      </w:r>
      <w:proofErr w:type="spellEnd"/>
      <w:r w:rsidR="001B3966">
        <w:t>.</w:t>
      </w:r>
    </w:p>
    <w:p w14:paraId="62F78F45" w14:textId="77777777" w:rsidR="000C1FD1" w:rsidRPr="002B77A6" w:rsidRDefault="000C1FD1" w:rsidP="000C1FD1">
      <w:pPr>
        <w:pStyle w:val="Nadpis1"/>
      </w:pPr>
      <w:r>
        <w:lastRenderedPageBreak/>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A49B799" w14:textId="77777777" w:rsidR="00C16FBA" w:rsidRPr="00C16FBA" w:rsidRDefault="000C1FD1" w:rsidP="00C16FBA">
      <w:pPr>
        <w:pStyle w:val="Odstavecsmlouvy"/>
        <w:numPr>
          <w:ilvl w:val="1"/>
          <w:numId w:val="25"/>
        </w:numPr>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C16FBA" w:rsidRPr="00C16FBA">
        <w:t xml:space="preserve">ve formě tzv. sběrných faktur v denním intervalu. </w:t>
      </w:r>
    </w:p>
    <w:p w14:paraId="62F78F54" w14:textId="29155C0C" w:rsidR="000C1FD1" w:rsidRDefault="000C1FD1" w:rsidP="00E94FB5">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3F21B2B1" w14:textId="77777777" w:rsidR="009F46AC" w:rsidRDefault="0010739D" w:rsidP="009F46AC">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1008FE0E" w14:textId="77777777" w:rsidR="009F46AC" w:rsidRDefault="009F46AC" w:rsidP="009F46AC">
      <w:pPr>
        <w:pStyle w:val="Odstavecsmlouvy"/>
        <w:numPr>
          <w:ilvl w:val="0"/>
          <w:numId w:val="0"/>
        </w:numPr>
        <w:ind w:left="567"/>
      </w:pPr>
    </w:p>
    <w:p w14:paraId="54FD7BBA" w14:textId="406D6F4E" w:rsidR="009F46AC" w:rsidRPr="00345CD7" w:rsidRDefault="009F46AC" w:rsidP="009F46AC">
      <w:pPr>
        <w:pStyle w:val="Odstavecsmlouvy"/>
      </w:pPr>
      <w:r w:rsidRPr="00345CD7">
        <w:rPr>
          <w:color w:val="000000"/>
        </w:rPr>
        <w:t xml:space="preserve">Odmítne-li prodávající objednávku kupujícího či její část z důvodu stahování zboží z trhu na základě rozhodnutí SÚKL (doložené příslušným rozhodnutím SÚKL), nebo z důvodu výpadku </w:t>
      </w:r>
      <w:r w:rsidRPr="00345CD7">
        <w:t>dodávek/omezení výroby zboží delšího než dva měsíce (doložené prohlášením výrobce zboží),</w:t>
      </w:r>
      <w:r w:rsidRPr="00345CD7">
        <w:rPr>
          <w:shd w:val="clear" w:color="auto" w:fill="FFFFFF"/>
        </w:rPr>
        <w:t xml:space="preserve"> </w:t>
      </w:r>
      <w:r w:rsidRPr="00345CD7">
        <w:t xml:space="preserve">nevznikne kupujícímu v těchto případech nárok na úhradu rozdílu v ceně dle odst. 1 tohoto článku. Prodávající je povinen doložit kupujícímu podklady prokazující </w:t>
      </w:r>
      <w:r w:rsidRPr="00345CD7">
        <w:rPr>
          <w:color w:val="000000"/>
        </w:rPr>
        <w:t xml:space="preserve">výše uvedené důvody prodlení nejpozději do 48 hodin od uplynutí termínu pro dodání zboží dle této smlouvy, nedohodnou-li se smluvní strany jinak. </w:t>
      </w:r>
      <w:r w:rsidRPr="00345CD7">
        <w:t>Zařazení zboží do tzv. systému rezervních zásob prodávajícího nezprošťuje povinnosti uhradit kupujícímu rozdíl v ceně dle odst. 1 tohoto článku.</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6B53843A" w14:textId="76BE724E" w:rsidR="00456855" w:rsidRPr="00E265BC" w:rsidRDefault="0010739D" w:rsidP="0010739D">
      <w:pPr>
        <w:pStyle w:val="Odstavecsmlouvy"/>
      </w:pPr>
      <w:r w:rsidRPr="00D24606">
        <w:t>Zaplacením penalizační faktury není dotčeno právo kupujícího na náhradu škody v plné výši.</w:t>
      </w:r>
    </w:p>
    <w:p w14:paraId="7E04941C" w14:textId="77777777" w:rsidR="00456855" w:rsidRPr="002B77A6" w:rsidRDefault="00456855"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7777777"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10EF945" w14:textId="77777777" w:rsidR="00626766" w:rsidRDefault="00626766" w:rsidP="00626766">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77777777" w:rsidR="007426B4" w:rsidRPr="00766CF0" w:rsidRDefault="007426B4" w:rsidP="007426B4">
      <w:pPr>
        <w:pStyle w:val="Odstavecsmlouvy"/>
        <w:rPr>
          <w:snapToGrid w:val="0"/>
        </w:rPr>
      </w:pPr>
      <w:r w:rsidRPr="00766CF0">
        <w:rPr>
          <w:snapToGrid w:val="0"/>
        </w:rPr>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426" w:type="dxa"/>
        <w:tblLook w:val="04A0" w:firstRow="1" w:lastRow="0" w:firstColumn="1" w:lastColumn="0" w:noHBand="0" w:noVBand="1"/>
      </w:tblPr>
      <w:tblGrid>
        <w:gridCol w:w="4394"/>
        <w:gridCol w:w="958"/>
        <w:gridCol w:w="4212"/>
      </w:tblGrid>
      <w:tr w:rsidR="004A45B0" w:rsidRPr="00D722DC" w14:paraId="62F78FAD" w14:textId="77777777" w:rsidTr="00C16FBA">
        <w:trPr>
          <w:trHeight w:val="95"/>
        </w:trPr>
        <w:tc>
          <w:tcPr>
            <w:tcW w:w="4394" w:type="dxa"/>
            <w:shd w:val="clear" w:color="auto" w:fill="auto"/>
          </w:tcPr>
          <w:p w14:paraId="62F78FAA" w14:textId="267130B5"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C16FBA">
              <w:rPr>
                <w:sz w:val="22"/>
                <w:szCs w:val="22"/>
              </w:rPr>
              <w:t>Praze</w:t>
            </w:r>
            <w:r w:rsidRPr="00D722DC">
              <w:rPr>
                <w:sz w:val="22"/>
                <w:szCs w:val="22"/>
              </w:rPr>
              <w:t xml:space="preserve"> dne</w:t>
            </w:r>
            <w:r w:rsidR="001B3966">
              <w:rPr>
                <w:sz w:val="22"/>
                <w:szCs w:val="22"/>
              </w:rPr>
              <w:t xml:space="preserve"> 5. 4. 2024</w:t>
            </w:r>
          </w:p>
        </w:tc>
        <w:tc>
          <w:tcPr>
            <w:tcW w:w="958"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5F665A02"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1B3966">
              <w:rPr>
                <w:sz w:val="22"/>
                <w:szCs w:val="22"/>
              </w:rPr>
              <w:t xml:space="preserve"> 11. 4. 2024</w:t>
            </w:r>
          </w:p>
        </w:tc>
      </w:tr>
      <w:tr w:rsidR="004A45B0" w:rsidRPr="00D722DC" w14:paraId="62F78FB6" w14:textId="77777777" w:rsidTr="00C16FBA">
        <w:tc>
          <w:tcPr>
            <w:tcW w:w="4394"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958"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C16FBA">
        <w:tc>
          <w:tcPr>
            <w:tcW w:w="4394" w:type="dxa"/>
            <w:tcBorders>
              <w:top w:val="single" w:sz="4" w:space="0" w:color="auto"/>
            </w:tcBorders>
            <w:shd w:val="clear" w:color="auto" w:fill="auto"/>
          </w:tcPr>
          <w:p w14:paraId="4FAB802E" w14:textId="77777777" w:rsidR="00C16FBA" w:rsidRPr="00C16FBA" w:rsidRDefault="00C16FBA" w:rsidP="00C16FBA">
            <w:pPr>
              <w:tabs>
                <w:tab w:val="left" w:pos="-3119"/>
                <w:tab w:val="left" w:pos="-2977"/>
                <w:tab w:val="num" w:pos="567"/>
              </w:tabs>
              <w:overflowPunct w:val="0"/>
              <w:autoSpaceDE w:val="0"/>
              <w:autoSpaceDN w:val="0"/>
              <w:adjustRightInd w:val="0"/>
              <w:rPr>
                <w:b/>
              </w:rPr>
            </w:pPr>
            <w:r w:rsidRPr="00C16FBA">
              <w:rPr>
                <w:b/>
              </w:rPr>
              <w:t>PHOENIX lékárenský velkoobchod s.r.o.</w:t>
            </w:r>
          </w:p>
          <w:p w14:paraId="62F78FB8" w14:textId="016134F7" w:rsidR="004A45B0" w:rsidRPr="00D722DC" w:rsidRDefault="00C16FBA" w:rsidP="00C16FBA">
            <w:pPr>
              <w:pStyle w:val="slovn"/>
              <w:numPr>
                <w:ilvl w:val="0"/>
                <w:numId w:val="0"/>
              </w:numPr>
              <w:tabs>
                <w:tab w:val="num" w:pos="567"/>
              </w:tabs>
              <w:spacing w:after="0" w:line="280" w:lineRule="atLeast"/>
              <w:jc w:val="center"/>
              <w:rPr>
                <w:sz w:val="22"/>
                <w:szCs w:val="22"/>
              </w:rPr>
            </w:pPr>
            <w:r w:rsidRPr="00C16FBA">
              <w:rPr>
                <w:sz w:val="22"/>
                <w:szCs w:val="22"/>
              </w:rPr>
              <w:t xml:space="preserve"> Pavla Řezníčková, na základě plné moci</w:t>
            </w:r>
          </w:p>
        </w:tc>
        <w:tc>
          <w:tcPr>
            <w:tcW w:w="958"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3594D963" w14:textId="6C72EE13" w:rsidR="00B23D81" w:rsidRDefault="00B23D81" w:rsidP="00575F84">
      <w:r>
        <w:t>Nabídkové ceny</w:t>
      </w:r>
    </w:p>
    <w:p w14:paraId="62F78FC4" w14:textId="77777777" w:rsidR="00AA34DF" w:rsidRDefault="00AA34DF" w:rsidP="00023008"/>
    <w:tbl>
      <w:tblPr>
        <w:tblW w:w="10449" w:type="dxa"/>
        <w:tblCellMar>
          <w:left w:w="70" w:type="dxa"/>
          <w:right w:w="70" w:type="dxa"/>
        </w:tblCellMar>
        <w:tblLook w:val="04A0" w:firstRow="1" w:lastRow="0" w:firstColumn="1" w:lastColumn="0" w:noHBand="0" w:noVBand="1"/>
      </w:tblPr>
      <w:tblGrid>
        <w:gridCol w:w="1195"/>
        <w:gridCol w:w="2284"/>
        <w:gridCol w:w="1033"/>
        <w:gridCol w:w="2028"/>
        <w:gridCol w:w="1680"/>
        <w:gridCol w:w="2229"/>
      </w:tblGrid>
      <w:tr w:rsidR="003B4C41" w:rsidRPr="003B4C41" w14:paraId="374F7884" w14:textId="77777777" w:rsidTr="001B3966">
        <w:trPr>
          <w:trHeight w:val="580"/>
        </w:trPr>
        <w:tc>
          <w:tcPr>
            <w:tcW w:w="12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BA02A3" w14:textId="77777777" w:rsidR="003B4C41" w:rsidRPr="003B4C41" w:rsidRDefault="003B4C41" w:rsidP="003B4C41">
            <w:pPr>
              <w:spacing w:line="240" w:lineRule="auto"/>
            </w:pPr>
            <w:r w:rsidRPr="003B4C41">
              <w:t>Kód SÚKL</w:t>
            </w:r>
          </w:p>
        </w:tc>
        <w:tc>
          <w:tcPr>
            <w:tcW w:w="2512" w:type="dxa"/>
            <w:tcBorders>
              <w:top w:val="single" w:sz="8" w:space="0" w:color="000000"/>
              <w:left w:val="nil"/>
              <w:bottom w:val="single" w:sz="8" w:space="0" w:color="000000"/>
              <w:right w:val="single" w:sz="8" w:space="0" w:color="000000"/>
            </w:tcBorders>
            <w:shd w:val="clear" w:color="auto" w:fill="auto"/>
            <w:vAlign w:val="center"/>
            <w:hideMark/>
          </w:tcPr>
          <w:p w14:paraId="6C03F61D" w14:textId="71604C9F" w:rsidR="003B4C41" w:rsidRPr="003B4C41" w:rsidRDefault="003B4C41" w:rsidP="003B4C41">
            <w:pPr>
              <w:spacing w:line="240" w:lineRule="auto"/>
              <w:jc w:val="left"/>
            </w:pPr>
            <w:r w:rsidRPr="003B4C41">
              <w:t>Název léčivého</w:t>
            </w:r>
            <w:r>
              <w:t xml:space="preserve"> </w:t>
            </w:r>
            <w:r w:rsidRPr="003B4C41">
              <w:t>přípravku</w:t>
            </w:r>
          </w:p>
        </w:tc>
        <w:tc>
          <w:tcPr>
            <w:tcW w:w="1033" w:type="dxa"/>
            <w:tcBorders>
              <w:top w:val="single" w:sz="8" w:space="0" w:color="000000"/>
              <w:left w:val="nil"/>
              <w:bottom w:val="single" w:sz="8" w:space="0" w:color="000000"/>
              <w:right w:val="single" w:sz="8" w:space="0" w:color="000000"/>
            </w:tcBorders>
            <w:shd w:val="clear" w:color="auto" w:fill="auto"/>
            <w:vAlign w:val="center"/>
            <w:hideMark/>
          </w:tcPr>
          <w:p w14:paraId="6F059AA3" w14:textId="77777777" w:rsidR="003B4C41" w:rsidRPr="003B4C41" w:rsidRDefault="003B4C41" w:rsidP="003B4C41">
            <w:pPr>
              <w:spacing w:line="240" w:lineRule="auto"/>
            </w:pPr>
            <w:r w:rsidRPr="003B4C41">
              <w:t>balení</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50A52D4" w14:textId="5F1CF467" w:rsidR="003B4C41" w:rsidRPr="003B4C41" w:rsidRDefault="003B4C41" w:rsidP="003B4C41">
            <w:pPr>
              <w:spacing w:line="240" w:lineRule="auto"/>
              <w:jc w:val="left"/>
            </w:pPr>
            <w:r w:rsidRPr="003B4C41">
              <w:t>Cena v Kč bez</w:t>
            </w:r>
            <w:r>
              <w:t xml:space="preserve"> </w:t>
            </w:r>
            <w:r w:rsidRPr="003B4C41">
              <w:t>DPH</w:t>
            </w:r>
          </w:p>
        </w:tc>
        <w:tc>
          <w:tcPr>
            <w:tcW w:w="1140" w:type="dxa"/>
            <w:tcBorders>
              <w:top w:val="single" w:sz="8" w:space="0" w:color="000000"/>
              <w:left w:val="nil"/>
              <w:bottom w:val="single" w:sz="8" w:space="0" w:color="000000"/>
              <w:right w:val="single" w:sz="8" w:space="0" w:color="000000"/>
            </w:tcBorders>
            <w:shd w:val="clear" w:color="auto" w:fill="auto"/>
            <w:vAlign w:val="center"/>
            <w:hideMark/>
          </w:tcPr>
          <w:p w14:paraId="38187358" w14:textId="77777777" w:rsidR="003B4C41" w:rsidRPr="003B4C41" w:rsidRDefault="003B4C41" w:rsidP="003B4C41">
            <w:pPr>
              <w:spacing w:line="240" w:lineRule="auto"/>
            </w:pPr>
            <w:r w:rsidRPr="003B4C41">
              <w:t>DPH 12%</w:t>
            </w:r>
          </w:p>
        </w:tc>
        <w:tc>
          <w:tcPr>
            <w:tcW w:w="2385" w:type="dxa"/>
            <w:tcBorders>
              <w:top w:val="single" w:sz="8" w:space="0" w:color="000000"/>
              <w:left w:val="nil"/>
              <w:bottom w:val="single" w:sz="8" w:space="0" w:color="000000"/>
              <w:right w:val="single" w:sz="8" w:space="0" w:color="000000"/>
            </w:tcBorders>
            <w:shd w:val="clear" w:color="auto" w:fill="auto"/>
            <w:vAlign w:val="center"/>
            <w:hideMark/>
          </w:tcPr>
          <w:p w14:paraId="1D0DD921" w14:textId="77777777" w:rsidR="003B4C41" w:rsidRPr="003B4C41" w:rsidRDefault="003B4C41" w:rsidP="003B4C41">
            <w:pPr>
              <w:spacing w:line="240" w:lineRule="auto"/>
              <w:jc w:val="left"/>
            </w:pPr>
            <w:r w:rsidRPr="003B4C41">
              <w:t>Cena v Kč včetně DPH</w:t>
            </w:r>
          </w:p>
        </w:tc>
      </w:tr>
      <w:tr w:rsidR="001B3966" w:rsidRPr="003B4C41" w14:paraId="1F1589D1" w14:textId="77777777" w:rsidTr="001B3966">
        <w:trPr>
          <w:trHeight w:val="580"/>
        </w:trPr>
        <w:tc>
          <w:tcPr>
            <w:tcW w:w="1252" w:type="dxa"/>
            <w:tcBorders>
              <w:top w:val="nil"/>
              <w:left w:val="single" w:sz="8" w:space="0" w:color="000000"/>
              <w:bottom w:val="single" w:sz="8" w:space="0" w:color="000000"/>
              <w:right w:val="single" w:sz="8" w:space="0" w:color="000000"/>
            </w:tcBorders>
            <w:shd w:val="clear" w:color="auto" w:fill="auto"/>
            <w:vAlign w:val="center"/>
            <w:hideMark/>
          </w:tcPr>
          <w:p w14:paraId="7ECF3C43" w14:textId="77777777" w:rsidR="001B3966" w:rsidRPr="003B4C41" w:rsidRDefault="001B3966" w:rsidP="001B3966">
            <w:pPr>
              <w:spacing w:line="240" w:lineRule="auto"/>
            </w:pPr>
            <w:r w:rsidRPr="003B4C41">
              <w:t>0209320</w:t>
            </w:r>
          </w:p>
        </w:tc>
        <w:tc>
          <w:tcPr>
            <w:tcW w:w="2512" w:type="dxa"/>
            <w:tcBorders>
              <w:top w:val="nil"/>
              <w:left w:val="nil"/>
              <w:bottom w:val="single" w:sz="8" w:space="0" w:color="000000"/>
              <w:right w:val="single" w:sz="8" w:space="0" w:color="000000"/>
            </w:tcBorders>
            <w:shd w:val="clear" w:color="auto" w:fill="auto"/>
            <w:vAlign w:val="center"/>
            <w:hideMark/>
          </w:tcPr>
          <w:p w14:paraId="6F47CE26" w14:textId="77777777" w:rsidR="001B3966" w:rsidRPr="003B4C41" w:rsidRDefault="001B3966" w:rsidP="001B3966">
            <w:pPr>
              <w:spacing w:line="240" w:lineRule="auto"/>
            </w:pPr>
            <w:proofErr w:type="spellStart"/>
            <w:r w:rsidRPr="003B4C41">
              <w:t>Lonsurf</w:t>
            </w:r>
            <w:proofErr w:type="spellEnd"/>
            <w:r w:rsidRPr="003B4C41">
              <w:t xml:space="preserve"> 15mg/6.14mg </w:t>
            </w:r>
          </w:p>
        </w:tc>
        <w:tc>
          <w:tcPr>
            <w:tcW w:w="1033" w:type="dxa"/>
            <w:tcBorders>
              <w:top w:val="nil"/>
              <w:left w:val="nil"/>
              <w:bottom w:val="single" w:sz="8" w:space="0" w:color="000000"/>
              <w:right w:val="single" w:sz="8" w:space="0" w:color="000000"/>
            </w:tcBorders>
            <w:shd w:val="clear" w:color="auto" w:fill="auto"/>
            <w:vAlign w:val="center"/>
            <w:hideMark/>
          </w:tcPr>
          <w:p w14:paraId="30BC72BB" w14:textId="77777777" w:rsidR="001B3966" w:rsidRPr="003B4C41" w:rsidRDefault="001B3966" w:rsidP="001B3966">
            <w:pPr>
              <w:spacing w:line="240" w:lineRule="auto"/>
            </w:pPr>
            <w:r w:rsidRPr="003B4C41">
              <w:t>tbl.flm.20</w:t>
            </w:r>
          </w:p>
        </w:tc>
        <w:tc>
          <w:tcPr>
            <w:tcW w:w="2127" w:type="dxa"/>
            <w:tcBorders>
              <w:top w:val="nil"/>
              <w:left w:val="nil"/>
              <w:bottom w:val="single" w:sz="8" w:space="0" w:color="000000"/>
              <w:right w:val="single" w:sz="8" w:space="0" w:color="000000"/>
            </w:tcBorders>
            <w:shd w:val="clear" w:color="auto" w:fill="auto"/>
            <w:hideMark/>
          </w:tcPr>
          <w:p w14:paraId="488A2B34" w14:textId="55488259" w:rsidR="001B3966" w:rsidRPr="003B4C41" w:rsidRDefault="001B3966" w:rsidP="001B3966">
            <w:pPr>
              <w:spacing w:line="240" w:lineRule="auto"/>
              <w:jc w:val="right"/>
            </w:pPr>
            <w:proofErr w:type="spellStart"/>
            <w:r w:rsidRPr="00906AD8">
              <w:t>xxxxxxxxxxxxxx</w:t>
            </w:r>
            <w:proofErr w:type="spellEnd"/>
          </w:p>
        </w:tc>
        <w:tc>
          <w:tcPr>
            <w:tcW w:w="1140" w:type="dxa"/>
            <w:tcBorders>
              <w:top w:val="nil"/>
              <w:left w:val="nil"/>
              <w:bottom w:val="single" w:sz="8" w:space="0" w:color="000000"/>
              <w:right w:val="single" w:sz="8" w:space="0" w:color="000000"/>
            </w:tcBorders>
            <w:shd w:val="clear" w:color="auto" w:fill="auto"/>
            <w:hideMark/>
          </w:tcPr>
          <w:p w14:paraId="77A8375D" w14:textId="6F28A7E9" w:rsidR="001B3966" w:rsidRPr="003B4C41" w:rsidRDefault="001B3966" w:rsidP="001B3966">
            <w:pPr>
              <w:spacing w:line="240" w:lineRule="auto"/>
              <w:jc w:val="right"/>
            </w:pPr>
            <w:proofErr w:type="spellStart"/>
            <w:r w:rsidRPr="00906AD8">
              <w:t>xxxxxxxxxxxxxx</w:t>
            </w:r>
            <w:proofErr w:type="spellEnd"/>
          </w:p>
        </w:tc>
        <w:tc>
          <w:tcPr>
            <w:tcW w:w="2385" w:type="dxa"/>
            <w:tcBorders>
              <w:top w:val="nil"/>
              <w:left w:val="nil"/>
              <w:bottom w:val="single" w:sz="8" w:space="0" w:color="000000"/>
              <w:right w:val="single" w:sz="8" w:space="0" w:color="000000"/>
            </w:tcBorders>
            <w:shd w:val="clear" w:color="auto" w:fill="auto"/>
            <w:hideMark/>
          </w:tcPr>
          <w:p w14:paraId="0B60E3F3" w14:textId="13FF059B" w:rsidR="001B3966" w:rsidRPr="003B4C41" w:rsidRDefault="001B3966" w:rsidP="001B3966">
            <w:pPr>
              <w:spacing w:line="240" w:lineRule="auto"/>
              <w:jc w:val="right"/>
            </w:pPr>
            <w:proofErr w:type="spellStart"/>
            <w:r w:rsidRPr="00906AD8">
              <w:t>xxxxxxxxxxxxxx</w:t>
            </w:r>
            <w:proofErr w:type="spellEnd"/>
          </w:p>
        </w:tc>
      </w:tr>
      <w:tr w:rsidR="001B3966" w:rsidRPr="003B4C41" w14:paraId="0A2C5178" w14:textId="77777777" w:rsidTr="001B3966">
        <w:trPr>
          <w:trHeight w:val="580"/>
        </w:trPr>
        <w:tc>
          <w:tcPr>
            <w:tcW w:w="1252" w:type="dxa"/>
            <w:tcBorders>
              <w:top w:val="nil"/>
              <w:left w:val="single" w:sz="8" w:space="0" w:color="000000"/>
              <w:bottom w:val="single" w:sz="8" w:space="0" w:color="000000"/>
              <w:right w:val="single" w:sz="8" w:space="0" w:color="000000"/>
            </w:tcBorders>
            <w:shd w:val="clear" w:color="auto" w:fill="auto"/>
            <w:vAlign w:val="center"/>
            <w:hideMark/>
          </w:tcPr>
          <w:p w14:paraId="1854D4AB" w14:textId="77777777" w:rsidR="001B3966" w:rsidRPr="003B4C41" w:rsidRDefault="001B3966" w:rsidP="001B3966">
            <w:pPr>
              <w:spacing w:line="240" w:lineRule="auto"/>
            </w:pPr>
            <w:r w:rsidRPr="003B4C41">
              <w:t>0209323</w:t>
            </w:r>
          </w:p>
        </w:tc>
        <w:tc>
          <w:tcPr>
            <w:tcW w:w="2512" w:type="dxa"/>
            <w:tcBorders>
              <w:top w:val="nil"/>
              <w:left w:val="nil"/>
              <w:bottom w:val="single" w:sz="8" w:space="0" w:color="000000"/>
              <w:right w:val="single" w:sz="8" w:space="0" w:color="000000"/>
            </w:tcBorders>
            <w:shd w:val="clear" w:color="auto" w:fill="auto"/>
            <w:vAlign w:val="center"/>
            <w:hideMark/>
          </w:tcPr>
          <w:p w14:paraId="096F7160" w14:textId="77777777" w:rsidR="001B3966" w:rsidRPr="003B4C41" w:rsidRDefault="001B3966" w:rsidP="001B3966">
            <w:pPr>
              <w:spacing w:line="240" w:lineRule="auto"/>
            </w:pPr>
            <w:proofErr w:type="spellStart"/>
            <w:r w:rsidRPr="003B4C41">
              <w:t>Lonsurf</w:t>
            </w:r>
            <w:proofErr w:type="spellEnd"/>
            <w:r w:rsidRPr="003B4C41">
              <w:t xml:space="preserve"> 20mg/8.19mg </w:t>
            </w:r>
          </w:p>
        </w:tc>
        <w:tc>
          <w:tcPr>
            <w:tcW w:w="1033" w:type="dxa"/>
            <w:tcBorders>
              <w:top w:val="nil"/>
              <w:left w:val="nil"/>
              <w:bottom w:val="single" w:sz="8" w:space="0" w:color="000000"/>
              <w:right w:val="single" w:sz="8" w:space="0" w:color="000000"/>
            </w:tcBorders>
            <w:shd w:val="clear" w:color="auto" w:fill="auto"/>
            <w:vAlign w:val="center"/>
            <w:hideMark/>
          </w:tcPr>
          <w:p w14:paraId="135D2DC5" w14:textId="77777777" w:rsidR="001B3966" w:rsidRPr="003B4C41" w:rsidRDefault="001B3966" w:rsidP="001B3966">
            <w:pPr>
              <w:spacing w:line="240" w:lineRule="auto"/>
            </w:pPr>
            <w:r w:rsidRPr="003B4C41">
              <w:t>tbl.flm.20</w:t>
            </w:r>
          </w:p>
        </w:tc>
        <w:tc>
          <w:tcPr>
            <w:tcW w:w="2127" w:type="dxa"/>
            <w:tcBorders>
              <w:top w:val="nil"/>
              <w:left w:val="nil"/>
              <w:bottom w:val="single" w:sz="8" w:space="0" w:color="000000"/>
              <w:right w:val="single" w:sz="8" w:space="0" w:color="000000"/>
            </w:tcBorders>
            <w:shd w:val="clear" w:color="auto" w:fill="auto"/>
            <w:hideMark/>
          </w:tcPr>
          <w:p w14:paraId="78B19363" w14:textId="5515DF4E" w:rsidR="001B3966" w:rsidRPr="003B4C41" w:rsidRDefault="001B3966" w:rsidP="001B3966">
            <w:pPr>
              <w:spacing w:line="240" w:lineRule="auto"/>
              <w:jc w:val="right"/>
            </w:pPr>
            <w:proofErr w:type="spellStart"/>
            <w:r w:rsidRPr="00906AD8">
              <w:t>xxxxxxxxxxxxxx</w:t>
            </w:r>
            <w:proofErr w:type="spellEnd"/>
          </w:p>
        </w:tc>
        <w:tc>
          <w:tcPr>
            <w:tcW w:w="1140" w:type="dxa"/>
            <w:tcBorders>
              <w:top w:val="nil"/>
              <w:left w:val="nil"/>
              <w:bottom w:val="single" w:sz="8" w:space="0" w:color="000000"/>
              <w:right w:val="single" w:sz="8" w:space="0" w:color="000000"/>
            </w:tcBorders>
            <w:shd w:val="clear" w:color="auto" w:fill="auto"/>
            <w:hideMark/>
          </w:tcPr>
          <w:p w14:paraId="4F703F57" w14:textId="78965976" w:rsidR="001B3966" w:rsidRPr="003B4C41" w:rsidRDefault="001B3966" w:rsidP="001B3966">
            <w:pPr>
              <w:spacing w:line="240" w:lineRule="auto"/>
              <w:jc w:val="right"/>
            </w:pPr>
            <w:proofErr w:type="spellStart"/>
            <w:r w:rsidRPr="00906AD8">
              <w:t>xxxxxxxxxxxxxx</w:t>
            </w:r>
            <w:proofErr w:type="spellEnd"/>
          </w:p>
        </w:tc>
        <w:tc>
          <w:tcPr>
            <w:tcW w:w="2385" w:type="dxa"/>
            <w:tcBorders>
              <w:top w:val="nil"/>
              <w:left w:val="nil"/>
              <w:bottom w:val="single" w:sz="8" w:space="0" w:color="000000"/>
              <w:right w:val="single" w:sz="8" w:space="0" w:color="000000"/>
            </w:tcBorders>
            <w:shd w:val="clear" w:color="auto" w:fill="auto"/>
            <w:hideMark/>
          </w:tcPr>
          <w:p w14:paraId="203AC88B" w14:textId="054E68C9" w:rsidR="001B3966" w:rsidRPr="003B4C41" w:rsidRDefault="001B3966" w:rsidP="001B3966">
            <w:pPr>
              <w:spacing w:line="240" w:lineRule="auto"/>
              <w:jc w:val="right"/>
            </w:pPr>
            <w:proofErr w:type="spellStart"/>
            <w:r w:rsidRPr="00906AD8">
              <w:t>xxxxxxxxxxxxxx</w:t>
            </w:r>
            <w:proofErr w:type="spellEnd"/>
          </w:p>
        </w:tc>
      </w:tr>
    </w:tbl>
    <w:p w14:paraId="03389445" w14:textId="485D0F28" w:rsidR="00B23D81" w:rsidRDefault="00B23D81" w:rsidP="00023008">
      <w:bookmarkStart w:id="9" w:name="_GoBack"/>
      <w:bookmarkEnd w:id="9"/>
    </w:p>
    <w:sectPr w:rsidR="00B23D81" w:rsidSect="00B23D8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B3966">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1B3966">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1043"/>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5882"/>
    <w:rsid w:val="001976E5"/>
    <w:rsid w:val="001A1056"/>
    <w:rsid w:val="001A2FBC"/>
    <w:rsid w:val="001A3AA2"/>
    <w:rsid w:val="001B0682"/>
    <w:rsid w:val="001B1B66"/>
    <w:rsid w:val="001B39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5CD7"/>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4C41"/>
    <w:rsid w:val="003B5938"/>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1987"/>
    <w:rsid w:val="00422172"/>
    <w:rsid w:val="00430BDA"/>
    <w:rsid w:val="00431386"/>
    <w:rsid w:val="00432606"/>
    <w:rsid w:val="00434D5D"/>
    <w:rsid w:val="00437306"/>
    <w:rsid w:val="004446EF"/>
    <w:rsid w:val="00451B43"/>
    <w:rsid w:val="00453ACB"/>
    <w:rsid w:val="00456855"/>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5FAE"/>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5E"/>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D3A"/>
    <w:rsid w:val="00920387"/>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366C"/>
    <w:rsid w:val="009A4267"/>
    <w:rsid w:val="009B0178"/>
    <w:rsid w:val="009B37EC"/>
    <w:rsid w:val="009B5A6C"/>
    <w:rsid w:val="009C3B3B"/>
    <w:rsid w:val="009C75CE"/>
    <w:rsid w:val="009D4364"/>
    <w:rsid w:val="009D5C65"/>
    <w:rsid w:val="009D6F7A"/>
    <w:rsid w:val="009F46AC"/>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D81"/>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6FBA"/>
    <w:rsid w:val="00C17096"/>
    <w:rsid w:val="00C20145"/>
    <w:rsid w:val="00C236C0"/>
    <w:rsid w:val="00C276AC"/>
    <w:rsid w:val="00C27BB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0F2C"/>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24B9"/>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5BC"/>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A5548"/>
    <w:rsid w:val="00EB2D15"/>
    <w:rsid w:val="00EB3860"/>
    <w:rsid w:val="00EC330C"/>
    <w:rsid w:val="00EC6A23"/>
    <w:rsid w:val="00ED0547"/>
    <w:rsid w:val="00ED22CB"/>
    <w:rsid w:val="00ED4756"/>
    <w:rsid w:val="00EE44D9"/>
    <w:rsid w:val="00EE6269"/>
    <w:rsid w:val="00EF1C51"/>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304">
      <w:bodyDiv w:val="1"/>
      <w:marLeft w:val="0"/>
      <w:marRight w:val="0"/>
      <w:marTop w:val="0"/>
      <w:marBottom w:val="0"/>
      <w:divBdr>
        <w:top w:val="none" w:sz="0" w:space="0" w:color="auto"/>
        <w:left w:val="none" w:sz="0" w:space="0" w:color="auto"/>
        <w:bottom w:val="none" w:sz="0" w:space="0" w:color="auto"/>
        <w:right w:val="none" w:sz="0" w:space="0" w:color="auto"/>
      </w:divBdr>
    </w:div>
    <w:div w:id="191917862">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103185248">
      <w:bodyDiv w:val="1"/>
      <w:marLeft w:val="0"/>
      <w:marRight w:val="0"/>
      <w:marTop w:val="0"/>
      <w:marBottom w:val="0"/>
      <w:divBdr>
        <w:top w:val="none" w:sz="0" w:space="0" w:color="auto"/>
        <w:left w:val="none" w:sz="0" w:space="0" w:color="auto"/>
        <w:bottom w:val="none" w:sz="0" w:space="0" w:color="auto"/>
        <w:right w:val="none" w:sz="0" w:space="0" w:color="auto"/>
      </w:divBdr>
    </w:div>
    <w:div w:id="1104762547">
      <w:bodyDiv w:val="1"/>
      <w:marLeft w:val="0"/>
      <w:marRight w:val="0"/>
      <w:marTop w:val="0"/>
      <w:marBottom w:val="0"/>
      <w:divBdr>
        <w:top w:val="none" w:sz="0" w:space="0" w:color="auto"/>
        <w:left w:val="none" w:sz="0" w:space="0" w:color="auto"/>
        <w:bottom w:val="none" w:sz="0" w:space="0" w:color="auto"/>
        <w:right w:val="none" w:sz="0" w:space="0" w:color="auto"/>
      </w:divBdr>
    </w:div>
    <w:div w:id="1169100744">
      <w:bodyDiv w:val="1"/>
      <w:marLeft w:val="0"/>
      <w:marRight w:val="0"/>
      <w:marTop w:val="0"/>
      <w:marBottom w:val="0"/>
      <w:divBdr>
        <w:top w:val="none" w:sz="0" w:space="0" w:color="auto"/>
        <w:left w:val="none" w:sz="0" w:space="0" w:color="auto"/>
        <w:bottom w:val="none" w:sz="0" w:space="0" w:color="auto"/>
        <w:right w:val="none" w:sz="0" w:space="0" w:color="auto"/>
      </w:divBdr>
    </w:div>
    <w:div w:id="1616521133">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8c52381-f758-41be-8546-d878b91803ec"/>
    <ds:schemaRef ds:uri="http://www.w3.org/XML/1998/namespace"/>
  </ds:schemaRefs>
</ds:datastoreItem>
</file>

<file path=customXml/itemProps3.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3D131D44-64FD-4947-A9FA-83A780C2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3686</Words>
  <Characters>21494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Havelková Veronika</cp:lastModifiedBy>
  <cp:revision>4</cp:revision>
  <cp:lastPrinted>2024-02-29T12:28:00Z</cp:lastPrinted>
  <dcterms:created xsi:type="dcterms:W3CDTF">2024-02-29T13:04:00Z</dcterms:created>
  <dcterms:modified xsi:type="dcterms:W3CDTF">2024-04-11T12:05:00Z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