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DE" w:rsidRDefault="00DF52BF">
      <w:pPr>
        <w:pStyle w:val="Nadpis10"/>
        <w:framePr w:w="10134" w:h="1948" w:hRule="exact" w:wrap="none" w:vAnchor="page" w:hAnchor="page" w:x="628" w:y="1319"/>
        <w:shd w:val="clear" w:color="auto" w:fill="auto"/>
        <w:spacing w:before="0" w:after="191" w:line="380" w:lineRule="exact"/>
        <w:ind w:right="340"/>
      </w:pPr>
      <w:bookmarkStart w:id="0" w:name="bookmark0"/>
      <w:r>
        <w:t>SMLOUVA O DÍLO</w:t>
      </w:r>
      <w:bookmarkEnd w:id="0"/>
    </w:p>
    <w:p w:rsidR="003854DE" w:rsidRDefault="00DF52BF">
      <w:pPr>
        <w:pStyle w:val="Zkladntext50"/>
        <w:framePr w:w="10134" w:h="1948" w:hRule="exact" w:wrap="none" w:vAnchor="page" w:hAnchor="page" w:x="628" w:y="1319"/>
        <w:shd w:val="clear" w:color="auto" w:fill="auto"/>
        <w:spacing w:before="0" w:after="0"/>
        <w:ind w:right="880"/>
      </w:pPr>
      <w:r>
        <w:t>uzavřená podle ustanovení § 2586 občanského zákoníku č. 89/2012 Sb.</w:t>
      </w:r>
      <w:r>
        <w:br/>
        <w:t>a dle § 12 odst. 3 č. 137/2006 Sb. o veřejných zakázkách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8"/>
        <w:gridCol w:w="5486"/>
      </w:tblGrid>
      <w:tr w:rsidR="003854DE">
        <w:trPr>
          <w:trHeight w:hRule="exact" w:val="90"/>
        </w:trPr>
        <w:tc>
          <w:tcPr>
            <w:tcW w:w="4648" w:type="dxa"/>
            <w:shd w:val="clear" w:color="auto" w:fill="FFFFFF"/>
          </w:tcPr>
          <w:p w:rsidR="003854DE" w:rsidRDefault="003854DE">
            <w:pPr>
              <w:framePr w:w="10134" w:h="10627" w:wrap="none" w:vAnchor="page" w:hAnchor="page" w:x="628" w:y="3625"/>
              <w:rPr>
                <w:sz w:val="10"/>
                <w:szCs w:val="10"/>
              </w:rPr>
            </w:pPr>
          </w:p>
        </w:tc>
        <w:tc>
          <w:tcPr>
            <w:tcW w:w="5486" w:type="dxa"/>
            <w:shd w:val="clear" w:color="auto" w:fill="FFFFFF"/>
            <w:vAlign w:val="bottom"/>
          </w:tcPr>
          <w:p w:rsidR="003854DE" w:rsidRDefault="003854DE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120" w:lineRule="exact"/>
              <w:ind w:left="1420" w:firstLine="0"/>
              <w:jc w:val="left"/>
            </w:pPr>
          </w:p>
        </w:tc>
      </w:tr>
      <w:tr w:rsidR="003854DE">
        <w:trPr>
          <w:trHeight w:hRule="exact" w:val="684"/>
        </w:trPr>
        <w:tc>
          <w:tcPr>
            <w:tcW w:w="4648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60" w:line="260" w:lineRule="exact"/>
              <w:ind w:left="1280" w:firstLine="0"/>
              <w:jc w:val="left"/>
            </w:pPr>
            <w:r>
              <w:rPr>
                <w:rStyle w:val="Zkladntext213pt"/>
                <w:b w:val="0"/>
                <w:bCs w:val="0"/>
              </w:rPr>
              <w:t>Číslo zhotovitele</w:t>
            </w:r>
          </w:p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after="0" w:line="260" w:lineRule="exact"/>
              <w:ind w:left="1280" w:firstLine="0"/>
              <w:jc w:val="left"/>
            </w:pPr>
            <w:r>
              <w:rPr>
                <w:rStyle w:val="Zkladntext213pt"/>
                <w:b w:val="0"/>
                <w:bCs w:val="0"/>
              </w:rPr>
              <w:t>A 1761/17</w:t>
            </w:r>
          </w:p>
        </w:tc>
        <w:tc>
          <w:tcPr>
            <w:tcW w:w="5486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60" w:line="260" w:lineRule="exact"/>
              <w:ind w:left="1420" w:firstLine="0"/>
              <w:jc w:val="left"/>
            </w:pPr>
            <w:r>
              <w:rPr>
                <w:rStyle w:val="Zkladntext213pt"/>
                <w:b w:val="0"/>
                <w:bCs w:val="0"/>
              </w:rPr>
              <w:t>Číslo objednatele</w:t>
            </w:r>
          </w:p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after="0" w:line="260" w:lineRule="exact"/>
              <w:ind w:left="1420" w:firstLine="0"/>
              <w:jc w:val="left"/>
            </w:pPr>
            <w:r>
              <w:rPr>
                <w:rStyle w:val="Zkladntext213pt"/>
                <w:b w:val="0"/>
                <w:bCs w:val="0"/>
              </w:rPr>
              <w:t>2017/000336</w:t>
            </w:r>
          </w:p>
        </w:tc>
      </w:tr>
      <w:tr w:rsidR="003854DE">
        <w:trPr>
          <w:trHeight w:hRule="exact" w:val="421"/>
        </w:trPr>
        <w:tc>
          <w:tcPr>
            <w:tcW w:w="4648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60" w:lineRule="exact"/>
              <w:ind w:left="1280" w:firstLine="0"/>
              <w:jc w:val="left"/>
            </w:pPr>
            <w:r>
              <w:rPr>
                <w:rStyle w:val="Zkladntext213pt"/>
                <w:b w:val="0"/>
                <w:bCs w:val="0"/>
              </w:rPr>
              <w:t>I. SMLUVNÍ STRANY</w:t>
            </w:r>
          </w:p>
        </w:tc>
        <w:tc>
          <w:tcPr>
            <w:tcW w:w="5486" w:type="dxa"/>
            <w:shd w:val="clear" w:color="auto" w:fill="FFFFFF"/>
          </w:tcPr>
          <w:p w:rsidR="003854DE" w:rsidRDefault="003854DE">
            <w:pPr>
              <w:framePr w:w="10134" w:h="10627" w:wrap="none" w:vAnchor="page" w:hAnchor="page" w:x="628" w:y="3625"/>
              <w:rPr>
                <w:sz w:val="10"/>
                <w:szCs w:val="10"/>
              </w:rPr>
            </w:pPr>
          </w:p>
        </w:tc>
      </w:tr>
      <w:tr w:rsidR="003854DE">
        <w:trPr>
          <w:trHeight w:hRule="exact" w:val="1138"/>
        </w:trPr>
        <w:tc>
          <w:tcPr>
            <w:tcW w:w="4648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00" w:lineRule="exact"/>
              <w:ind w:left="1280" w:firstLine="0"/>
              <w:jc w:val="left"/>
            </w:pPr>
            <w:r>
              <w:rPr>
                <w:rStyle w:val="Zkladntext210ptTun"/>
              </w:rPr>
              <w:t>OBJEDNATEL: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Zkladntext210ptTun"/>
              </w:rPr>
              <w:t>Statutární město Plzeň</w:t>
            </w:r>
          </w:p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Zkladntext21"/>
              </w:rPr>
              <w:t>Adresa: náměstí Republiky č. 1, 306 32 Plzeň</w:t>
            </w:r>
            <w:r>
              <w:rPr>
                <w:rStyle w:val="Zkladntext21"/>
              </w:rPr>
              <w:br/>
              <w:t>IČ: 00075370</w:t>
            </w:r>
          </w:p>
        </w:tc>
      </w:tr>
      <w:tr w:rsidR="003854DE">
        <w:trPr>
          <w:trHeight w:hRule="exact" w:val="2531"/>
        </w:trPr>
        <w:tc>
          <w:tcPr>
            <w:tcW w:w="4648" w:type="dxa"/>
            <w:shd w:val="clear" w:color="auto" w:fill="FFFFFF"/>
            <w:vAlign w:val="center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00" w:lineRule="exact"/>
              <w:ind w:left="1280" w:firstLine="0"/>
              <w:jc w:val="left"/>
            </w:pPr>
            <w:r>
              <w:rPr>
                <w:rStyle w:val="Zkladntext210ptTun"/>
              </w:rPr>
              <w:t>Zastoupený:</w:t>
            </w:r>
          </w:p>
        </w:tc>
        <w:tc>
          <w:tcPr>
            <w:tcW w:w="5486" w:type="dxa"/>
            <w:shd w:val="clear" w:color="auto" w:fill="FFFFFF"/>
            <w:vAlign w:val="bottom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Zkladntext21"/>
              </w:rPr>
              <w:t xml:space="preserve">Bankovní spojení: </w:t>
            </w:r>
          </w:p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120" w:after="120" w:line="240" w:lineRule="exact"/>
              <w:ind w:firstLine="0"/>
              <w:jc w:val="left"/>
            </w:pPr>
            <w:r>
              <w:rPr>
                <w:rStyle w:val="Zkladntext21"/>
              </w:rPr>
              <w:t xml:space="preserve">Číslo účtu: </w:t>
            </w:r>
          </w:p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120" w:after="120" w:line="259" w:lineRule="exact"/>
              <w:ind w:firstLine="0"/>
              <w:jc w:val="left"/>
            </w:pPr>
            <w:r>
              <w:rPr>
                <w:rStyle w:val="Zkladntext21"/>
              </w:rPr>
              <w:t>SPRÁVOU VEŘEJNÉHO STATKU MĚSTA PLZNĚ,</w:t>
            </w:r>
            <w:r>
              <w:rPr>
                <w:rStyle w:val="Zkladntext21"/>
              </w:rPr>
              <w:br/>
              <w:t>příspěvkovou organizací</w:t>
            </w:r>
          </w:p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120" w:after="0" w:line="378" w:lineRule="exact"/>
              <w:ind w:firstLine="0"/>
              <w:jc w:val="left"/>
            </w:pPr>
            <w:r>
              <w:rPr>
                <w:rStyle w:val="Zkladntext21"/>
              </w:rPr>
              <w:t>Klatovská tř. 10 a 12, 301 00 Plzeň</w:t>
            </w:r>
          </w:p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Zkladntext21"/>
              </w:rPr>
              <w:t>IČ: 40526551</w:t>
            </w:r>
          </w:p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Zkladntext21"/>
              </w:rPr>
              <w:t>DIČ: CZ40526551</w:t>
            </w:r>
          </w:p>
        </w:tc>
      </w:tr>
      <w:tr w:rsidR="003854DE">
        <w:trPr>
          <w:trHeight w:hRule="exact" w:val="1850"/>
        </w:trPr>
        <w:tc>
          <w:tcPr>
            <w:tcW w:w="4648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378" w:lineRule="exact"/>
              <w:ind w:left="1280" w:firstLine="0"/>
              <w:jc w:val="left"/>
            </w:pPr>
            <w:r>
              <w:rPr>
                <w:rStyle w:val="Zkladntext21"/>
              </w:rPr>
              <w:t>Zástupce ve věcech smluvních:</w:t>
            </w:r>
            <w:r>
              <w:rPr>
                <w:rStyle w:val="Zkladntext21"/>
              </w:rPr>
              <w:br/>
              <w:t>Zástupce ve věcech technických:</w:t>
            </w:r>
          </w:p>
        </w:tc>
        <w:tc>
          <w:tcPr>
            <w:tcW w:w="5486" w:type="dxa"/>
            <w:shd w:val="clear" w:color="auto" w:fill="FFFFFF"/>
          </w:tcPr>
          <w:p w:rsidR="003854DE" w:rsidRDefault="00DF52BF" w:rsidP="003B5FB2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Zkladntext21"/>
              </w:rPr>
              <w:br/>
            </w:r>
            <w:r>
              <w:rPr>
                <w:rStyle w:val="Zkladntext21"/>
              </w:rPr>
              <w:br/>
              <w:t xml:space="preserve">Bankovní spojení: </w:t>
            </w:r>
            <w:r>
              <w:rPr>
                <w:rStyle w:val="Zkladntext21"/>
              </w:rPr>
              <w:br/>
              <w:t xml:space="preserve">Tel.: </w:t>
            </w:r>
          </w:p>
        </w:tc>
      </w:tr>
      <w:tr w:rsidR="003854DE">
        <w:trPr>
          <w:trHeight w:hRule="exact" w:val="774"/>
        </w:trPr>
        <w:tc>
          <w:tcPr>
            <w:tcW w:w="4648" w:type="dxa"/>
            <w:shd w:val="clear" w:color="auto" w:fill="FFFFFF"/>
            <w:vAlign w:val="bottom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00" w:lineRule="exact"/>
              <w:ind w:left="1280" w:firstLine="0"/>
              <w:jc w:val="left"/>
            </w:pPr>
            <w:r>
              <w:rPr>
                <w:rStyle w:val="Zkladntext210ptTun"/>
              </w:rPr>
              <w:t>ZHOTOVITEL:</w:t>
            </w:r>
          </w:p>
        </w:tc>
        <w:tc>
          <w:tcPr>
            <w:tcW w:w="5486" w:type="dxa"/>
            <w:shd w:val="clear" w:color="auto" w:fill="FFFFFF"/>
            <w:vAlign w:val="bottom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0ptTun"/>
              </w:rPr>
              <w:t>VODNÍ DÍLA - TBD, a. s.</w:t>
            </w:r>
          </w:p>
        </w:tc>
      </w:tr>
      <w:tr w:rsidR="003854DE">
        <w:trPr>
          <w:trHeight w:hRule="exact" w:val="382"/>
        </w:trPr>
        <w:tc>
          <w:tcPr>
            <w:tcW w:w="4648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40" w:lineRule="exact"/>
              <w:ind w:left="1280" w:firstLine="0"/>
              <w:jc w:val="left"/>
            </w:pPr>
            <w:r>
              <w:rPr>
                <w:rStyle w:val="Zkladntext21"/>
              </w:rPr>
              <w:t>Adresa:</w:t>
            </w:r>
          </w:p>
        </w:tc>
        <w:tc>
          <w:tcPr>
            <w:tcW w:w="5486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Hybernská 1617/40, 110 00 Praha 1</w:t>
            </w:r>
          </w:p>
        </w:tc>
      </w:tr>
      <w:tr w:rsidR="003854DE">
        <w:trPr>
          <w:trHeight w:hRule="exact" w:val="515"/>
        </w:trPr>
        <w:tc>
          <w:tcPr>
            <w:tcW w:w="4648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40" w:lineRule="exact"/>
              <w:ind w:left="1280" w:firstLine="0"/>
              <w:jc w:val="left"/>
            </w:pPr>
            <w:r>
              <w:rPr>
                <w:rStyle w:val="Zkladntext21"/>
              </w:rPr>
              <w:t>Zástupce ve věcech smluvních:</w:t>
            </w:r>
          </w:p>
        </w:tc>
        <w:tc>
          <w:tcPr>
            <w:tcW w:w="5486" w:type="dxa"/>
            <w:shd w:val="clear" w:color="auto" w:fill="FFFFFF"/>
          </w:tcPr>
          <w:p w:rsidR="003854DE" w:rsidRDefault="003854DE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3854DE">
        <w:trPr>
          <w:trHeight w:hRule="exact" w:val="745"/>
        </w:trPr>
        <w:tc>
          <w:tcPr>
            <w:tcW w:w="4648" w:type="dxa"/>
            <w:shd w:val="clear" w:color="auto" w:fill="FFFFFF"/>
            <w:vAlign w:val="center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40" w:lineRule="exact"/>
              <w:ind w:left="1280" w:firstLine="0"/>
              <w:jc w:val="left"/>
            </w:pPr>
            <w:r>
              <w:rPr>
                <w:rStyle w:val="Zkladntext21"/>
              </w:rPr>
              <w:t>Zástupce ve věcech technických: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3854DE" w:rsidRDefault="003854DE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56" w:lineRule="exact"/>
              <w:ind w:firstLine="0"/>
              <w:jc w:val="left"/>
            </w:pPr>
          </w:p>
        </w:tc>
      </w:tr>
      <w:tr w:rsidR="003854DE">
        <w:trPr>
          <w:trHeight w:hRule="exact" w:val="767"/>
        </w:trPr>
        <w:tc>
          <w:tcPr>
            <w:tcW w:w="4648" w:type="dxa"/>
            <w:shd w:val="clear" w:color="auto" w:fill="FFFFFF"/>
            <w:vAlign w:val="bottom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120" w:line="240" w:lineRule="exact"/>
              <w:ind w:left="1280" w:firstLine="0"/>
              <w:jc w:val="left"/>
            </w:pPr>
            <w:r>
              <w:rPr>
                <w:rStyle w:val="Zkladntext21"/>
              </w:rPr>
              <w:t>Bankovní spojení:</w:t>
            </w:r>
          </w:p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120" w:after="0" w:line="240" w:lineRule="exact"/>
              <w:ind w:left="1280"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5486" w:type="dxa"/>
            <w:shd w:val="clear" w:color="auto" w:fill="FFFFFF"/>
            <w:vAlign w:val="bottom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Zkladntext21"/>
              </w:rPr>
              <w:br/>
              <w:t>49241648</w:t>
            </w:r>
          </w:p>
        </w:tc>
      </w:tr>
      <w:tr w:rsidR="003854DE">
        <w:trPr>
          <w:trHeight w:hRule="exact" w:val="382"/>
        </w:trPr>
        <w:tc>
          <w:tcPr>
            <w:tcW w:w="4648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40" w:lineRule="exact"/>
              <w:ind w:left="1280" w:firstLine="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5486" w:type="dxa"/>
            <w:shd w:val="clear" w:color="auto" w:fill="FFFFFF"/>
          </w:tcPr>
          <w:p w:rsidR="003854DE" w:rsidRDefault="00DF52BF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CZ4924I648</w:t>
            </w:r>
          </w:p>
        </w:tc>
      </w:tr>
      <w:tr w:rsidR="003854DE">
        <w:trPr>
          <w:trHeight w:hRule="exact" w:val="349"/>
        </w:trPr>
        <w:tc>
          <w:tcPr>
            <w:tcW w:w="4648" w:type="dxa"/>
            <w:shd w:val="clear" w:color="auto" w:fill="FFFFFF"/>
            <w:vAlign w:val="bottom"/>
          </w:tcPr>
          <w:p w:rsidR="003854DE" w:rsidRDefault="003854DE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40" w:lineRule="exact"/>
              <w:ind w:left="1280" w:firstLine="0"/>
              <w:jc w:val="left"/>
            </w:pPr>
          </w:p>
        </w:tc>
        <w:tc>
          <w:tcPr>
            <w:tcW w:w="5486" w:type="dxa"/>
            <w:shd w:val="clear" w:color="auto" w:fill="FFFFFF"/>
            <w:vAlign w:val="bottom"/>
          </w:tcPr>
          <w:p w:rsidR="003854DE" w:rsidRDefault="003854DE">
            <w:pPr>
              <w:pStyle w:val="Zkladntext20"/>
              <w:framePr w:w="10134" w:h="10627" w:wrap="none" w:vAnchor="page" w:hAnchor="page" w:x="628" w:y="3625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</w:tbl>
    <w:p w:rsidR="003854DE" w:rsidRDefault="003854DE">
      <w:pPr>
        <w:rPr>
          <w:sz w:val="2"/>
          <w:szCs w:val="2"/>
        </w:rPr>
        <w:sectPr w:rsidR="003854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54DE" w:rsidRDefault="00DF52BF">
      <w:pPr>
        <w:pStyle w:val="Nadpis30"/>
        <w:framePr w:wrap="none" w:vAnchor="page" w:hAnchor="page" w:x="628" w:y="1339"/>
        <w:shd w:val="clear" w:color="auto" w:fill="auto"/>
        <w:spacing w:after="0" w:line="260" w:lineRule="exact"/>
        <w:ind w:left="1180"/>
      </w:pPr>
      <w:bookmarkStart w:id="1" w:name="bookmark1"/>
      <w:r>
        <w:lastRenderedPageBreak/>
        <w:t>II. PŘEDMĚT PLNĚNÍ</w:t>
      </w:r>
      <w:bookmarkEnd w:id="1"/>
    </w:p>
    <w:p w:rsidR="003854DE" w:rsidRDefault="00DF52BF">
      <w:pPr>
        <w:pStyle w:val="Zkladntext50"/>
        <w:framePr w:w="10134" w:h="2703" w:hRule="exact" w:wrap="none" w:vAnchor="page" w:hAnchor="page" w:x="628" w:y="2088"/>
        <w:shd w:val="clear" w:color="auto" w:fill="auto"/>
        <w:spacing w:before="0" w:after="60" w:line="360" w:lineRule="exact"/>
        <w:ind w:left="1180" w:right="160"/>
        <w:jc w:val="both"/>
      </w:pPr>
      <w:r>
        <w:t>Plzeň, Velký bolevecký rybník - spolupráce při výkonu technickobezpečnostního</w:t>
      </w:r>
      <w:r>
        <w:br/>
        <w:t>dohledu nad vodním dílem v období od 1. 1. 2017 do 31. 12. 2019.</w:t>
      </w:r>
    </w:p>
    <w:p w:rsidR="003854DE" w:rsidRDefault="00DF52BF">
      <w:pPr>
        <w:pStyle w:val="Zkladntext20"/>
        <w:framePr w:w="10134" w:h="2703" w:hRule="exact" w:wrap="none" w:vAnchor="page" w:hAnchor="page" w:x="628" w:y="2088"/>
        <w:shd w:val="clear" w:color="auto" w:fill="auto"/>
        <w:spacing w:before="0" w:after="0"/>
        <w:ind w:left="1180" w:right="160" w:firstLine="0"/>
      </w:pPr>
      <w:r>
        <w:t>Objednatel zadává a zhotovitel se zavazuje provádět odbornou technickou pomoc při</w:t>
      </w:r>
      <w:r>
        <w:br/>
        <w:t>výkonu technickobezpečnostního dohledu (TBD) nad vodním dílem ve smyslu zákona</w:t>
      </w:r>
      <w:r>
        <w:br/>
        <w:t>č. 254/2001 Sb., o vodách a o změně některých zákonů (vodní zákon) ve znění pozdějších</w:t>
      </w:r>
      <w:r>
        <w:br/>
        <w:t>předpisů a vyhlášky č. 471/2001 Sb., o TBD nad vodními díly, ve znění vyhlášky</w:t>
      </w:r>
      <w:r>
        <w:br/>
        <w:t>č. 255/2010 Sb.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shd w:val="clear" w:color="auto" w:fill="auto"/>
        <w:spacing w:before="0" w:after="169" w:line="240" w:lineRule="exact"/>
        <w:ind w:left="1180" w:firstLine="0"/>
      </w:pPr>
      <w:r>
        <w:t>Specifikace prací v roce 2017: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73" w:line="240" w:lineRule="exact"/>
        <w:ind w:left="1180" w:firstLine="0"/>
      </w:pPr>
      <w:r>
        <w:t xml:space="preserve">4 </w:t>
      </w:r>
      <w:r>
        <w:rPr>
          <w:rStyle w:val="Zkladntext210pt"/>
        </w:rPr>
        <w:t xml:space="preserve">x </w:t>
      </w:r>
      <w:r>
        <w:t>kontrolní prohlídka a měření na díle;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63"/>
        <w:ind w:left="1740" w:hanging="560"/>
        <w:jc w:val="left"/>
      </w:pPr>
      <w:r>
        <w:t xml:space="preserve">průběžné zpracování výsledků měření prováděných obsluhou díla (import dat, </w:t>
      </w:r>
      <w:proofErr w:type="spellStart"/>
      <w:r>
        <w:t>vizua</w:t>
      </w:r>
      <w:proofErr w:type="spellEnd"/>
      <w:r>
        <w:t>-</w:t>
      </w:r>
      <w:r>
        <w:br/>
      </w:r>
      <w:proofErr w:type="spellStart"/>
      <w:r>
        <w:t>lizace</w:t>
      </w:r>
      <w:proofErr w:type="spellEnd"/>
      <w:r>
        <w:t xml:space="preserve">, správa databáze), aut. </w:t>
      </w:r>
      <w:proofErr w:type="gramStart"/>
      <w:r>
        <w:t>testování</w:t>
      </w:r>
      <w:proofErr w:type="gramEnd"/>
      <w:r>
        <w:t xml:space="preserve"> na mezní hodnoty a jejich hodnocení;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57" w:line="356" w:lineRule="exact"/>
        <w:ind w:left="1740" w:hanging="560"/>
        <w:jc w:val="left"/>
      </w:pPr>
      <w:r>
        <w:t>1 x komplexní geodetické měření svislých posunů pevných a kontrolních výškových</w:t>
      </w:r>
      <w:r>
        <w:br/>
        <w:t>bodů;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60"/>
        <w:ind w:left="1740" w:hanging="560"/>
        <w:jc w:val="left"/>
      </w:pPr>
      <w:r>
        <w:t>vypracování 4. etapové zprávy o výsledcích technickobezpečnostního dohledu</w:t>
      </w:r>
      <w:r>
        <w:br/>
        <w:t>v letech 2014 až 2017;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156"/>
        <w:ind w:left="1740" w:hanging="560"/>
        <w:jc w:val="left"/>
      </w:pPr>
      <w:r>
        <w:t>příprava vyjádření TBD a účast na prohlídce díla dle § 62 zákona č. 254/2001 Sb.,</w:t>
      </w:r>
      <w:r>
        <w:br/>
        <w:t>o vodách a o změně některých zákonů (vodní zákon) ve znění pozdějších předpisů.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shd w:val="clear" w:color="auto" w:fill="auto"/>
        <w:spacing w:before="0" w:after="169" w:line="240" w:lineRule="exact"/>
        <w:ind w:left="1180" w:firstLine="0"/>
      </w:pPr>
      <w:r>
        <w:t>Specifikace prací v roce 2018: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77" w:line="240" w:lineRule="exact"/>
        <w:ind w:left="1180" w:firstLine="0"/>
      </w:pPr>
      <w:r>
        <w:t xml:space="preserve">4 </w:t>
      </w:r>
      <w:r>
        <w:rPr>
          <w:rStyle w:val="Zkladntext210pt"/>
        </w:rPr>
        <w:t xml:space="preserve">x </w:t>
      </w:r>
      <w:r>
        <w:t>kontrolní prohlídka a měření na díle;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60"/>
        <w:ind w:left="1740" w:hanging="560"/>
        <w:jc w:val="left"/>
      </w:pPr>
      <w:r>
        <w:t xml:space="preserve">průběžné zpracování výsledků měření prováděných obsluhou díla (import dat, </w:t>
      </w:r>
      <w:proofErr w:type="spellStart"/>
      <w:r>
        <w:t>vizua</w:t>
      </w:r>
      <w:proofErr w:type="spellEnd"/>
      <w:r>
        <w:t>-</w:t>
      </w:r>
      <w:r>
        <w:br/>
      </w:r>
      <w:proofErr w:type="spellStart"/>
      <w:r>
        <w:t>lizace</w:t>
      </w:r>
      <w:proofErr w:type="spellEnd"/>
      <w:r>
        <w:t xml:space="preserve">, správa databáze), aut. </w:t>
      </w:r>
      <w:proofErr w:type="gramStart"/>
      <w:r>
        <w:t>testování</w:t>
      </w:r>
      <w:proofErr w:type="gramEnd"/>
      <w:r>
        <w:t xml:space="preserve"> na mezní hodnoty a jejich hodnocení;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156"/>
        <w:ind w:left="1740" w:hanging="560"/>
        <w:jc w:val="left"/>
      </w:pPr>
      <w:r>
        <w:t xml:space="preserve">zhodnocení výsledků TBD za rok 2018 v informativní zprávě o TBD - závažná </w:t>
      </w:r>
      <w:proofErr w:type="spellStart"/>
      <w:r>
        <w:t>zjiš</w:t>
      </w:r>
      <w:proofErr w:type="spellEnd"/>
      <w:r>
        <w:t>-</w:t>
      </w:r>
      <w:r>
        <w:br/>
      </w:r>
      <w:proofErr w:type="spellStart"/>
      <w:r>
        <w:t>tění</w:t>
      </w:r>
      <w:proofErr w:type="spellEnd"/>
      <w:r>
        <w:t xml:space="preserve"> neprodleně, ostatní po skončení ročního období (v lednu 2019).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shd w:val="clear" w:color="auto" w:fill="auto"/>
        <w:spacing w:before="0" w:after="169" w:line="240" w:lineRule="exact"/>
        <w:ind w:left="1180" w:firstLine="0"/>
      </w:pPr>
      <w:r>
        <w:t>Specifikace prací v roce 2019: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80" w:line="240" w:lineRule="exact"/>
        <w:ind w:left="1180" w:firstLine="0"/>
      </w:pPr>
      <w:r>
        <w:t>4 x kontrolní prohlídka a měření na díle;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57"/>
        <w:ind w:left="1740" w:hanging="560"/>
        <w:jc w:val="left"/>
      </w:pPr>
      <w:r>
        <w:t xml:space="preserve">průběžné zpracování výsledků měření prováděných obsluhou díla (import dat, </w:t>
      </w:r>
      <w:proofErr w:type="spellStart"/>
      <w:r>
        <w:t>vizua</w:t>
      </w:r>
      <w:proofErr w:type="spellEnd"/>
      <w:r>
        <w:t>-</w:t>
      </w:r>
      <w:r>
        <w:br/>
      </w:r>
      <w:proofErr w:type="spellStart"/>
      <w:r>
        <w:t>lizace</w:t>
      </w:r>
      <w:proofErr w:type="spellEnd"/>
      <w:r>
        <w:t xml:space="preserve">, správa databáze), aut. </w:t>
      </w:r>
      <w:proofErr w:type="gramStart"/>
      <w:r>
        <w:t>testování</w:t>
      </w:r>
      <w:proofErr w:type="gramEnd"/>
      <w:r>
        <w:t xml:space="preserve"> na mezní hodnoty a jejich hodnocení;</w:t>
      </w:r>
    </w:p>
    <w:p w:rsidR="003854DE" w:rsidRDefault="00DF52BF">
      <w:pPr>
        <w:pStyle w:val="Zkladntext20"/>
        <w:framePr w:w="10134" w:h="9448" w:hRule="exact" w:wrap="none" w:vAnchor="page" w:hAnchor="page" w:x="628" w:y="5427"/>
        <w:numPr>
          <w:ilvl w:val="0"/>
          <w:numId w:val="1"/>
        </w:numPr>
        <w:shd w:val="clear" w:color="auto" w:fill="auto"/>
        <w:tabs>
          <w:tab w:val="left" w:pos="1741"/>
        </w:tabs>
        <w:spacing w:before="0" w:after="0" w:line="364" w:lineRule="exact"/>
        <w:ind w:left="1740" w:hanging="560"/>
        <w:jc w:val="left"/>
      </w:pPr>
      <w:r>
        <w:t>1 x komplexní geodetické měření svislých posunů pevných a kontrolních výškových</w:t>
      </w:r>
      <w:r>
        <w:br/>
        <w:t>bodů;</w:t>
      </w:r>
    </w:p>
    <w:p w:rsidR="003854DE" w:rsidRDefault="003854DE">
      <w:pPr>
        <w:rPr>
          <w:sz w:val="2"/>
          <w:szCs w:val="2"/>
        </w:rPr>
        <w:sectPr w:rsidR="003854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54DE" w:rsidRDefault="00DF52BF">
      <w:pPr>
        <w:pStyle w:val="Zkladntext20"/>
        <w:framePr w:w="10134" w:h="5511" w:hRule="exact" w:wrap="none" w:vAnchor="page" w:hAnchor="page" w:x="628" w:y="1227"/>
        <w:numPr>
          <w:ilvl w:val="0"/>
          <w:numId w:val="1"/>
        </w:numPr>
        <w:shd w:val="clear" w:color="auto" w:fill="auto"/>
        <w:tabs>
          <w:tab w:val="left" w:pos="1736"/>
        </w:tabs>
        <w:spacing w:before="0" w:after="325"/>
        <w:ind w:left="1760"/>
        <w:jc w:val="left"/>
      </w:pPr>
      <w:r>
        <w:lastRenderedPageBreak/>
        <w:t xml:space="preserve">zhodnocení výsledků TBD za rok 2019 v informativní zprávě o TBD - závažná </w:t>
      </w:r>
      <w:proofErr w:type="spellStart"/>
      <w:r>
        <w:t>zjiš</w:t>
      </w:r>
      <w:proofErr w:type="spellEnd"/>
      <w:r>
        <w:t>-</w:t>
      </w:r>
      <w:r>
        <w:br/>
      </w:r>
      <w:proofErr w:type="spellStart"/>
      <w:r>
        <w:t>tění</w:t>
      </w:r>
      <w:proofErr w:type="spellEnd"/>
      <w:r>
        <w:t xml:space="preserve"> neprodleně, ostatní po skončení ročního období (v lednu 2020).</w:t>
      </w:r>
    </w:p>
    <w:p w:rsidR="003854DE" w:rsidRDefault="00DF52BF">
      <w:pPr>
        <w:pStyle w:val="Nadpis30"/>
        <w:framePr w:w="10134" w:h="5511" w:hRule="exact" w:wrap="none" w:vAnchor="page" w:hAnchor="page" w:x="628" w:y="1227"/>
        <w:shd w:val="clear" w:color="auto" w:fill="auto"/>
        <w:spacing w:after="0" w:line="479" w:lineRule="exact"/>
        <w:ind w:left="1180"/>
        <w:jc w:val="left"/>
      </w:pPr>
      <w:bookmarkStart w:id="2" w:name="bookmark2"/>
      <w:r>
        <w:t>UI. TERMÍNY PLNĚNÍ</w:t>
      </w:r>
      <w:bookmarkEnd w:id="2"/>
    </w:p>
    <w:p w:rsidR="003854DE" w:rsidRDefault="00DF52BF">
      <w:pPr>
        <w:pStyle w:val="Zkladntext20"/>
        <w:framePr w:w="10134" w:h="5511" w:hRule="exact" w:wrap="none" w:vAnchor="page" w:hAnchor="page" w:x="628" w:y="1227"/>
        <w:shd w:val="clear" w:color="auto" w:fill="auto"/>
        <w:spacing w:before="0" w:after="0" w:line="479" w:lineRule="exact"/>
        <w:ind w:left="1180" w:firstLine="0"/>
        <w:jc w:val="left"/>
      </w:pPr>
      <w:r>
        <w:t>od 1. 1.2017 do 31. 12. 2019</w:t>
      </w:r>
      <w:r>
        <w:br/>
        <w:t>Termíny plnění jednotlivých prací:</w:t>
      </w:r>
      <w:r>
        <w:br/>
        <w:t>v roce 2017:</w:t>
      </w:r>
    </w:p>
    <w:p w:rsidR="003854DE" w:rsidRDefault="00DF52BF">
      <w:pPr>
        <w:pStyle w:val="Zkladntext20"/>
        <w:framePr w:w="10134" w:h="5511" w:hRule="exact" w:wrap="none" w:vAnchor="page" w:hAnchor="page" w:x="628" w:y="1227"/>
        <w:shd w:val="clear" w:color="auto" w:fill="auto"/>
        <w:spacing w:before="0" w:after="0" w:line="479" w:lineRule="exact"/>
        <w:ind w:left="1580" w:right="5380" w:firstLine="0"/>
        <w:jc w:val="left"/>
      </w:pPr>
      <w:r>
        <w:t>ad 1) 1. 1.2017 až 31. 12.2017</w:t>
      </w:r>
      <w:r>
        <w:br/>
        <w:t>ad 2) 1. 1.2017 až 31. 12. 2017</w:t>
      </w:r>
      <w:r>
        <w:br/>
        <w:t>ad 3) do 30. 10. 2017</w:t>
      </w:r>
      <w:r>
        <w:br/>
        <w:t>ad 4) do 31. 12. 2017</w:t>
      </w:r>
      <w:r>
        <w:br/>
        <w:t>ad 5) do 31. 12. 2017</w:t>
      </w:r>
    </w:p>
    <w:p w:rsidR="003854DE" w:rsidRDefault="00DF52BF">
      <w:pPr>
        <w:pStyle w:val="Zkladntext20"/>
        <w:framePr w:w="10134" w:h="1977" w:hRule="exact" w:wrap="none" w:vAnchor="page" w:hAnchor="page" w:x="628" w:y="7158"/>
        <w:shd w:val="clear" w:color="auto" w:fill="auto"/>
        <w:spacing w:before="0" w:after="0" w:line="479" w:lineRule="exact"/>
        <w:ind w:left="1580" w:firstLine="0"/>
        <w:jc w:val="left"/>
      </w:pPr>
      <w:r>
        <w:t>v roce 2018:</w:t>
      </w:r>
    </w:p>
    <w:p w:rsidR="003854DE" w:rsidRDefault="00DF52BF">
      <w:pPr>
        <w:pStyle w:val="Zkladntext20"/>
        <w:framePr w:w="10134" w:h="1977" w:hRule="exact" w:wrap="none" w:vAnchor="page" w:hAnchor="page" w:x="628" w:y="7158"/>
        <w:shd w:val="clear" w:color="auto" w:fill="auto"/>
        <w:spacing w:before="0" w:after="0" w:line="479" w:lineRule="exact"/>
        <w:ind w:left="1580" w:right="5380" w:firstLine="0"/>
        <w:jc w:val="left"/>
      </w:pPr>
      <w:r>
        <w:t>ad 6) 1. 1.2018 až 31. 12. 2018</w:t>
      </w:r>
      <w:r>
        <w:br/>
        <w:t>ad 7) 1. 1. 2018 až 31. 12. 2018</w:t>
      </w:r>
      <w:r>
        <w:br/>
        <w:t>ad 8) do 31. 1.2019</w:t>
      </w:r>
    </w:p>
    <w:p w:rsidR="003854DE" w:rsidRDefault="00DF52BF">
      <w:pPr>
        <w:pStyle w:val="Zkladntext20"/>
        <w:framePr w:w="10134" w:h="3343" w:hRule="exact" w:wrap="none" w:vAnchor="page" w:hAnchor="page" w:x="628" w:y="9553"/>
        <w:shd w:val="clear" w:color="auto" w:fill="auto"/>
        <w:spacing w:before="0" w:after="0" w:line="479" w:lineRule="exact"/>
        <w:ind w:left="1580" w:firstLine="0"/>
        <w:jc w:val="left"/>
      </w:pPr>
      <w:r>
        <w:t>v roce 2019:</w:t>
      </w:r>
    </w:p>
    <w:p w:rsidR="003854DE" w:rsidRDefault="00DF52BF">
      <w:pPr>
        <w:pStyle w:val="Zkladntext20"/>
        <w:framePr w:w="10134" w:h="3343" w:hRule="exact" w:wrap="none" w:vAnchor="page" w:hAnchor="page" w:x="628" w:y="9553"/>
        <w:shd w:val="clear" w:color="auto" w:fill="auto"/>
        <w:spacing w:before="0" w:after="595" w:line="479" w:lineRule="exact"/>
        <w:ind w:left="1580" w:right="5380" w:firstLine="0"/>
        <w:jc w:val="left"/>
      </w:pPr>
      <w:r>
        <w:t>ad 9) 1. 1.2019 až 31. 12. 2019</w:t>
      </w:r>
      <w:r>
        <w:br/>
        <w:t>ad 10) 1. 1.2019 až 31. 12. 2019</w:t>
      </w:r>
      <w:r>
        <w:br/>
        <w:t>ad 11) do 30. 10.2019</w:t>
      </w:r>
      <w:r>
        <w:br/>
        <w:t>ad 12) do 31. 1.2020</w:t>
      </w:r>
    </w:p>
    <w:p w:rsidR="003854DE" w:rsidRDefault="00DF52BF">
      <w:pPr>
        <w:pStyle w:val="Nadpis30"/>
        <w:framePr w:w="10134" w:h="3343" w:hRule="exact" w:wrap="none" w:vAnchor="page" w:hAnchor="page" w:x="628" w:y="9553"/>
        <w:numPr>
          <w:ilvl w:val="0"/>
          <w:numId w:val="2"/>
        </w:numPr>
        <w:shd w:val="clear" w:color="auto" w:fill="auto"/>
        <w:tabs>
          <w:tab w:val="left" w:pos="1736"/>
        </w:tabs>
        <w:spacing w:after="0" w:line="260" w:lineRule="exact"/>
        <w:ind w:left="1180"/>
      </w:pPr>
      <w:bookmarkStart w:id="3" w:name="bookmark3"/>
      <w:r>
        <w:t>DOHODNUTÉ MÍSTO PŘEDÁNÍ</w:t>
      </w:r>
      <w:bookmarkEnd w:id="3"/>
    </w:p>
    <w:p w:rsidR="003854DE" w:rsidRDefault="00DF52BF">
      <w:pPr>
        <w:pStyle w:val="Zkladntext20"/>
        <w:framePr w:w="10134" w:h="857" w:hRule="exact" w:wrap="none" w:vAnchor="page" w:hAnchor="page" w:x="628" w:y="13280"/>
        <w:shd w:val="clear" w:color="auto" w:fill="auto"/>
        <w:spacing w:before="0" w:after="0" w:line="400" w:lineRule="exact"/>
        <w:ind w:left="1180" w:firstLine="0"/>
        <w:jc w:val="left"/>
      </w:pPr>
      <w:r>
        <w:t xml:space="preserve">Plzeň, U Velkého rybníka 24 (Sídlo </w:t>
      </w:r>
      <w:proofErr w:type="spellStart"/>
      <w:r>
        <w:t>SVSmP</w:t>
      </w:r>
      <w:proofErr w:type="spellEnd"/>
      <w:r>
        <w:t xml:space="preserve"> - oddělení městských lesů zeleně a vodního</w:t>
      </w:r>
      <w:r>
        <w:br/>
        <w:t>hospodářství).</w:t>
      </w:r>
    </w:p>
    <w:p w:rsidR="003854DE" w:rsidRDefault="003854DE">
      <w:pPr>
        <w:rPr>
          <w:sz w:val="2"/>
          <w:szCs w:val="2"/>
        </w:rPr>
        <w:sectPr w:rsidR="003854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54DE" w:rsidRDefault="00DF52BF">
      <w:pPr>
        <w:pStyle w:val="Zkladntext60"/>
        <w:framePr w:wrap="none" w:vAnchor="page" w:hAnchor="page" w:x="628" w:y="1576"/>
        <w:numPr>
          <w:ilvl w:val="0"/>
          <w:numId w:val="2"/>
        </w:numPr>
        <w:shd w:val="clear" w:color="auto" w:fill="auto"/>
        <w:tabs>
          <w:tab w:val="left" w:pos="1742"/>
        </w:tabs>
        <w:spacing w:after="0" w:line="260" w:lineRule="exact"/>
        <w:ind w:left="1180"/>
      </w:pPr>
      <w:r>
        <w:lastRenderedPageBreak/>
        <w:t>CENA DÍLA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spacing w:before="0" w:after="0" w:line="479" w:lineRule="exact"/>
        <w:ind w:left="1180" w:firstLine="0"/>
      </w:pPr>
      <w:r>
        <w:t>Cena díla činí za práce zhotovitele dle bodu II. této smlouvy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499"/>
        </w:tabs>
        <w:spacing w:before="0" w:after="0" w:line="479" w:lineRule="exact"/>
        <w:ind w:left="1180" w:firstLine="0"/>
      </w:pPr>
      <w:r>
        <w:t>v roce 2017: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861"/>
          <w:tab w:val="left" w:leader="dot" w:pos="7079"/>
          <w:tab w:val="left" w:leader="dot" w:pos="7268"/>
          <w:tab w:val="left" w:leader="dot" w:pos="7384"/>
          <w:tab w:val="left" w:leader="dot" w:pos="8122"/>
        </w:tabs>
        <w:spacing w:before="0" w:after="0" w:line="479" w:lineRule="exact"/>
        <w:ind w:left="1600" w:firstLine="0"/>
      </w:pPr>
      <w:r>
        <w:t>Odst. 1, 2) výkon TBD</w:t>
      </w:r>
      <w:r>
        <w:tab/>
      </w:r>
      <w:r>
        <w:tab/>
      </w:r>
      <w:r>
        <w:tab/>
      </w:r>
      <w:r>
        <w:rPr>
          <w:vertAlign w:val="subscript"/>
        </w:rPr>
        <w:t>;</w:t>
      </w:r>
      <w:r>
        <w:tab/>
        <w:t xml:space="preserve"> 37 200,- 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861"/>
          <w:tab w:val="left" w:leader="dot" w:pos="6142"/>
          <w:tab w:val="left" w:leader="dot" w:pos="7384"/>
        </w:tabs>
        <w:spacing w:before="0" w:after="0" w:line="479" w:lineRule="exact"/>
        <w:ind w:left="1600" w:firstLine="0"/>
      </w:pPr>
      <w:r>
        <w:t xml:space="preserve">Odst. 3) geodetické měření </w:t>
      </w:r>
      <w:r>
        <w:tab/>
      </w:r>
      <w:r>
        <w:tab/>
        <w:t xml:space="preserve"> 10 700,-Kč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861"/>
          <w:tab w:val="left" w:pos="3114"/>
          <w:tab w:val="left" w:leader="dot" w:pos="6142"/>
          <w:tab w:val="left" w:leader="dot" w:pos="8122"/>
        </w:tabs>
        <w:spacing w:before="0" w:after="0" w:line="479" w:lineRule="exact"/>
        <w:ind w:left="1600" w:firstLine="0"/>
      </w:pPr>
      <w:r>
        <w:t>Odst. 4)</w:t>
      </w:r>
      <w:r>
        <w:tab/>
        <w:t>4. etapová zpráva o TBD</w:t>
      </w:r>
      <w:r>
        <w:tab/>
        <w:t>.</w:t>
      </w:r>
      <w:r>
        <w:tab/>
        <w:t xml:space="preserve"> 26 700,- 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865"/>
          <w:tab w:val="left" w:pos="8447"/>
        </w:tabs>
        <w:spacing w:before="0" w:after="0" w:line="479" w:lineRule="exact"/>
        <w:ind w:left="1600" w:firstLine="0"/>
      </w:pPr>
      <w:r>
        <w:t xml:space="preserve">Odst. 5) příprava vyjádření TBD a účast </w:t>
      </w:r>
      <w:proofErr w:type="spellStart"/>
      <w:proofErr w:type="gramStart"/>
      <w:r>
        <w:t>na</w:t>
      </w:r>
      <w:proofErr w:type="gramEnd"/>
      <w:r>
        <w:t>.</w:t>
      </w:r>
      <w:proofErr w:type="gramStart"/>
      <w:r>
        <w:t>prohlídce</w:t>
      </w:r>
      <w:proofErr w:type="spellEnd"/>
      <w:proofErr w:type="gramEnd"/>
      <w:r>
        <w:t xml:space="preserve"> díla...</w:t>
      </w:r>
      <w:r>
        <w:tab/>
        <w:t>10 900,- 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tabs>
          <w:tab w:val="left" w:leader="dot" w:pos="7079"/>
          <w:tab w:val="left" w:leader="dot" w:pos="8122"/>
        </w:tabs>
        <w:spacing w:before="0" w:after="420" w:line="479" w:lineRule="exact"/>
        <w:ind w:left="1600" w:firstLine="0"/>
      </w:pPr>
      <w:r>
        <w:t xml:space="preserve">cena bez DPH za rok 2017 </w:t>
      </w:r>
      <w:r>
        <w:tab/>
      </w:r>
      <w:r>
        <w:tab/>
        <w:t xml:space="preserve"> 85 500,- 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506"/>
        </w:tabs>
        <w:spacing w:before="0" w:after="0" w:line="479" w:lineRule="exact"/>
        <w:ind w:left="1180" w:firstLine="0"/>
      </w:pPr>
      <w:r>
        <w:t>v roce 2018: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865"/>
          <w:tab w:val="left" w:pos="2434"/>
          <w:tab w:val="left" w:pos="3114"/>
          <w:tab w:val="right" w:leader="dot" w:pos="8632"/>
          <w:tab w:val="left" w:pos="8842"/>
        </w:tabs>
        <w:spacing w:before="0" w:after="0" w:line="479" w:lineRule="exact"/>
        <w:ind w:left="1600" w:firstLine="0"/>
      </w:pPr>
      <w:r>
        <w:t>Odst.</w:t>
      </w:r>
      <w:r>
        <w:tab/>
        <w:t>6, 7)</w:t>
      </w:r>
      <w:r>
        <w:tab/>
        <w:t>výkon TBD</w:t>
      </w:r>
      <w:r>
        <w:tab/>
        <w:t xml:space="preserve"> 37</w:t>
      </w:r>
      <w:r>
        <w:tab/>
        <w:t>200,- 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865"/>
          <w:tab w:val="left" w:pos="2430"/>
          <w:tab w:val="left" w:pos="3114"/>
          <w:tab w:val="right" w:leader="dot" w:pos="8632"/>
          <w:tab w:val="left" w:pos="8820"/>
        </w:tabs>
        <w:spacing w:before="0" w:after="0" w:line="479" w:lineRule="exact"/>
        <w:ind w:left="1600" w:firstLine="0"/>
      </w:pPr>
      <w:r>
        <w:t>Odst.</w:t>
      </w:r>
      <w:r>
        <w:tab/>
        <w:t>8)</w:t>
      </w:r>
      <w:r>
        <w:tab/>
        <w:t>zpráva o TBD za rok 2018</w:t>
      </w:r>
      <w:r>
        <w:tab/>
        <w:t xml:space="preserve">  21</w:t>
      </w:r>
      <w:r>
        <w:tab/>
        <w:t>000,- 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tabs>
          <w:tab w:val="left" w:leader="dot" w:pos="5477"/>
          <w:tab w:val="left" w:leader="dot" w:pos="8122"/>
        </w:tabs>
        <w:spacing w:before="0" w:after="0" w:line="479" w:lineRule="exact"/>
        <w:ind w:left="1600" w:firstLine="0"/>
      </w:pPr>
      <w:r>
        <w:t xml:space="preserve">cena bez DPH za rok 2018 </w:t>
      </w:r>
      <w:r>
        <w:tab/>
        <w:t>.</w:t>
      </w:r>
      <w:r>
        <w:tab/>
        <w:t xml:space="preserve"> 58 200,- Kč</w:t>
      </w:r>
    </w:p>
    <w:p w:rsidR="003854DE" w:rsidRDefault="00DF52BF">
      <w:pPr>
        <w:pStyle w:val="Zkladntext70"/>
        <w:framePr w:w="10134" w:h="12623" w:hRule="exact" w:wrap="none" w:vAnchor="page" w:hAnchor="page" w:x="628" w:y="2215"/>
        <w:shd w:val="clear" w:color="auto" w:fill="auto"/>
        <w:tabs>
          <w:tab w:val="left" w:pos="5806"/>
        </w:tabs>
        <w:spacing w:after="10" w:line="80" w:lineRule="exact"/>
        <w:ind w:left="1180"/>
      </w:pPr>
      <w:proofErr w:type="gramStart"/>
      <w:r>
        <w:t>•</w:t>
      </w:r>
      <w:r>
        <w:tab/>
        <w:t>’,*'•&lt;** y</w:t>
      </w:r>
      <w:proofErr w:type="gramEnd"/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506"/>
        </w:tabs>
        <w:spacing w:before="0" w:after="0" w:line="479" w:lineRule="exact"/>
        <w:ind w:left="1180" w:firstLine="0"/>
      </w:pPr>
      <w:r>
        <w:t>v roce 2019: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numPr>
          <w:ilvl w:val="0"/>
          <w:numId w:val="3"/>
        </w:numPr>
        <w:shd w:val="clear" w:color="auto" w:fill="auto"/>
        <w:tabs>
          <w:tab w:val="left" w:pos="1865"/>
          <w:tab w:val="left" w:pos="2430"/>
          <w:tab w:val="left" w:pos="3114"/>
          <w:tab w:val="right" w:leader="dot" w:pos="8632"/>
          <w:tab w:val="left" w:pos="8838"/>
        </w:tabs>
        <w:spacing w:before="0" w:after="0" w:line="479" w:lineRule="exact"/>
        <w:ind w:left="1600" w:firstLine="0"/>
      </w:pPr>
      <w:r>
        <w:t>Odst.</w:t>
      </w:r>
      <w:r>
        <w:tab/>
        <w:t>9, 10)</w:t>
      </w:r>
      <w:r>
        <w:tab/>
        <w:t>výkon TBD</w:t>
      </w:r>
      <w:r>
        <w:tab/>
        <w:t xml:space="preserve"> 37</w:t>
      </w:r>
      <w:r>
        <w:tab/>
        <w:t>200,- 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tabs>
          <w:tab w:val="left" w:pos="2434"/>
          <w:tab w:val="left" w:pos="3114"/>
          <w:tab w:val="right" w:leader="dot" w:pos="8632"/>
          <w:tab w:val="left" w:pos="8842"/>
        </w:tabs>
        <w:spacing w:before="0" w:after="0" w:line="479" w:lineRule="exact"/>
        <w:ind w:left="1600" w:firstLine="0"/>
      </w:pPr>
      <w:r>
        <w:t>-Odst.</w:t>
      </w:r>
      <w:r>
        <w:tab/>
        <w:t>11)</w:t>
      </w:r>
      <w:r>
        <w:tab/>
        <w:t xml:space="preserve">geodetické měření </w:t>
      </w:r>
      <w:r>
        <w:tab/>
        <w:t xml:space="preserve">   10</w:t>
      </w:r>
      <w:r>
        <w:tab/>
        <w:t>700,-Kč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tabs>
          <w:tab w:val="left" w:leader="dot" w:pos="7079"/>
          <w:tab w:val="left" w:leader="dot" w:pos="8122"/>
        </w:tabs>
        <w:spacing w:before="0" w:after="0" w:line="479" w:lineRule="exact"/>
        <w:ind w:left="1600" w:firstLine="0"/>
      </w:pPr>
      <w:r>
        <w:t xml:space="preserve">-Odst. 12) zpráva o TBD za rok </w:t>
      </w:r>
      <w:proofErr w:type="gramStart"/>
      <w:r>
        <w:t>2019</w:t>
      </w:r>
      <w:r>
        <w:tab/>
        <w:t>....,;</w:t>
      </w:r>
      <w:r>
        <w:tab/>
        <w:t xml:space="preserve"> 21 000,</w:t>
      </w:r>
      <w:proofErr w:type="gramEnd"/>
      <w:r>
        <w:t>-Kč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tabs>
          <w:tab w:val="left" w:leader="dot" w:pos="6723"/>
          <w:tab w:val="left" w:leader="dot" w:pos="6934"/>
          <w:tab w:val="left" w:leader="dot" w:pos="8122"/>
        </w:tabs>
        <w:spacing w:before="0" w:after="611" w:line="479" w:lineRule="exact"/>
        <w:ind w:left="1600" w:firstLine="0"/>
      </w:pPr>
      <w:r>
        <w:t xml:space="preserve">cena bez DPH za rok 2019 </w:t>
      </w:r>
      <w:r>
        <w:tab/>
      </w:r>
      <w:r>
        <w:tab/>
      </w:r>
      <w:r>
        <w:tab/>
        <w:t xml:space="preserve"> 68 900,- 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tabs>
          <w:tab w:val="left" w:leader="dot" w:pos="6142"/>
          <w:tab w:val="left" w:leader="dot" w:pos="6391"/>
          <w:tab w:val="left" w:leader="dot" w:pos="7384"/>
          <w:tab w:val="left" w:leader="dot" w:pos="7543"/>
          <w:tab w:val="left" w:leader="dot" w:pos="8122"/>
        </w:tabs>
        <w:spacing w:before="0" w:after="567" w:line="240" w:lineRule="exact"/>
        <w:ind w:left="1180" w:firstLine="0"/>
      </w:pPr>
      <w:r>
        <w:t>Celková cena bez DPH</w:t>
      </w:r>
      <w:r>
        <w:tab/>
      </w:r>
      <w:r>
        <w:tab/>
      </w:r>
      <w:r>
        <w:tab/>
      </w:r>
      <w:r>
        <w:tab/>
      </w:r>
      <w:r>
        <w:tab/>
        <w:t xml:space="preserve"> 212 600,- Kč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spacing w:before="0" w:after="57" w:line="356" w:lineRule="exact"/>
        <w:ind w:left="1180" w:right="160" w:firstLine="0"/>
      </w:pPr>
      <w:proofErr w:type="spellStart"/>
      <w:r>
        <w:t>Ktéto</w:t>
      </w:r>
      <w:proofErr w:type="spellEnd"/>
      <w:r>
        <w:t xml:space="preserve"> částce bude připočtena daň z přidané hodnoty podle zákona 235/2004 Sb., o DPH,</w:t>
      </w:r>
      <w:r>
        <w:br/>
        <w:t>v platném znění.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spacing w:before="0" w:after="156"/>
        <w:ind w:left="1180" w:right="160" w:firstLine="0"/>
      </w:pPr>
      <w:r>
        <w:t>Kalkulace ceny prací (ve výši 212 600,- Kč bez DPH) byla provedena podle kalkulačního</w:t>
      </w:r>
      <w:r>
        <w:br/>
        <w:t>vzorce "Sazebníku pro navrhování nabídkových cen projekt, a inženýrských prací", odst.</w:t>
      </w:r>
      <w:r>
        <w:br/>
        <w:t>2.3.1, UNIKA, 2016.</w:t>
      </w:r>
    </w:p>
    <w:p w:rsidR="003854DE" w:rsidRDefault="00DF52BF">
      <w:pPr>
        <w:pStyle w:val="Zkladntext20"/>
        <w:framePr w:w="10134" w:h="12623" w:hRule="exact" w:wrap="none" w:vAnchor="page" w:hAnchor="page" w:x="628" w:y="2215"/>
        <w:shd w:val="clear" w:color="auto" w:fill="auto"/>
        <w:spacing w:before="0" w:after="0" w:line="240" w:lineRule="exact"/>
        <w:ind w:left="1180" w:firstLine="0"/>
      </w:pPr>
      <w:r>
        <w:t>Tato cena je pevná, platná po celou dobu realizace díla.</w:t>
      </w:r>
    </w:p>
    <w:p w:rsidR="003854DE" w:rsidRDefault="003854DE">
      <w:pPr>
        <w:rPr>
          <w:sz w:val="2"/>
          <w:szCs w:val="2"/>
        </w:rPr>
        <w:sectPr w:rsidR="003854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54DE" w:rsidRDefault="00DF52BF">
      <w:pPr>
        <w:pStyle w:val="Nadpis30"/>
        <w:framePr w:wrap="none" w:vAnchor="page" w:hAnchor="page" w:x="628" w:y="1900"/>
        <w:numPr>
          <w:ilvl w:val="0"/>
          <w:numId w:val="2"/>
        </w:numPr>
        <w:shd w:val="clear" w:color="auto" w:fill="auto"/>
        <w:tabs>
          <w:tab w:val="left" w:pos="1782"/>
        </w:tabs>
        <w:spacing w:after="0" w:line="260" w:lineRule="exact"/>
        <w:ind w:left="1220"/>
      </w:pPr>
      <w:bookmarkStart w:id="4" w:name="bookmark4"/>
      <w:r>
        <w:lastRenderedPageBreak/>
        <w:t>POVINNOSTI SMLUVNÍCH STRAN</w:t>
      </w:r>
      <w:bookmarkEnd w:id="4"/>
    </w:p>
    <w:p w:rsidR="003854DE" w:rsidRDefault="00DF52BF">
      <w:pPr>
        <w:pStyle w:val="Zkladntext20"/>
        <w:framePr w:w="10134" w:h="12095" w:hRule="exact" w:wrap="none" w:vAnchor="page" w:hAnchor="page" w:x="628" w:y="2811"/>
        <w:numPr>
          <w:ilvl w:val="0"/>
          <w:numId w:val="4"/>
        </w:numPr>
        <w:shd w:val="clear" w:color="auto" w:fill="auto"/>
        <w:tabs>
          <w:tab w:val="left" w:pos="1569"/>
        </w:tabs>
        <w:spacing w:before="0" w:after="63"/>
        <w:ind w:left="1580" w:hanging="360"/>
      </w:pPr>
      <w:r>
        <w:t>Objednatel bude řádně provádět pravidelná měření a obchůzky díla podle platného</w:t>
      </w:r>
      <w:r>
        <w:br/>
        <w:t>PTBD (Program technickobezpečnostního dohledu) a včas zasílat zhotoviteli</w:t>
      </w:r>
      <w:r>
        <w:br/>
        <w:t>VODNÍ DÍLA - TBD a.s. (dále VD - TBD a.s.) předepsaná měsíční hlášení výsledků.</w:t>
      </w:r>
      <w:r>
        <w:br/>
        <w:t>Rovněž bude zhotovitele bezodkladně informovat o všech mimořádných zjištěních na</w:t>
      </w:r>
      <w:r>
        <w:br/>
        <w:t>díle i o připravovaných nebo prováděných stavebních i jiných zásazích, které by mohly</w:t>
      </w:r>
      <w:r>
        <w:br/>
        <w:t>ovlivnit jeho stabilitu a bezpečnost.</w:t>
      </w:r>
    </w:p>
    <w:p w:rsidR="003854DE" w:rsidRDefault="00DF52BF">
      <w:pPr>
        <w:pStyle w:val="Zkladntext20"/>
        <w:framePr w:w="10134" w:h="12095" w:hRule="exact" w:wrap="none" w:vAnchor="page" w:hAnchor="page" w:x="628" w:y="2811"/>
        <w:numPr>
          <w:ilvl w:val="0"/>
          <w:numId w:val="4"/>
        </w:numPr>
        <w:shd w:val="clear" w:color="auto" w:fill="auto"/>
        <w:tabs>
          <w:tab w:val="left" w:pos="1569"/>
        </w:tabs>
        <w:spacing w:before="0" w:after="60" w:line="356" w:lineRule="exact"/>
        <w:ind w:left="1580" w:hanging="360"/>
      </w:pPr>
      <w:r>
        <w:t>Zhotovitel bude provádět veškeré prohlídky a měření stanovené vyhláškou č. 471/2001</w:t>
      </w:r>
      <w:r>
        <w:br/>
        <w:t xml:space="preserve">Sb. </w:t>
      </w:r>
      <w:proofErr w:type="spellStart"/>
      <w:r>
        <w:t>MZe</w:t>
      </w:r>
      <w:proofErr w:type="spellEnd"/>
      <w:r>
        <w:t xml:space="preserve"> ČR o technickobezpečnostním dohledu, ve znění vyhlášky č. 255/2010 Sb.,</w:t>
      </w:r>
      <w:r>
        <w:br/>
        <w:t>po předchozím ohlášení objednateli.</w:t>
      </w:r>
    </w:p>
    <w:p w:rsidR="003854DE" w:rsidRDefault="00DF52BF">
      <w:pPr>
        <w:pStyle w:val="Zkladntext20"/>
        <w:framePr w:w="10134" w:h="12095" w:hRule="exact" w:wrap="none" w:vAnchor="page" w:hAnchor="page" w:x="628" w:y="2811"/>
        <w:numPr>
          <w:ilvl w:val="0"/>
          <w:numId w:val="4"/>
        </w:numPr>
        <w:shd w:val="clear" w:color="auto" w:fill="auto"/>
        <w:tabs>
          <w:tab w:val="left" w:pos="1569"/>
        </w:tabs>
        <w:spacing w:before="0" w:after="557" w:line="356" w:lineRule="exact"/>
        <w:ind w:left="1580" w:hanging="360"/>
      </w:pPr>
      <w:r>
        <w:t>Zhotovitel odpovídá za škodu vzniklou objednateli nebo třetím osobám v důsledku</w:t>
      </w:r>
      <w:r>
        <w:br/>
        <w:t>nekvalitně provedené práce nebo pozdně předaného díla.</w:t>
      </w:r>
    </w:p>
    <w:p w:rsidR="003854DE" w:rsidRDefault="00DF52BF">
      <w:pPr>
        <w:pStyle w:val="Nadpis30"/>
        <w:framePr w:w="10134" w:h="12095" w:hRule="exact" w:wrap="none" w:vAnchor="page" w:hAnchor="page" w:x="628" w:y="2811"/>
        <w:numPr>
          <w:ilvl w:val="0"/>
          <w:numId w:val="2"/>
        </w:numPr>
        <w:shd w:val="clear" w:color="auto" w:fill="auto"/>
        <w:tabs>
          <w:tab w:val="left" w:pos="1944"/>
        </w:tabs>
        <w:spacing w:after="79" w:line="260" w:lineRule="exact"/>
        <w:ind w:left="1220"/>
      </w:pPr>
      <w:bookmarkStart w:id="5" w:name="bookmark5"/>
      <w:r>
        <w:t>SMLUVNÍ POKUTA</w:t>
      </w:r>
      <w:bookmarkEnd w:id="5"/>
    </w:p>
    <w:p w:rsidR="003854DE" w:rsidRDefault="00DF52BF">
      <w:pPr>
        <w:pStyle w:val="Zkladntext20"/>
        <w:framePr w:w="10134" w:h="12095" w:hRule="exact" w:wrap="none" w:vAnchor="page" w:hAnchor="page" w:x="628" w:y="2811"/>
        <w:numPr>
          <w:ilvl w:val="0"/>
          <w:numId w:val="5"/>
        </w:numPr>
        <w:shd w:val="clear" w:color="auto" w:fill="auto"/>
        <w:tabs>
          <w:tab w:val="left" w:pos="1569"/>
        </w:tabs>
        <w:spacing w:before="0" w:after="60" w:line="356" w:lineRule="exact"/>
        <w:ind w:left="1580" w:hanging="360"/>
      </w:pPr>
      <w:r>
        <w:t xml:space="preserve">V případě prodlení na straně zhotovitele s dokončením díla za daný rok, zaplatí </w:t>
      </w:r>
      <w:proofErr w:type="spellStart"/>
      <w:r>
        <w:t>zhoto</w:t>
      </w:r>
      <w:proofErr w:type="spellEnd"/>
      <w:r>
        <w:t>-</w:t>
      </w:r>
      <w:r>
        <w:br/>
      </w:r>
      <w:proofErr w:type="spellStart"/>
      <w:r>
        <w:t>vitel</w:t>
      </w:r>
      <w:proofErr w:type="spellEnd"/>
      <w:r>
        <w:t xml:space="preserve"> objednateli smluvní pokutu ve výši 0,3% z celkové ceny díla za daný rok, vč.</w:t>
      </w:r>
      <w:r>
        <w:br/>
        <w:t>DPH, za každý den prodlení. Vedle smluvní pokuty je objednatel oprávněn požadovat</w:t>
      </w:r>
      <w:r>
        <w:br/>
        <w:t>i náhradu případné škody.</w:t>
      </w:r>
    </w:p>
    <w:p w:rsidR="003854DE" w:rsidRDefault="00DF52BF">
      <w:pPr>
        <w:pStyle w:val="Zkladntext20"/>
        <w:framePr w:w="10134" w:h="12095" w:hRule="exact" w:wrap="none" w:vAnchor="page" w:hAnchor="page" w:x="628" w:y="2811"/>
        <w:numPr>
          <w:ilvl w:val="0"/>
          <w:numId w:val="5"/>
        </w:numPr>
        <w:shd w:val="clear" w:color="auto" w:fill="auto"/>
        <w:tabs>
          <w:tab w:val="left" w:pos="1569"/>
        </w:tabs>
        <w:spacing w:before="0" w:after="557" w:line="356" w:lineRule="exact"/>
        <w:ind w:left="1580" w:hanging="360"/>
      </w:pPr>
      <w:r>
        <w:t>V případě prodlení objednatele s úhradou faktury zaplatí objednatel zhotoviteli smluvní</w:t>
      </w:r>
      <w:r>
        <w:br/>
        <w:t>pokutu ve výši 0,05 % z dlužné částky za každý den prodlení.</w:t>
      </w:r>
    </w:p>
    <w:p w:rsidR="003854DE" w:rsidRDefault="00DF52BF">
      <w:pPr>
        <w:pStyle w:val="Nadpis30"/>
        <w:framePr w:w="10134" w:h="12095" w:hRule="exact" w:wrap="none" w:vAnchor="page" w:hAnchor="page" w:x="628" w:y="2811"/>
        <w:numPr>
          <w:ilvl w:val="0"/>
          <w:numId w:val="2"/>
        </w:numPr>
        <w:shd w:val="clear" w:color="auto" w:fill="auto"/>
        <w:tabs>
          <w:tab w:val="left" w:pos="1944"/>
        </w:tabs>
        <w:spacing w:after="320" w:line="260" w:lineRule="exact"/>
        <w:ind w:left="1220"/>
      </w:pPr>
      <w:bookmarkStart w:id="6" w:name="bookmark6"/>
      <w:r>
        <w:t>FAKTURACE</w:t>
      </w:r>
      <w:bookmarkEnd w:id="6"/>
    </w:p>
    <w:p w:rsidR="003854DE" w:rsidRDefault="00DF52BF">
      <w:pPr>
        <w:pStyle w:val="Zkladntext20"/>
        <w:framePr w:w="10134" w:h="12095" w:hRule="exact" w:wrap="none" w:vAnchor="page" w:hAnchor="page" w:x="628" w:y="2811"/>
        <w:shd w:val="clear" w:color="auto" w:fill="auto"/>
        <w:spacing w:before="0" w:after="0"/>
        <w:ind w:left="1220" w:firstLine="0"/>
      </w:pPr>
      <w:r>
        <w:t xml:space="preserve">Cena díla bude podle plnění jednotlivých prací podle bodu </w:t>
      </w:r>
      <w:r>
        <w:rPr>
          <w:rStyle w:val="Zkladntext2Tun"/>
        </w:rPr>
        <w:t xml:space="preserve">II. </w:t>
      </w:r>
      <w:r>
        <w:t>této smlouvy zaplacena čtvrt-</w:t>
      </w:r>
      <w:r>
        <w:br/>
        <w:t xml:space="preserve">letně. Nejméně 7 dní před odesláním faktury předloží zhotovitel objednateli soupis </w:t>
      </w:r>
      <w:proofErr w:type="spellStart"/>
      <w:r>
        <w:t>prove</w:t>
      </w:r>
      <w:proofErr w:type="spellEnd"/>
      <w:r>
        <w:t>-</w:t>
      </w:r>
      <w:r>
        <w:br/>
      </w:r>
      <w:proofErr w:type="spellStart"/>
      <w:r>
        <w:t>dených</w:t>
      </w:r>
      <w:proofErr w:type="spellEnd"/>
      <w:r>
        <w:t xml:space="preserve"> prací a po odsouhlasení objednatelem (do 5 pracovních dnů) vystaví fakturu, jejíž</w:t>
      </w:r>
      <w:r>
        <w:br/>
        <w:t>nedílnou součástí musí být odsouhlasený soupis provedených prací. Bez tohoto soupisu je</w:t>
      </w:r>
      <w:r>
        <w:br/>
        <w:t xml:space="preserve">faktura neplatná. Objednatel uhradí fakturu </w:t>
      </w:r>
      <w:proofErr w:type="spellStart"/>
      <w:r>
        <w:t>nej</w:t>
      </w:r>
      <w:proofErr w:type="spellEnd"/>
      <w:r>
        <w:t xml:space="preserve"> později do 30 dnů po jejím obdržení.</w:t>
      </w:r>
      <w:r>
        <w:br/>
      </w:r>
      <w:r>
        <w:rPr>
          <w:rStyle w:val="Zkladntext2Tun"/>
        </w:rPr>
        <w:t>Fakturu zašle zhotovitel na adresu SPRÁVA VEŘEJNÉHO STATKU MĚSTA</w:t>
      </w:r>
    </w:p>
    <w:p w:rsidR="003854DE" w:rsidRDefault="003854DE">
      <w:pPr>
        <w:pStyle w:val="Zkladntext80"/>
        <w:framePr w:w="10134" w:h="12095" w:hRule="exact" w:wrap="none" w:vAnchor="page" w:hAnchor="page" w:x="628" w:y="2811"/>
        <w:shd w:val="clear" w:color="auto" w:fill="auto"/>
        <w:spacing w:line="90" w:lineRule="exact"/>
        <w:ind w:left="1880"/>
      </w:pPr>
      <w:bookmarkStart w:id="7" w:name="_GoBack"/>
      <w:bookmarkEnd w:id="7"/>
    </w:p>
    <w:p w:rsidR="003854DE" w:rsidRDefault="00DF52BF">
      <w:pPr>
        <w:pStyle w:val="Zkladntext50"/>
        <w:framePr w:w="10134" w:h="12095" w:hRule="exact" w:wrap="none" w:vAnchor="page" w:hAnchor="page" w:x="628" w:y="2811"/>
        <w:shd w:val="clear" w:color="auto" w:fill="auto"/>
        <w:spacing w:before="0" w:after="0" w:line="356" w:lineRule="exact"/>
        <w:ind w:left="1220"/>
        <w:jc w:val="both"/>
      </w:pPr>
      <w:r>
        <w:t>PLZNĚ, příspěvková organizace, úsek lesů zeleně a vodního hospodářství, Klatovská</w:t>
      </w:r>
      <w:r>
        <w:br/>
        <w:t>tř. 10 a 12, 301 00 Plzeň a vystaví na Statutární město Plzeň, nám. Republiky 1, 306</w:t>
      </w:r>
      <w:r>
        <w:br/>
        <w:t>32 Plzeň.</w:t>
      </w:r>
    </w:p>
    <w:p w:rsidR="003854DE" w:rsidRDefault="003854DE">
      <w:pPr>
        <w:rPr>
          <w:sz w:val="2"/>
          <w:szCs w:val="2"/>
        </w:rPr>
        <w:sectPr w:rsidR="003854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54DE" w:rsidRDefault="00DF52BF">
      <w:pPr>
        <w:pStyle w:val="Nadpis30"/>
        <w:framePr w:wrap="none" w:vAnchor="page" w:hAnchor="page" w:x="628" w:y="1785"/>
        <w:numPr>
          <w:ilvl w:val="0"/>
          <w:numId w:val="2"/>
        </w:numPr>
        <w:shd w:val="clear" w:color="auto" w:fill="auto"/>
        <w:tabs>
          <w:tab w:val="left" w:pos="1936"/>
        </w:tabs>
        <w:spacing w:after="0" w:line="260" w:lineRule="exact"/>
        <w:ind w:left="1220"/>
      </w:pPr>
      <w:bookmarkStart w:id="8" w:name="bookmark7"/>
      <w:r>
        <w:lastRenderedPageBreak/>
        <w:t>ZÁVĚREČNÁ USTANOVENÍ</w:t>
      </w:r>
      <w:bookmarkEnd w:id="8"/>
    </w:p>
    <w:p w:rsidR="003854DE" w:rsidRDefault="00DF52BF">
      <w:pPr>
        <w:pStyle w:val="Zkladntext20"/>
        <w:framePr w:wrap="none" w:vAnchor="page" w:hAnchor="page" w:x="628" w:y="2623"/>
        <w:shd w:val="clear" w:color="auto" w:fill="auto"/>
        <w:tabs>
          <w:tab w:val="left" w:pos="1936"/>
        </w:tabs>
        <w:spacing w:before="0" w:after="0" w:line="240" w:lineRule="exact"/>
        <w:ind w:left="1220" w:firstLine="0"/>
      </w:pPr>
      <w:r>
        <w:t xml:space="preserve">1. Smlouva má 6 stran a je vyhotovena ve třech výtiscích, po jejím podepsání obdrží </w:t>
      </w:r>
      <w:proofErr w:type="gramStart"/>
      <w:r>
        <w:t>ob</w:t>
      </w:r>
      <w:proofErr w:type="gramEnd"/>
      <w:r>
        <w:t>-</w:t>
      </w:r>
    </w:p>
    <w:p w:rsidR="003854DE" w:rsidRDefault="00DF52BF">
      <w:pPr>
        <w:pStyle w:val="Zkladntext20"/>
        <w:framePr w:w="10134" w:h="2918" w:hRule="exact" w:wrap="none" w:vAnchor="page" w:hAnchor="page" w:x="628" w:y="2982"/>
        <w:shd w:val="clear" w:color="auto" w:fill="auto"/>
        <w:spacing w:before="0" w:after="77" w:line="240" w:lineRule="exact"/>
        <w:ind w:left="1500" w:firstLine="0"/>
        <w:jc w:val="left"/>
      </w:pPr>
      <w:r>
        <w:t>jednatel dva výtisky a zhotovitel jeden.</w:t>
      </w:r>
    </w:p>
    <w:p w:rsidR="003854DE" w:rsidRDefault="00DF52BF">
      <w:pPr>
        <w:pStyle w:val="Zkladntext20"/>
        <w:framePr w:w="10134" w:h="2918" w:hRule="exact" w:wrap="none" w:vAnchor="page" w:hAnchor="page" w:x="628" w:y="2982"/>
        <w:numPr>
          <w:ilvl w:val="0"/>
          <w:numId w:val="6"/>
        </w:numPr>
        <w:shd w:val="clear" w:color="auto" w:fill="auto"/>
        <w:tabs>
          <w:tab w:val="left" w:pos="1578"/>
        </w:tabs>
        <w:spacing w:before="0" w:after="0"/>
        <w:ind w:left="1500" w:hanging="280"/>
        <w:jc w:val="left"/>
      </w:pPr>
      <w:r>
        <w:t>Smlouvu je možné změnit jen po oboustranné dohodě, a to písemným dodatkem ke</w:t>
      </w:r>
      <w:r>
        <w:br/>
        <w:t>smlouvě.</w:t>
      </w:r>
    </w:p>
    <w:p w:rsidR="003854DE" w:rsidRDefault="00DF52BF">
      <w:pPr>
        <w:pStyle w:val="Zkladntext20"/>
        <w:framePr w:w="10134" w:h="2918" w:hRule="exact" w:wrap="none" w:vAnchor="page" w:hAnchor="page" w:x="628" w:y="2982"/>
        <w:numPr>
          <w:ilvl w:val="0"/>
          <w:numId w:val="6"/>
        </w:numPr>
        <w:shd w:val="clear" w:color="auto" w:fill="auto"/>
        <w:tabs>
          <w:tab w:val="left" w:pos="1578"/>
        </w:tabs>
        <w:spacing w:before="0" w:after="0" w:line="407" w:lineRule="exact"/>
        <w:ind w:left="1500" w:hanging="280"/>
        <w:jc w:val="left"/>
      </w:pPr>
      <w:r>
        <w:t>Právní vztahy smluvně neupravené touto smlouvou se řídí ustanovením občanského</w:t>
      </w:r>
      <w:r>
        <w:br/>
        <w:t>zákoníku.</w:t>
      </w:r>
    </w:p>
    <w:p w:rsidR="003854DE" w:rsidRDefault="00DF52BF">
      <w:pPr>
        <w:pStyle w:val="Zkladntext20"/>
        <w:framePr w:w="10134" w:h="2918" w:hRule="exact" w:wrap="none" w:vAnchor="page" w:hAnchor="page" w:x="628" w:y="2982"/>
        <w:numPr>
          <w:ilvl w:val="0"/>
          <w:numId w:val="6"/>
        </w:numPr>
        <w:shd w:val="clear" w:color="auto" w:fill="auto"/>
        <w:tabs>
          <w:tab w:val="left" w:pos="1578"/>
        </w:tabs>
        <w:spacing w:before="0" w:after="173" w:line="240" w:lineRule="exact"/>
        <w:ind w:left="1220" w:firstLine="0"/>
      </w:pPr>
      <w:r>
        <w:t>Tato smlouvaje závazná i pro právní nástupce účastníků.</w:t>
      </w:r>
    </w:p>
    <w:p w:rsidR="003854DE" w:rsidRDefault="00DF52BF">
      <w:pPr>
        <w:pStyle w:val="Zkladntext20"/>
        <w:framePr w:w="10134" w:h="2918" w:hRule="exact" w:wrap="none" w:vAnchor="page" w:hAnchor="page" w:x="628" w:y="2982"/>
        <w:numPr>
          <w:ilvl w:val="0"/>
          <w:numId w:val="6"/>
        </w:numPr>
        <w:shd w:val="clear" w:color="auto" w:fill="auto"/>
        <w:tabs>
          <w:tab w:val="left" w:pos="1578"/>
        </w:tabs>
        <w:spacing w:before="0" w:after="0" w:line="240" w:lineRule="exact"/>
        <w:ind w:left="1220" w:firstLine="0"/>
      </w:pPr>
      <w:r>
        <w:t>Tato smlouva nabývá platnosti dnem jejího podpisu a účinnosti dne 1. 1.2017.</w:t>
      </w:r>
    </w:p>
    <w:p w:rsidR="003854DE" w:rsidRDefault="00DF52BF">
      <w:pPr>
        <w:pStyle w:val="Zkladntext20"/>
        <w:framePr w:wrap="none" w:vAnchor="page" w:hAnchor="page" w:x="1676" w:y="7799"/>
        <w:shd w:val="clear" w:color="auto" w:fill="auto"/>
        <w:spacing w:before="0" w:after="0" w:line="240" w:lineRule="exact"/>
        <w:ind w:firstLine="0"/>
        <w:jc w:val="left"/>
      </w:pPr>
      <w:r>
        <w:t>V Praze, dne: 30. 12. 2016</w:t>
      </w:r>
    </w:p>
    <w:p w:rsidR="003854DE" w:rsidRDefault="00DF52BF">
      <w:pPr>
        <w:pStyle w:val="Zkladntext20"/>
        <w:framePr w:wrap="none" w:vAnchor="page" w:hAnchor="page" w:x="628" w:y="7786"/>
        <w:shd w:val="clear" w:color="auto" w:fill="auto"/>
        <w:spacing w:before="0" w:after="0" w:line="240" w:lineRule="exact"/>
        <w:ind w:left="6095" w:firstLine="0"/>
        <w:jc w:val="left"/>
      </w:pPr>
      <w:r>
        <w:t xml:space="preserve">V Plzni, dne: </w:t>
      </w:r>
    </w:p>
    <w:p w:rsidR="003854DE" w:rsidRDefault="003854DE">
      <w:pPr>
        <w:pStyle w:val="Zkladntext20"/>
        <w:framePr w:wrap="none" w:vAnchor="page" w:hAnchor="page" w:x="1578" w:y="9481"/>
        <w:shd w:val="clear" w:color="auto" w:fill="auto"/>
        <w:spacing w:before="0" w:after="0" w:line="240" w:lineRule="exact"/>
        <w:ind w:firstLine="0"/>
        <w:jc w:val="left"/>
      </w:pPr>
    </w:p>
    <w:p w:rsidR="003854DE" w:rsidRDefault="00DF52BF">
      <w:pPr>
        <w:pStyle w:val="Zkladntext90"/>
        <w:framePr w:wrap="none" w:vAnchor="page" w:hAnchor="page" w:x="1676" w:y="9820"/>
        <w:shd w:val="clear" w:color="auto" w:fill="auto"/>
        <w:spacing w:line="170" w:lineRule="exact"/>
        <w:ind w:firstLine="0"/>
      </w:pPr>
      <w:r>
        <w:t>Zhotovitel:</w:t>
      </w:r>
    </w:p>
    <w:p w:rsidR="003854DE" w:rsidRDefault="003854DE">
      <w:pPr>
        <w:pStyle w:val="Zkladntext20"/>
        <w:framePr w:w="2452" w:h="879" w:hRule="exact" w:wrap="none" w:vAnchor="page" w:hAnchor="page" w:x="1668" w:y="10196"/>
        <w:shd w:val="clear" w:color="auto" w:fill="auto"/>
        <w:spacing w:before="0" w:after="0" w:line="274" w:lineRule="exact"/>
        <w:ind w:firstLine="0"/>
        <w:jc w:val="left"/>
      </w:pPr>
    </w:p>
    <w:p w:rsidR="003854DE" w:rsidRDefault="00DF52BF">
      <w:pPr>
        <w:pStyle w:val="Zkladntext20"/>
        <w:framePr w:w="8993" w:h="593" w:hRule="exact" w:wrap="none" w:vAnchor="page" w:hAnchor="page" w:x="1676" w:y="12458"/>
        <w:shd w:val="clear" w:color="auto" w:fill="auto"/>
        <w:spacing w:before="0" w:after="0" w:line="240" w:lineRule="exact"/>
        <w:ind w:firstLine="0"/>
        <w:jc w:val="left"/>
      </w:pPr>
      <w:r>
        <w:t>zástupce ve věcech technických</w:t>
      </w:r>
    </w:p>
    <w:p w:rsidR="003854DE" w:rsidRDefault="00DF52BF">
      <w:pPr>
        <w:pStyle w:val="Titulekobrzku0"/>
        <w:framePr w:w="3089" w:h="617" w:hRule="exact" w:wrap="none" w:vAnchor="page" w:hAnchor="page" w:x="6719" w:y="12458"/>
        <w:shd w:val="clear" w:color="auto" w:fill="auto"/>
        <w:spacing w:after="0" w:line="240" w:lineRule="exact"/>
      </w:pPr>
      <w:r>
        <w:t>zástupce ve věcech technických</w:t>
      </w:r>
    </w:p>
    <w:p w:rsidR="003854DE" w:rsidRDefault="003854DE">
      <w:pPr>
        <w:rPr>
          <w:sz w:val="2"/>
          <w:szCs w:val="2"/>
        </w:rPr>
      </w:pPr>
    </w:p>
    <w:sectPr w:rsidR="003854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93" w:rsidRDefault="00561D93">
      <w:r>
        <w:separator/>
      </w:r>
    </w:p>
  </w:endnote>
  <w:endnote w:type="continuationSeparator" w:id="0">
    <w:p w:rsidR="00561D93" w:rsidRDefault="0056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93" w:rsidRDefault="00561D93"/>
  </w:footnote>
  <w:footnote w:type="continuationSeparator" w:id="0">
    <w:p w:rsidR="00561D93" w:rsidRDefault="00561D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371"/>
    <w:multiLevelType w:val="multilevel"/>
    <w:tmpl w:val="041E60A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D636C"/>
    <w:multiLevelType w:val="multilevel"/>
    <w:tmpl w:val="D8CEDC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E07C6"/>
    <w:multiLevelType w:val="multilevel"/>
    <w:tmpl w:val="E850E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F92C52"/>
    <w:multiLevelType w:val="multilevel"/>
    <w:tmpl w:val="F5685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A6ADD"/>
    <w:multiLevelType w:val="multilevel"/>
    <w:tmpl w:val="FE942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0E3E30"/>
    <w:multiLevelType w:val="multilevel"/>
    <w:tmpl w:val="FF808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4DE"/>
    <w:rsid w:val="003854DE"/>
    <w:rsid w:val="003B5FB2"/>
    <w:rsid w:val="00561D93"/>
    <w:rsid w:val="00D441C0"/>
    <w:rsid w:val="00D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Zkladntext31">
    <w:name w:val="Základní text (3)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41">
    <w:name w:val="Základní text (4)"/>
    <w:basedOn w:val="Zkladn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CourierNew6pt">
    <w:name w:val="Základní text (2) + Courier New;6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70"/>
      <w:sz w:val="8"/>
      <w:szCs w:val="8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101">
    <w:name w:val="Základní text (10)"/>
    <w:basedOn w:val="Zkladntext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MicrosoftSansSerif7pt">
    <w:name w:val="Základní text (10) + Microsoft Sans Serif;7 pt"/>
    <w:basedOn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MicrosoftSansSerif4pt">
    <w:name w:val="Základní text (10) + Microsoft Sans Serif;4 pt"/>
    <w:basedOn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9ptTun">
    <w:name w:val="Základní text (10) + 9 pt;Tučné"/>
    <w:basedOn w:val="Zkladntext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0"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after="420" w:line="4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540" w:line="360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4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jc w:val="both"/>
    </w:pPr>
    <w:rPr>
      <w:rFonts w:ascii="MingLiU" w:eastAsia="MingLiU" w:hAnsi="MingLiU" w:cs="MingLiU"/>
      <w:spacing w:val="70"/>
      <w:sz w:val="8"/>
      <w:szCs w:val="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ind w:hanging="72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252" w:lineRule="exac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94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Eva</dc:creator>
  <cp:lastModifiedBy>Vlčková Eva</cp:lastModifiedBy>
  <cp:revision>2</cp:revision>
  <dcterms:created xsi:type="dcterms:W3CDTF">2017-06-30T11:26:00Z</dcterms:created>
  <dcterms:modified xsi:type="dcterms:W3CDTF">2017-06-30T11:33:00Z</dcterms:modified>
</cp:coreProperties>
</file>