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045"/>
        <w:gridCol w:w="1420"/>
        <w:gridCol w:w="1540"/>
        <w:gridCol w:w="1180"/>
        <w:gridCol w:w="195"/>
        <w:gridCol w:w="2650"/>
      </w:tblGrid>
      <w:tr w:rsidR="00192D09" w:rsidRPr="00192D09" w:rsidTr="00192D09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Protokol o změně díla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změnový list č. 1</w:t>
            </w:r>
          </w:p>
        </w:tc>
      </w:tr>
      <w:tr w:rsidR="00192D09" w:rsidRPr="00192D09" w:rsidTr="00192D09">
        <w:trPr>
          <w:trHeight w:val="60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Dílo:</w:t>
            </w:r>
          </w:p>
        </w:tc>
        <w:tc>
          <w:tcPr>
            <w:tcW w:w="788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MSB – Modernizace hlavní budovy – výměna oken v návštěvnickém depozitáři</w:t>
            </w:r>
          </w:p>
        </w:tc>
      </w:tr>
      <w:tr w:rsidR="00192D09" w:rsidRPr="00192D09" w:rsidTr="00192D09">
        <w:trPr>
          <w:trHeight w:val="447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Smlouva o dílo: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 xml:space="preserve">č. 73/2023 z 23.10.2023 </w:t>
            </w:r>
          </w:p>
        </w:tc>
      </w:tr>
      <w:tr w:rsidR="00192D09" w:rsidRPr="00192D09" w:rsidTr="00192D09">
        <w:trPr>
          <w:trHeight w:val="447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Reg.č</w:t>
            </w:r>
            <w:proofErr w:type="spellEnd"/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 stavby: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134V131000172</w:t>
            </w:r>
          </w:p>
        </w:tc>
      </w:tr>
      <w:tr w:rsidR="00192D09" w:rsidRPr="00192D09" w:rsidTr="00192D09">
        <w:trPr>
          <w:trHeight w:val="443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Objekt: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hlavní budova muzea, U Muzea 398/4, Jablonec nad Nisou</w:t>
            </w:r>
          </w:p>
        </w:tc>
      </w:tr>
      <w:tr w:rsidR="00192D09" w:rsidRPr="00192D09" w:rsidTr="00192D09">
        <w:trPr>
          <w:trHeight w:val="900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Objednatel: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  <w:t>Muzeum skla a bižuterie v Jablonci nad Nisou</w:t>
            </w: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</w: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 sídlem: U Muzea 398/4, Jablonec nad Nisou</w:t>
            </w: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IČ: 00079481</w:t>
            </w:r>
          </w:p>
        </w:tc>
      </w:tr>
      <w:tr w:rsidR="00192D09" w:rsidRPr="00192D09" w:rsidTr="00192D09">
        <w:trPr>
          <w:trHeight w:val="900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Zhotovitel: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Antikhaus</w:t>
            </w:r>
            <w:proofErr w:type="spellEnd"/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a.s.</w:t>
            </w: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</w: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 sídlem: Ještědská 357, Rychnov u JBC</w:t>
            </w: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 xml:space="preserve">IČ: 15889173                                                                                 </w:t>
            </w:r>
          </w:p>
        </w:tc>
      </w:tr>
      <w:tr w:rsidR="00192D09" w:rsidRPr="00192D09" w:rsidTr="00192D09">
        <w:trPr>
          <w:trHeight w:val="503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změnového </w:t>
            </w:r>
            <w:proofErr w:type="gramStart"/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listu: </w:t>
            </w: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 xml:space="preserve"> Změny</w:t>
            </w:r>
            <w:proofErr w:type="gramEnd"/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 xml:space="preserve"> vzniklé v průběhu stavby.</w:t>
            </w:r>
          </w:p>
        </w:tc>
      </w:tr>
      <w:tr w:rsidR="00192D09" w:rsidRPr="00192D09" w:rsidTr="00192D09">
        <w:trPr>
          <w:trHeight w:val="443"/>
        </w:trPr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Popis změny</w:t>
            </w:r>
          </w:p>
        </w:tc>
        <w:tc>
          <w:tcPr>
            <w:tcW w:w="78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Změnu </w:t>
            </w:r>
            <w:proofErr w:type="gramStart"/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vyvolal: </w:t>
            </w: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 xml:space="preserve"> Objednatel</w:t>
            </w:r>
            <w:proofErr w:type="gramEnd"/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 xml:space="preserve"> a zhotovitel</w:t>
            </w:r>
          </w:p>
        </w:tc>
      </w:tr>
      <w:tr w:rsidR="00192D09" w:rsidRPr="00192D09" w:rsidTr="00192D09">
        <w:trPr>
          <w:trHeight w:val="375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Popis změny a zdůvodnění nezbytnosti změn:</w:t>
            </w:r>
          </w:p>
        </w:tc>
      </w:tr>
      <w:tr w:rsidR="00192D09" w:rsidRPr="00192D09" w:rsidTr="00192D09">
        <w:trPr>
          <w:trHeight w:val="1545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 xml:space="preserve">Část změn vznikla na základě skutečného stavu na stavbě po demontáži původních okenních </w:t>
            </w: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br/>
              <w:t xml:space="preserve">a dveřních výplní. Další část změn vznikla na základě rozhodnutí objednatele (odpočet dokončovacích prací), kdy budou v následujícím období probíhat stavební úpravy v dotčených prostorách a s ohledem na prašnost těchto prací by se jednalo o zbytečně vynaložené finanční prostředky. </w:t>
            </w:r>
          </w:p>
        </w:tc>
      </w:tr>
      <w:tr w:rsidR="00192D09" w:rsidRPr="00192D09" w:rsidTr="00192D09">
        <w:trPr>
          <w:trHeight w:val="45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192D09" w:rsidRPr="00192D09" w:rsidTr="00192D09">
        <w:trPr>
          <w:trHeight w:val="60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192D09" w:rsidRPr="00192D09" w:rsidTr="00192D09">
        <w:trPr>
          <w:trHeight w:val="375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Zdůvodnění příčin event. nepředvídatelnosti </w:t>
            </w:r>
            <w:proofErr w:type="gramStart"/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změny:   </w:t>
            </w:r>
            <w:proofErr w:type="gramEnd"/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                                                    </w:t>
            </w:r>
          </w:p>
        </w:tc>
      </w:tr>
      <w:tr w:rsidR="00192D09" w:rsidRPr="00192D09" w:rsidTr="00192D09">
        <w:trPr>
          <w:trHeight w:val="1125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88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 xml:space="preserve">Některé uvedené změny vznikly na základě rozporu mezi projektovou dokumentací, rozpočtem </w:t>
            </w:r>
            <w:proofErr w:type="gramStart"/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>a  zjištěním</w:t>
            </w:r>
            <w:proofErr w:type="gramEnd"/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 xml:space="preserve"> skutečného stavu na stavbě, tj. okolností, které objednatel ani zhotovitel nemohli předvídat. Další změny vznikly z důvodu úspory finančních prostředků, které by byly v případě realizace zbytečně vynaložené.</w:t>
            </w:r>
          </w:p>
        </w:tc>
      </w:tr>
      <w:tr w:rsidR="00192D09" w:rsidRPr="00192D09" w:rsidTr="00192D09">
        <w:trPr>
          <w:trHeight w:val="40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88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D09" w:rsidRPr="00192D09" w:rsidTr="00192D09">
        <w:trPr>
          <w:trHeight w:val="2190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92D09" w:rsidRPr="00192D09" w:rsidRDefault="00192D09" w:rsidP="00192D0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Zdůvodnění nemožnosti oddělení prací a samostatného zadání:</w:t>
            </w:r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</w: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 xml:space="preserve">Uváděná změna je prováděná v souladu s ustanovením § 222, </w:t>
            </w:r>
            <w:proofErr w:type="gramStart"/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>odst.(</w:t>
            </w:r>
            <w:proofErr w:type="gramEnd"/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>4) zákona č. 134/2016 Sb.   Nejedná se o podstatnou změnu závazku ze smlouvy na veřejnou zakázku, neboť se jedná o změnu, která nemění celkovou povahu veřejné zakázky a jejíž hodnota je:</w:t>
            </w: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br/>
              <w:t>a) nižší než finanční limit pro nadlimitní veřejnou zakázku a</w:t>
            </w: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br/>
              <w:t>b) nižší než 15 % původní hodnoty závazku zhotovitele; a to i v součtu hodnoty všech změn podle odstavce (4), § 222 zákona č. 134/2016 Sb.</w:t>
            </w:r>
          </w:p>
        </w:tc>
      </w:tr>
      <w:tr w:rsidR="00192D09" w:rsidRPr="00192D09" w:rsidTr="00192D09">
        <w:trPr>
          <w:trHeight w:val="375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Způsob projekčního </w:t>
            </w:r>
            <w:proofErr w:type="gramStart"/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zpracování:  </w:t>
            </w: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>bez</w:t>
            </w:r>
            <w:proofErr w:type="gramEnd"/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 xml:space="preserve"> změny PD</w:t>
            </w:r>
          </w:p>
        </w:tc>
      </w:tr>
      <w:tr w:rsidR="00192D09" w:rsidRPr="00192D09" w:rsidTr="00192D09">
        <w:trPr>
          <w:trHeight w:val="398"/>
        </w:trPr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 (bez DPH)</w:t>
            </w:r>
          </w:p>
        </w:tc>
        <w:tc>
          <w:tcPr>
            <w:tcW w:w="78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Vliv změny na náklady </w:t>
            </w:r>
            <w:proofErr w:type="gramStart"/>
            <w:r w:rsidRPr="00192D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stavby:   </w:t>
            </w:r>
            <w:proofErr w:type="gramEnd"/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 xml:space="preserve"> Snížení nákladů stavby.</w:t>
            </w:r>
          </w:p>
        </w:tc>
      </w:tr>
      <w:tr w:rsidR="00192D09" w:rsidRPr="00192D09" w:rsidTr="00192D09">
        <w:trPr>
          <w:trHeight w:val="87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Ocenění změny předložil: 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Antikhaus</w:t>
            </w:r>
            <w:proofErr w:type="spellEnd"/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a.s.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Ve formě: </w:t>
            </w: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oceněného rozpočtu</w:t>
            </w:r>
          </w:p>
        </w:tc>
      </w:tr>
      <w:tr w:rsidR="00192D09" w:rsidRPr="00192D09" w:rsidTr="00192D09">
        <w:trPr>
          <w:trHeight w:val="39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Náklady na změnu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vícepráce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méněpráce</w:t>
            </w:r>
            <w:proofErr w:type="spellEnd"/>
          </w:p>
        </w:tc>
      </w:tr>
      <w:tr w:rsidR="00192D09" w:rsidRPr="00192D09" w:rsidTr="00192D09">
        <w:trPr>
          <w:trHeight w:val="39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Stavební náklady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>3 864,00 Kč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>-32 113,59 Kč</w:t>
            </w:r>
          </w:p>
        </w:tc>
      </w:tr>
      <w:tr w:rsidR="00192D09" w:rsidRPr="00192D09" w:rsidTr="00192D09">
        <w:trPr>
          <w:trHeight w:val="39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Projekční náklady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0,00 Kč</w:t>
            </w:r>
          </w:p>
        </w:tc>
      </w:tr>
      <w:tr w:rsidR="00192D09" w:rsidRPr="00192D09" w:rsidTr="00192D09">
        <w:trPr>
          <w:trHeight w:val="398"/>
        </w:trPr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 (bez DPH)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Úprava smluvní ceny: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zvýšení/snížení</w:t>
            </w:r>
          </w:p>
        </w:tc>
      </w:tr>
      <w:tr w:rsidR="00192D09" w:rsidRPr="00192D09" w:rsidTr="00192D09">
        <w:trPr>
          <w:trHeight w:val="39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Dosud platná cena dle SOD bez DPH: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lang w:eastAsia="cs-CZ"/>
              </w:rPr>
              <w:t>1 568 721,63 Kč</w:t>
            </w:r>
          </w:p>
        </w:tc>
      </w:tr>
      <w:tr w:rsidR="00192D09" w:rsidRPr="00192D09" w:rsidTr="00192D09">
        <w:trPr>
          <w:trHeight w:val="39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Zvýšení: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3 864,00 Kč</w:t>
            </w:r>
          </w:p>
        </w:tc>
      </w:tr>
      <w:tr w:rsidR="00192D09" w:rsidRPr="00192D09" w:rsidTr="00192D09">
        <w:trPr>
          <w:trHeight w:val="39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Snížení: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-32 113,59 Kč</w:t>
            </w:r>
          </w:p>
        </w:tc>
      </w:tr>
      <w:tr w:rsidR="00192D09" w:rsidRPr="00192D09" w:rsidTr="00192D09">
        <w:trPr>
          <w:trHeight w:val="39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Nová cena bez DPH: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1 540 472,04 Kč</w:t>
            </w:r>
          </w:p>
        </w:tc>
      </w:tr>
      <w:tr w:rsidR="00192D09" w:rsidRPr="00192D09" w:rsidTr="00192D09">
        <w:trPr>
          <w:trHeight w:val="39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Nová cena vč. </w:t>
            </w:r>
            <w:proofErr w:type="gramStart"/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21%</w:t>
            </w:r>
            <w:proofErr w:type="gramEnd"/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DPH: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D09" w:rsidRPr="00192D09" w:rsidRDefault="00192D09" w:rsidP="00192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2D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1 863 971,17 Kč</w:t>
            </w:r>
          </w:p>
        </w:tc>
      </w:tr>
    </w:tbl>
    <w:p w:rsidR="00C43B8C" w:rsidRDefault="00C43B8C">
      <w:bookmarkStart w:id="0" w:name="_GoBack"/>
      <w:bookmarkEnd w:id="0"/>
    </w:p>
    <w:sectPr w:rsidR="00C43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09"/>
    <w:rsid w:val="00192D09"/>
    <w:rsid w:val="00C4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E971B-C6EE-4FD9-B7AD-C0646D53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2024-04-11T12:49:00Z</dcterms:created>
  <dcterms:modified xsi:type="dcterms:W3CDTF">2024-04-11T12:50:00Z</dcterms:modified>
</cp:coreProperties>
</file>