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6FB" w14:textId="77777777" w:rsidR="00784A29" w:rsidRDefault="00000000">
      <w:pPr>
        <w:spacing w:before="77"/>
        <w:ind w:left="821" w:right="821"/>
        <w:jc w:val="center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č. </w:t>
      </w:r>
      <w:proofErr w:type="gramStart"/>
      <w:r>
        <w:rPr>
          <w:b/>
          <w:sz w:val="32"/>
        </w:rPr>
        <w:t>1</w:t>
      </w:r>
      <w:proofErr w:type="gramEnd"/>
    </w:p>
    <w:p w14:paraId="73E6EE9E" w14:textId="77777777" w:rsidR="00784A29" w:rsidRDefault="00000000">
      <w:pPr>
        <w:pStyle w:val="Nadpis3"/>
      </w:pPr>
      <w:proofErr w:type="spellStart"/>
      <w:r>
        <w:t>ke</w:t>
      </w:r>
      <w:proofErr w:type="spellEnd"/>
      <w:r>
        <w:t xml:space="preserve"> SMLOUVĚ O PROVOZOVÁNÍ STUDIJNÍHO INFORMAČNÍHO SYSTÉMU</w:t>
      </w:r>
    </w:p>
    <w:p w14:paraId="7D5D0F84" w14:textId="77777777" w:rsidR="00784A29" w:rsidRDefault="00784A29">
      <w:pPr>
        <w:pStyle w:val="Zkladntext"/>
        <w:rPr>
          <w:b/>
          <w:sz w:val="24"/>
        </w:rPr>
      </w:pPr>
    </w:p>
    <w:p w14:paraId="76293F59" w14:textId="77777777" w:rsidR="00784A29" w:rsidRDefault="00784A29">
      <w:pPr>
        <w:pStyle w:val="Zkladntext"/>
        <w:rPr>
          <w:b/>
        </w:rPr>
      </w:pPr>
    </w:p>
    <w:p w14:paraId="2770380A" w14:textId="77777777" w:rsidR="00784A29" w:rsidRDefault="00000000">
      <w:pPr>
        <w:pStyle w:val="Zkladntext"/>
        <w:ind w:left="117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1722911B" w14:textId="77777777" w:rsidR="00784A29" w:rsidRDefault="00784A29">
      <w:pPr>
        <w:pStyle w:val="Zkladntext"/>
        <w:rPr>
          <w:sz w:val="24"/>
        </w:rPr>
      </w:pPr>
    </w:p>
    <w:p w14:paraId="24257880" w14:textId="77777777" w:rsidR="00784A29" w:rsidRDefault="00784A29">
      <w:pPr>
        <w:pStyle w:val="Zkladntext"/>
        <w:spacing w:before="11"/>
        <w:rPr>
          <w:sz w:val="19"/>
        </w:rPr>
      </w:pPr>
    </w:p>
    <w:p w14:paraId="4C8C891C" w14:textId="77777777" w:rsidR="00784A29" w:rsidRDefault="00000000">
      <w:pPr>
        <w:tabs>
          <w:tab w:val="left" w:pos="2241"/>
        </w:tabs>
        <w:ind w:left="117"/>
        <w:jc w:val="both"/>
        <w:rPr>
          <w:b/>
        </w:rPr>
      </w:pPr>
      <w:proofErr w:type="spellStart"/>
      <w:r>
        <w:t>Zadavatel</w:t>
      </w:r>
      <w:proofErr w:type="spellEnd"/>
      <w:r>
        <w:t>:</w:t>
      </w:r>
      <w:r>
        <w:tab/>
      </w:r>
      <w:proofErr w:type="spellStart"/>
      <w:r>
        <w:rPr>
          <w:b/>
        </w:rPr>
        <w:t>Vysoká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uměleckoprůmyslová</w:t>
      </w:r>
      <w:proofErr w:type="spellEnd"/>
      <w:r>
        <w:rPr>
          <w:b/>
        </w:rPr>
        <w:t xml:space="preserve"> v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Praze</w:t>
      </w:r>
      <w:proofErr w:type="spellEnd"/>
    </w:p>
    <w:p w14:paraId="4674E35E" w14:textId="77777777" w:rsidR="00784A29" w:rsidRDefault="00000000">
      <w:pPr>
        <w:pStyle w:val="Zkladntext"/>
        <w:tabs>
          <w:tab w:val="left" w:pos="2241"/>
        </w:tabs>
        <w:ind w:left="108" w:right="3066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nám</w:t>
      </w:r>
      <w:proofErr w:type="spellEnd"/>
      <w:r>
        <w:t>. Jana Palacha 80/3, 116 93</w:t>
      </w:r>
      <w:r>
        <w:rPr>
          <w:spacing w:val="-1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  <w:r>
        <w:rPr>
          <w:w w:val="99"/>
        </w:rPr>
        <w:t xml:space="preserve"> </w:t>
      </w:r>
      <w:r>
        <w:t>IČO:</w:t>
      </w:r>
      <w:r>
        <w:tab/>
        <w:t>60461071</w:t>
      </w:r>
    </w:p>
    <w:p w14:paraId="0D437215" w14:textId="77777777" w:rsidR="00784A29" w:rsidRDefault="00000000">
      <w:pPr>
        <w:pStyle w:val="Zkladntext"/>
        <w:tabs>
          <w:tab w:val="left" w:pos="2241"/>
        </w:tabs>
        <w:ind w:left="108"/>
        <w:jc w:val="both"/>
      </w:pPr>
      <w:r>
        <w:t>DIČ:</w:t>
      </w:r>
      <w:r>
        <w:tab/>
        <w:t>CZ60461071</w:t>
      </w:r>
    </w:p>
    <w:p w14:paraId="6F7C3670" w14:textId="77777777" w:rsidR="00784A29" w:rsidRDefault="00000000">
      <w:pPr>
        <w:pStyle w:val="Zkladntext"/>
        <w:tabs>
          <w:tab w:val="left" w:pos="2241"/>
        </w:tabs>
        <w:spacing w:line="480" w:lineRule="auto"/>
        <w:ind w:left="117" w:right="1404"/>
      </w:pPr>
      <w:proofErr w:type="spellStart"/>
      <w:r>
        <w:t>zastoupená</w:t>
      </w:r>
      <w:proofErr w:type="spellEnd"/>
      <w:r>
        <w:t>:</w:t>
      </w:r>
      <w:r>
        <w:tab/>
        <w:t xml:space="preserve">Prof.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PaedDr</w:t>
      </w:r>
      <w:proofErr w:type="spellEnd"/>
      <w:r>
        <w:t xml:space="preserve">. </w:t>
      </w:r>
      <w:proofErr w:type="spellStart"/>
      <w:r>
        <w:t>Jindřichem</w:t>
      </w:r>
      <w:proofErr w:type="spellEnd"/>
      <w:r>
        <w:t xml:space="preserve"> </w:t>
      </w:r>
      <w:proofErr w:type="spellStart"/>
      <w:r>
        <w:t>Vybíralem</w:t>
      </w:r>
      <w:proofErr w:type="spellEnd"/>
      <w:r>
        <w:rPr>
          <w:spacing w:val="-11"/>
        </w:rPr>
        <w:t xml:space="preserve"> </w:t>
      </w:r>
      <w:r>
        <w:t>DSc.,</w:t>
      </w:r>
      <w:r>
        <w:rPr>
          <w:spacing w:val="-2"/>
        </w:rPr>
        <w:t xml:space="preserve"> </w:t>
      </w:r>
      <w:proofErr w:type="spellStart"/>
      <w:r>
        <w:t>rektorem</w:t>
      </w:r>
      <w:proofErr w:type="spellEnd"/>
      <w:r>
        <w:rPr>
          <w:w w:val="99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t>Objednatel</w:t>
      </w:r>
      <w:proofErr w:type="spellEnd"/>
      <w:r>
        <w:t>“)</w:t>
      </w:r>
    </w:p>
    <w:p w14:paraId="0B416A57" w14:textId="77777777" w:rsidR="00784A29" w:rsidRDefault="00000000">
      <w:pPr>
        <w:pStyle w:val="Zkladntext"/>
        <w:spacing w:before="7"/>
        <w:ind w:left="117"/>
        <w:jc w:val="both"/>
      </w:pPr>
      <w:r>
        <w:rPr>
          <w:w w:val="99"/>
        </w:rPr>
        <w:t>a</w:t>
      </w:r>
    </w:p>
    <w:p w14:paraId="679944A0" w14:textId="77777777" w:rsidR="00784A29" w:rsidRDefault="00784A29">
      <w:pPr>
        <w:pStyle w:val="Zkladntext"/>
        <w:spacing w:before="11"/>
        <w:rPr>
          <w:sz w:val="21"/>
        </w:rPr>
      </w:pPr>
    </w:p>
    <w:p w14:paraId="7DEA90BA" w14:textId="77777777" w:rsidR="00784A29" w:rsidRDefault="00000000">
      <w:pPr>
        <w:tabs>
          <w:tab w:val="left" w:pos="2241"/>
        </w:tabs>
        <w:spacing w:line="252" w:lineRule="exact"/>
        <w:ind w:left="117"/>
        <w:jc w:val="both"/>
        <w:rPr>
          <w:b/>
        </w:rPr>
      </w:pPr>
      <w:proofErr w:type="spellStart"/>
      <w:r>
        <w:t>Poskytovatel</w:t>
      </w:r>
      <w:proofErr w:type="spellEnd"/>
      <w:r>
        <w:t>:</w:t>
      </w:r>
      <w:r>
        <w:tab/>
      </w:r>
      <w:proofErr w:type="spellStart"/>
      <w:r>
        <w:rPr>
          <w:b/>
        </w:rPr>
        <w:t>Západočeská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univerzita</w:t>
      </w:r>
      <w:proofErr w:type="spellEnd"/>
      <w:r>
        <w:rPr>
          <w:b/>
        </w:rPr>
        <w:t xml:space="preserve"> v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Plzni</w:t>
      </w:r>
      <w:proofErr w:type="spellEnd"/>
    </w:p>
    <w:p w14:paraId="2ABF3146" w14:textId="77777777" w:rsidR="00784A29" w:rsidRDefault="00000000">
      <w:pPr>
        <w:pStyle w:val="Zkladntext"/>
        <w:tabs>
          <w:tab w:val="left" w:pos="2241"/>
        </w:tabs>
        <w:spacing w:line="252" w:lineRule="exact"/>
        <w:ind w:left="117"/>
        <w:jc w:val="both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Univerzitní</w:t>
      </w:r>
      <w:proofErr w:type="spellEnd"/>
      <w:r>
        <w:t xml:space="preserve"> 8, 301 00</w:t>
      </w:r>
      <w:r>
        <w:rPr>
          <w:spacing w:val="-5"/>
        </w:rPr>
        <w:t xml:space="preserve"> </w:t>
      </w:r>
      <w:proofErr w:type="spellStart"/>
      <w:r>
        <w:t>Plzeň</w:t>
      </w:r>
      <w:proofErr w:type="spellEnd"/>
    </w:p>
    <w:p w14:paraId="03D20E18" w14:textId="77777777" w:rsidR="00784A29" w:rsidRDefault="00000000">
      <w:pPr>
        <w:pStyle w:val="Zkladntext"/>
        <w:tabs>
          <w:tab w:val="left" w:pos="2241"/>
        </w:tabs>
        <w:ind w:left="117"/>
        <w:jc w:val="both"/>
      </w:pPr>
      <w:r>
        <w:t>IČO:</w:t>
      </w:r>
      <w:r>
        <w:tab/>
        <w:t>49777513</w:t>
      </w:r>
    </w:p>
    <w:p w14:paraId="2C736305" w14:textId="77777777" w:rsidR="00784A29" w:rsidRDefault="00000000">
      <w:pPr>
        <w:pStyle w:val="Zkladntext"/>
        <w:tabs>
          <w:tab w:val="left" w:pos="2241"/>
        </w:tabs>
        <w:ind w:left="117"/>
        <w:jc w:val="both"/>
      </w:pPr>
      <w:r>
        <w:t>DIČ:</w:t>
      </w:r>
      <w:r>
        <w:tab/>
        <w:t>CZ49777513</w:t>
      </w:r>
    </w:p>
    <w:p w14:paraId="61AA8869" w14:textId="77777777" w:rsidR="00784A29" w:rsidRDefault="00000000">
      <w:pPr>
        <w:pStyle w:val="Zkladntext"/>
        <w:tabs>
          <w:tab w:val="left" w:pos="2241"/>
        </w:tabs>
        <w:spacing w:line="480" w:lineRule="auto"/>
        <w:ind w:left="117" w:right="3797"/>
      </w:pPr>
      <w:proofErr w:type="spellStart"/>
      <w:r>
        <w:t>zastoupená</w:t>
      </w:r>
      <w:proofErr w:type="spellEnd"/>
      <w:r>
        <w:t>:</w:t>
      </w:r>
      <w:r>
        <w:tab/>
        <w:t xml:space="preserve">Ing. </w:t>
      </w:r>
      <w:proofErr w:type="spellStart"/>
      <w:r>
        <w:t>Petrem</w:t>
      </w:r>
      <w:proofErr w:type="spellEnd"/>
      <w:r>
        <w:rPr>
          <w:spacing w:val="-3"/>
        </w:rPr>
        <w:t xml:space="preserve"> </w:t>
      </w:r>
      <w:proofErr w:type="spellStart"/>
      <w:r>
        <w:t>Benešem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kvestorem</w:t>
      </w:r>
      <w:proofErr w:type="spellEnd"/>
      <w:r>
        <w:rPr>
          <w:w w:val="99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4"/>
        </w:rPr>
        <w:t xml:space="preserve"> </w:t>
      </w:r>
      <w:r>
        <w:t>„</w:t>
      </w:r>
      <w:proofErr w:type="spellStart"/>
      <w:r>
        <w:t>Provozovatel</w:t>
      </w:r>
      <w:proofErr w:type="spellEnd"/>
      <w:r>
        <w:t>“)</w:t>
      </w:r>
    </w:p>
    <w:p w14:paraId="66401CED" w14:textId="77777777" w:rsidR="00784A29" w:rsidRDefault="00784A29">
      <w:pPr>
        <w:pStyle w:val="Zkladntext"/>
        <w:spacing w:before="7"/>
      </w:pPr>
    </w:p>
    <w:p w14:paraId="44A2A8CF" w14:textId="77777777" w:rsidR="00784A29" w:rsidRDefault="00000000">
      <w:pPr>
        <w:pStyle w:val="Zkladntext"/>
        <w:ind w:left="117" w:right="115"/>
        <w:jc w:val="both"/>
      </w:pPr>
      <w:proofErr w:type="spellStart"/>
      <w:r>
        <w:t>spolu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1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Dodatek</w:t>
      </w:r>
      <w:proofErr w:type="spellEnd"/>
      <w:r>
        <w:t xml:space="preserve">“)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rPr>
          <w:spacing w:val="-5"/>
        </w:rPr>
        <w:t xml:space="preserve"> </w:t>
      </w:r>
      <w:proofErr w:type="spellStart"/>
      <w:r>
        <w:t>systému</w:t>
      </w:r>
      <w:proofErr w:type="spellEnd"/>
      <w:r>
        <w:rPr>
          <w:spacing w:val="-3"/>
        </w:rPr>
        <w:t xml:space="preserve"> </w:t>
      </w:r>
      <w:proofErr w:type="spellStart"/>
      <w:r>
        <w:t>uzavřené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1746</w:t>
      </w:r>
      <w:r>
        <w:rPr>
          <w:spacing w:val="-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7"/>
        </w:rPr>
        <w:t xml:space="preserve"> </w:t>
      </w:r>
      <w:proofErr w:type="gramStart"/>
      <w:r>
        <w:t>2</w:t>
      </w:r>
      <w:proofErr w:type="gramEnd"/>
      <w:r>
        <w:rPr>
          <w:spacing w:val="-5"/>
        </w:rPr>
        <w:t xml:space="preserve"> </w:t>
      </w:r>
      <w:proofErr w:type="spellStart"/>
      <w:r>
        <w:t>zákona</w:t>
      </w:r>
      <w:proofErr w:type="spellEnd"/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proofErr w:type="spellStart"/>
      <w:r>
        <w:t>občanský</w:t>
      </w:r>
      <w:proofErr w:type="spellEnd"/>
      <w:r>
        <w:rPr>
          <w:spacing w:val="-6"/>
        </w:rP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22. 6. 2023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4"/>
        </w:rPr>
        <w:t xml:space="preserve"> </w:t>
      </w:r>
      <w:r>
        <w:t>„</w:t>
      </w:r>
      <w:proofErr w:type="spellStart"/>
      <w:r>
        <w:t>Smlouva</w:t>
      </w:r>
      <w:proofErr w:type="spellEnd"/>
      <w:r>
        <w:t>“).</w:t>
      </w:r>
    </w:p>
    <w:p w14:paraId="2F32D894" w14:textId="77777777" w:rsidR="00784A29" w:rsidRDefault="00784A29">
      <w:pPr>
        <w:pStyle w:val="Zkladntext"/>
        <w:rPr>
          <w:sz w:val="24"/>
        </w:rPr>
      </w:pPr>
    </w:p>
    <w:p w14:paraId="4CAB7544" w14:textId="77777777" w:rsidR="00784A29" w:rsidRDefault="00784A29">
      <w:pPr>
        <w:pStyle w:val="Zkladntext"/>
        <w:rPr>
          <w:sz w:val="20"/>
        </w:rPr>
      </w:pPr>
    </w:p>
    <w:p w14:paraId="68BE80D3" w14:textId="77777777" w:rsidR="00784A29" w:rsidRDefault="00000000">
      <w:pPr>
        <w:pStyle w:val="Nadpis3"/>
        <w:ind w:left="587"/>
      </w:pPr>
      <w:r>
        <w:t>I.</w:t>
      </w:r>
    </w:p>
    <w:p w14:paraId="6F6117A9" w14:textId="77777777" w:rsidR="00784A29" w:rsidRDefault="00000000">
      <w:pPr>
        <w:ind w:left="821" w:right="821"/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Dodatku</w:t>
      </w:r>
      <w:proofErr w:type="spellEnd"/>
    </w:p>
    <w:p w14:paraId="7AD595A4" w14:textId="77777777" w:rsidR="00784A29" w:rsidRDefault="00000000">
      <w:pPr>
        <w:spacing w:before="121"/>
        <w:ind w:left="401" w:right="11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doplnění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. 2 o </w:t>
      </w:r>
      <w:proofErr w:type="spellStart"/>
      <w:r>
        <w:rPr>
          <w:b/>
        </w:rPr>
        <w:t>nový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</w:t>
      </w:r>
      <w:proofErr w:type="spellEnd"/>
      <w:r>
        <w:rPr>
          <w:b/>
        </w:rPr>
        <w:t xml:space="preserve">. 10 </w:t>
      </w:r>
      <w:proofErr w:type="spellStart"/>
      <w:r>
        <w:rPr>
          <w:b/>
        </w:rPr>
        <w:t>Smlouvy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zní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takto</w:t>
      </w:r>
      <w:proofErr w:type="spellEnd"/>
      <w:r>
        <w:t>:</w:t>
      </w:r>
    </w:p>
    <w:p w14:paraId="6EDAC077" w14:textId="77777777" w:rsidR="00784A29" w:rsidRDefault="00000000">
      <w:pPr>
        <w:spacing w:before="119"/>
        <w:ind w:left="401" w:right="113"/>
        <w:jc w:val="both"/>
        <w:rPr>
          <w:i/>
        </w:rPr>
      </w:pPr>
      <w:r>
        <w:t>„</w:t>
      </w:r>
      <w:proofErr w:type="spellStart"/>
      <w:r>
        <w:rPr>
          <w:i/>
        </w:rPr>
        <w:t>Provozovatel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není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bez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souhlasu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Objednatele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oprávněn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předat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data,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včetně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autorských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děl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zejména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grafického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návrhu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písma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užíváno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popisy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diplomech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vložená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systému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Objednatelem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žádné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třetí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osobě</w:t>
      </w:r>
      <w:proofErr w:type="spellEnd"/>
      <w:r>
        <w:rPr>
          <w:i/>
        </w:rPr>
        <w:t xml:space="preserve">, s </w:t>
      </w:r>
      <w:proofErr w:type="spellStart"/>
      <w:r>
        <w:rPr>
          <w:i/>
        </w:rPr>
        <w:t>výjimkou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případu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informační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povinnost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plyne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obecně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závazných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předpisů</w:t>
      </w:r>
      <w:proofErr w:type="spellEnd"/>
      <w:r>
        <w:rPr>
          <w:i/>
        </w:rPr>
        <w:t xml:space="preserve">. V </w:t>
      </w:r>
      <w:proofErr w:type="spellStart"/>
      <w:r>
        <w:rPr>
          <w:i/>
        </w:rPr>
        <w:t>případě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Provozovatel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poruší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povinnosti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stanovené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tomto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odstavci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Smlouvy</w:t>
      </w:r>
      <w:proofErr w:type="spellEnd"/>
      <w:r>
        <w:rPr>
          <w:i/>
        </w:rPr>
        <w:t xml:space="preserve">, je </w:t>
      </w:r>
      <w:proofErr w:type="spellStart"/>
      <w:r>
        <w:rPr>
          <w:i/>
        </w:rPr>
        <w:t>povinen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uhradit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Objednateli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smluvní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pokutu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výši</w:t>
      </w:r>
      <w:proofErr w:type="spellEnd"/>
      <w:r>
        <w:rPr>
          <w:i/>
        </w:rPr>
        <w:t xml:space="preserve"> 10 000 </w:t>
      </w:r>
      <w:proofErr w:type="spellStart"/>
      <w:r>
        <w:rPr>
          <w:i/>
        </w:rPr>
        <w:t>Kč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jednotlivé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porušení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Tímto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ustanovením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dotčeno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Objednatele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domáhat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náhrady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způsobené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škody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kterou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Provozovatel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oprávněn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vymáhat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zvlášť</w:t>
      </w:r>
      <w:proofErr w:type="spellEnd"/>
      <w:r>
        <w:rPr>
          <w:i/>
        </w:rPr>
        <w:t xml:space="preserve"> a v </w:t>
      </w:r>
      <w:proofErr w:type="spellStart"/>
      <w:r>
        <w:rPr>
          <w:i/>
        </w:rPr>
        <w:t>plné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výši</w:t>
      </w:r>
      <w:proofErr w:type="spellEnd"/>
      <w:r>
        <w:rPr>
          <w:i/>
        </w:rPr>
        <w:t>.“</w:t>
      </w:r>
    </w:p>
    <w:p w14:paraId="59169A3A" w14:textId="77777777" w:rsidR="00784A29" w:rsidRDefault="00784A29">
      <w:pPr>
        <w:pStyle w:val="Zkladntext"/>
        <w:rPr>
          <w:i/>
          <w:sz w:val="24"/>
        </w:rPr>
      </w:pPr>
    </w:p>
    <w:p w14:paraId="53278CCB" w14:textId="77777777" w:rsidR="00784A29" w:rsidRDefault="00784A29">
      <w:pPr>
        <w:pStyle w:val="Zkladntext"/>
        <w:spacing w:before="10"/>
        <w:rPr>
          <w:i/>
          <w:sz w:val="18"/>
        </w:rPr>
      </w:pPr>
    </w:p>
    <w:p w14:paraId="2F512CE7" w14:textId="77777777" w:rsidR="00784A29" w:rsidRDefault="00000000">
      <w:pPr>
        <w:pStyle w:val="Nadpis3"/>
      </w:pPr>
      <w:r>
        <w:t>II.</w:t>
      </w:r>
    </w:p>
    <w:p w14:paraId="583455A2" w14:textId="77777777" w:rsidR="00784A29" w:rsidRDefault="00000000">
      <w:pPr>
        <w:ind w:left="820" w:right="821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6AC61F23" w14:textId="77777777" w:rsidR="00784A29" w:rsidRDefault="00000000">
      <w:pPr>
        <w:pStyle w:val="Odstavecseseznamem"/>
        <w:numPr>
          <w:ilvl w:val="0"/>
          <w:numId w:val="1"/>
        </w:numPr>
        <w:tabs>
          <w:tab w:val="left" w:pos="762"/>
        </w:tabs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uznávanými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12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4DA56226" w14:textId="77777777" w:rsidR="00784A29" w:rsidRDefault="00000000">
      <w:pPr>
        <w:pStyle w:val="Odstavecseseznamem"/>
        <w:numPr>
          <w:ilvl w:val="0"/>
          <w:numId w:val="1"/>
        </w:numPr>
        <w:tabs>
          <w:tab w:val="left" w:pos="685"/>
        </w:tabs>
        <w:spacing w:before="120"/>
        <w:ind w:left="684" w:right="122" w:hanging="283"/>
      </w:pPr>
      <w:proofErr w:type="spellStart"/>
      <w:r>
        <w:t>Tento</w:t>
      </w:r>
      <w:proofErr w:type="spellEnd"/>
      <w:r>
        <w:t xml:space="preserve">  </w:t>
      </w:r>
      <w:proofErr w:type="spellStart"/>
      <w:r>
        <w:t>Dodatek</w:t>
      </w:r>
      <w:proofErr w:type="spellEnd"/>
      <w:r>
        <w:t xml:space="preserve">  </w:t>
      </w:r>
      <w:proofErr w:type="spellStart"/>
      <w:r>
        <w:t>nabývá</w:t>
      </w:r>
      <w:proofErr w:type="spellEnd"/>
      <w:r>
        <w:t xml:space="preserve">  </w:t>
      </w:r>
      <w:proofErr w:type="spellStart"/>
      <w:r>
        <w:t>platnosti</w:t>
      </w:r>
      <w:proofErr w:type="spellEnd"/>
      <w:r>
        <w:t xml:space="preserve">  </w:t>
      </w:r>
      <w:proofErr w:type="spellStart"/>
      <w:r>
        <w:t>dnem</w:t>
      </w:r>
      <w:proofErr w:type="spellEnd"/>
      <w:r>
        <w:t xml:space="preserve">  </w:t>
      </w:r>
      <w:proofErr w:type="spellStart"/>
      <w:r>
        <w:t>jeho</w:t>
      </w:r>
      <w:proofErr w:type="spellEnd"/>
      <w:r>
        <w:t xml:space="preserve">  </w:t>
      </w:r>
      <w:proofErr w:type="spellStart"/>
      <w:r>
        <w:t>podpisu</w:t>
      </w:r>
      <w:proofErr w:type="spellEnd"/>
      <w:r>
        <w:t xml:space="preserve">  </w:t>
      </w:r>
      <w:proofErr w:type="spellStart"/>
      <w:r>
        <w:t>oběma</w:t>
      </w:r>
      <w:proofErr w:type="spellEnd"/>
      <w:r>
        <w:t xml:space="preserve">  </w:t>
      </w:r>
      <w:proofErr w:type="spellStart"/>
      <w:r>
        <w:t>Smluvními</w:t>
      </w:r>
      <w:proofErr w:type="spellEnd"/>
      <w:r>
        <w:t xml:space="preserve">  </w:t>
      </w:r>
      <w:proofErr w:type="spellStart"/>
      <w:r>
        <w:t>stranami</w:t>
      </w:r>
      <w:proofErr w:type="spellEnd"/>
      <w:r>
        <w:t xml:space="preserve">  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zajistí</w:t>
      </w:r>
      <w:proofErr w:type="spellEnd"/>
      <w:r>
        <w:rPr>
          <w:spacing w:val="-17"/>
        </w:rPr>
        <w:t xml:space="preserve"> </w:t>
      </w:r>
      <w:proofErr w:type="spellStart"/>
      <w:r>
        <w:t>Provozovatel</w:t>
      </w:r>
      <w:proofErr w:type="spellEnd"/>
      <w:r>
        <w:t>.</w:t>
      </w:r>
    </w:p>
    <w:p w14:paraId="5CB31CF3" w14:textId="77777777" w:rsidR="00784A29" w:rsidRDefault="00784A29">
      <w:pPr>
        <w:sectPr w:rsidR="00784A29" w:rsidSect="0083440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E6A8B9D" w14:textId="77777777" w:rsidR="00784A29" w:rsidRDefault="00784A29">
      <w:pPr>
        <w:pStyle w:val="Zkladntext"/>
        <w:rPr>
          <w:sz w:val="20"/>
        </w:rPr>
      </w:pPr>
    </w:p>
    <w:p w14:paraId="387AF11C" w14:textId="77777777" w:rsidR="00784A29" w:rsidRDefault="00784A29">
      <w:pPr>
        <w:pStyle w:val="Zkladntext"/>
        <w:rPr>
          <w:sz w:val="20"/>
        </w:rPr>
      </w:pPr>
    </w:p>
    <w:p w14:paraId="5F80884D" w14:textId="77777777" w:rsidR="00784A29" w:rsidRDefault="00784A29">
      <w:pPr>
        <w:pStyle w:val="Zkladntext"/>
        <w:rPr>
          <w:sz w:val="20"/>
        </w:rPr>
      </w:pPr>
    </w:p>
    <w:p w14:paraId="101657B0" w14:textId="77777777" w:rsidR="00784A29" w:rsidRDefault="00784A29">
      <w:pPr>
        <w:spacing w:line="149" w:lineRule="exact"/>
        <w:rPr>
          <w:rFonts w:ascii="Calibri"/>
        </w:rPr>
        <w:sectPr w:rsidR="00784A29" w:rsidSect="00834401">
          <w:type w:val="continuous"/>
          <w:pgSz w:w="11910" w:h="16840"/>
          <w:pgMar w:top="1320" w:right="1120" w:bottom="280" w:left="1200" w:header="708" w:footer="708" w:gutter="0"/>
          <w:cols w:num="4" w:space="708" w:equalWidth="0">
            <w:col w:w="1931" w:space="578"/>
            <w:col w:w="2130" w:space="1201"/>
            <w:col w:w="1381" w:space="423"/>
            <w:col w:w="1946"/>
          </w:cols>
        </w:sectPr>
      </w:pPr>
    </w:p>
    <w:p w14:paraId="442EBC46" w14:textId="20C54997" w:rsidR="00784A29" w:rsidRDefault="00000000">
      <w:pPr>
        <w:tabs>
          <w:tab w:val="left" w:pos="2618"/>
          <w:tab w:val="left" w:pos="5881"/>
          <w:tab w:val="left" w:pos="8950"/>
        </w:tabs>
        <w:spacing w:line="279" w:lineRule="exact"/>
        <w:ind w:left="217"/>
        <w:rPr>
          <w:rFonts w:ascii="Calibri"/>
          <w:sz w:val="13"/>
        </w:rPr>
      </w:pPr>
      <w:r>
        <w:rPr>
          <w:rFonts w:ascii="Calibri"/>
          <w:w w:val="95"/>
          <w:sz w:val="13"/>
          <w:u w:val="single"/>
        </w:rPr>
        <w:t xml:space="preserve"> </w:t>
      </w:r>
      <w:r>
        <w:rPr>
          <w:rFonts w:ascii="Calibri"/>
          <w:sz w:val="13"/>
          <w:u w:val="single"/>
        </w:rPr>
        <w:tab/>
      </w:r>
      <w:r w:rsidR="00963A27">
        <w:rPr>
          <w:rFonts w:ascii="Calibri"/>
          <w:sz w:val="13"/>
          <w:u w:val="single"/>
        </w:rPr>
        <w:t>_______________________________</w:t>
      </w:r>
      <w:r>
        <w:rPr>
          <w:rFonts w:ascii="Calibri"/>
          <w:sz w:val="13"/>
        </w:rPr>
        <w:tab/>
      </w:r>
      <w:r>
        <w:rPr>
          <w:rFonts w:ascii="Calibri"/>
          <w:w w:val="95"/>
          <w:sz w:val="13"/>
          <w:u w:val="single"/>
        </w:rPr>
        <w:t xml:space="preserve"> </w:t>
      </w:r>
      <w:r>
        <w:rPr>
          <w:rFonts w:ascii="Calibri"/>
          <w:sz w:val="13"/>
          <w:u w:val="single"/>
        </w:rPr>
        <w:tab/>
      </w:r>
    </w:p>
    <w:p w14:paraId="4FF9B241" w14:textId="77777777" w:rsidR="00784A29" w:rsidRDefault="00000000">
      <w:pPr>
        <w:tabs>
          <w:tab w:val="left" w:pos="5881"/>
        </w:tabs>
        <w:spacing w:before="1"/>
        <w:ind w:left="217"/>
      </w:pPr>
      <w:r>
        <w:rPr>
          <w:sz w:val="24"/>
        </w:rPr>
        <w:t xml:space="preserve">Prof. </w:t>
      </w:r>
      <w:proofErr w:type="spellStart"/>
      <w:r>
        <w:rPr>
          <w:sz w:val="24"/>
        </w:rPr>
        <w:t>PhDr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PaedDr</w:t>
      </w:r>
      <w:proofErr w:type="spellEnd"/>
      <w:r>
        <w:rPr>
          <w:sz w:val="24"/>
        </w:rPr>
        <w:t>. Jindřich</w:t>
      </w:r>
      <w:r>
        <w:rPr>
          <w:spacing w:val="-3"/>
          <w:sz w:val="24"/>
        </w:rPr>
        <w:t xml:space="preserve"> </w:t>
      </w:r>
      <w:r>
        <w:rPr>
          <w:sz w:val="24"/>
        </w:rPr>
        <w:t>Vybíral</w:t>
      </w:r>
      <w:r>
        <w:rPr>
          <w:spacing w:val="-2"/>
          <w:sz w:val="24"/>
        </w:rPr>
        <w:t xml:space="preserve"> </w:t>
      </w:r>
      <w:r>
        <w:rPr>
          <w:sz w:val="24"/>
        </w:rPr>
        <w:t>DSc.</w:t>
      </w:r>
      <w:r>
        <w:rPr>
          <w:sz w:val="24"/>
        </w:rPr>
        <w:tab/>
      </w:r>
      <w:r>
        <w:t>Ing. Petr</w:t>
      </w:r>
      <w:r>
        <w:rPr>
          <w:spacing w:val="-3"/>
        </w:rPr>
        <w:t xml:space="preserve"> </w:t>
      </w:r>
      <w:r>
        <w:t>Beneš</w:t>
      </w:r>
    </w:p>
    <w:p w14:paraId="393845E0" w14:textId="77777777" w:rsidR="00784A29" w:rsidRDefault="00000000">
      <w:pPr>
        <w:tabs>
          <w:tab w:val="left" w:pos="5881"/>
        </w:tabs>
        <w:ind w:left="217"/>
        <w:rPr>
          <w:sz w:val="24"/>
        </w:rPr>
      </w:pP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kvestor</w:t>
      </w:r>
      <w:proofErr w:type="spellEnd"/>
    </w:p>
    <w:sectPr w:rsidR="00784A29">
      <w:type w:val="continuous"/>
      <w:pgSz w:w="11910" w:h="16840"/>
      <w:pgMar w:top="132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ED"/>
    <w:multiLevelType w:val="hybridMultilevel"/>
    <w:tmpl w:val="D3B45D7C"/>
    <w:lvl w:ilvl="0" w:tplc="F852289A">
      <w:start w:val="1"/>
      <w:numFmt w:val="decimal"/>
      <w:lvlText w:val="%1."/>
      <w:lvlJc w:val="left"/>
      <w:pPr>
        <w:ind w:left="761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6CCB8CA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F0255D6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8668A32C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4B36B4FE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2AB6D8A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284E7FA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9EE1F1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25D2402C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 w16cid:durableId="73200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A29"/>
    <w:rsid w:val="00784A29"/>
    <w:rsid w:val="00834401"/>
    <w:rsid w:val="009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A27"/>
  <w15:docId w15:val="{FAA903BE-6DA7-411F-884B-499063E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30" w:lineRule="exact"/>
      <w:ind w:left="109"/>
      <w:outlineLvl w:val="0"/>
    </w:pPr>
    <w:rPr>
      <w:rFonts w:ascii="Calibri" w:eastAsia="Calibri" w:hAnsi="Calibri" w:cs="Calibri"/>
      <w:sz w:val="51"/>
      <w:szCs w:val="51"/>
    </w:rPr>
  </w:style>
  <w:style w:type="paragraph" w:styleId="Nadpis2">
    <w:name w:val="heading 2"/>
    <w:basedOn w:val="Normln"/>
    <w:uiPriority w:val="9"/>
    <w:unhideWhenUsed/>
    <w:qFormat/>
    <w:pPr>
      <w:spacing w:line="433" w:lineRule="exact"/>
      <w:ind w:left="109"/>
      <w:outlineLvl w:val="1"/>
    </w:pPr>
    <w:rPr>
      <w:rFonts w:ascii="Calibri" w:eastAsia="Calibri" w:hAnsi="Calibri" w:cs="Calibri"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ind w:left="821" w:right="821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684" w:right="119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Svobodová</dc:creator>
  <cp:lastModifiedBy>Blanka Grebeňová</cp:lastModifiedBy>
  <cp:revision>3</cp:revision>
  <dcterms:created xsi:type="dcterms:W3CDTF">2024-04-11T09:28:00Z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2024-04-11T00:00:00Z</vt:filetime>
  </property>
</Properties>
</file>