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D8A7" w14:textId="520B1341" w:rsidR="00540900" w:rsidRDefault="00673F07" w:rsidP="00540900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772594">
        <w:rPr>
          <w:rFonts w:ascii="Arial" w:hAnsi="Arial"/>
          <w:szCs w:val="22"/>
        </w:rPr>
        <w:t xml:space="preserve">č. </w:t>
      </w:r>
      <w:r w:rsidR="00AB412B">
        <w:rPr>
          <w:rFonts w:ascii="Arial" w:hAnsi="Arial"/>
          <w:szCs w:val="22"/>
        </w:rPr>
        <w:t>4</w:t>
      </w:r>
      <w:r w:rsidR="00772594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ke smlouvě</w:t>
      </w:r>
      <w:r w:rsidR="00E0086F" w:rsidRPr="00ED6435">
        <w:rPr>
          <w:rFonts w:ascii="Arial" w:hAnsi="Arial"/>
          <w:szCs w:val="22"/>
        </w:rPr>
        <w:t xml:space="preserve"> O DÍLO</w:t>
      </w:r>
      <w:r w:rsidR="00540900">
        <w:rPr>
          <w:rFonts w:ascii="Arial" w:hAnsi="Arial"/>
          <w:szCs w:val="22"/>
        </w:rPr>
        <w:t xml:space="preserve"> </w:t>
      </w:r>
    </w:p>
    <w:p w14:paraId="0DF50540" w14:textId="625ECE0E" w:rsidR="00540900" w:rsidRPr="00540900" w:rsidRDefault="00540900" w:rsidP="00540900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540900">
        <w:rPr>
          <w:rFonts w:ascii="Arial" w:hAnsi="Arial"/>
          <w:b w:val="0"/>
          <w:bCs w:val="0"/>
          <w:caps w:val="0"/>
          <w:szCs w:val="22"/>
        </w:rPr>
        <w:t>č.</w:t>
      </w:r>
      <w:r w:rsidR="00703400">
        <w:rPr>
          <w:rFonts w:ascii="Arial" w:hAnsi="Arial"/>
          <w:b w:val="0"/>
          <w:bCs w:val="0"/>
          <w:caps w:val="0"/>
          <w:szCs w:val="22"/>
        </w:rPr>
        <w:t xml:space="preserve"> 1160</w:t>
      </w:r>
      <w:r>
        <w:rPr>
          <w:rFonts w:ascii="Arial" w:hAnsi="Arial"/>
          <w:b w:val="0"/>
          <w:bCs w:val="0"/>
          <w:caps w:val="0"/>
          <w:szCs w:val="22"/>
        </w:rPr>
        <w:t>/2021-541101</w:t>
      </w:r>
    </w:p>
    <w:p w14:paraId="2B871BEE" w14:textId="439E1241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673F07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4E9E6AEE" w14:textId="77777777" w:rsidR="000662E6" w:rsidRPr="00F45AC5" w:rsidRDefault="000662E6" w:rsidP="00BC5EA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 – Státní pozemkový úřad</w:t>
      </w:r>
    </w:p>
    <w:p w14:paraId="2E7900C2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Liberecký kraj</w:t>
      </w:r>
      <w:r w:rsidRPr="00F45AC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U Nisy 745/6a, 460 01 Liberec</w:t>
      </w:r>
      <w:r w:rsidRPr="00F45AC5">
        <w:rPr>
          <w:rFonts w:ascii="Arial" w:hAnsi="Arial" w:cs="Arial"/>
        </w:rPr>
        <w:t xml:space="preserve"> </w:t>
      </w:r>
    </w:p>
    <w:p w14:paraId="731ED336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Bohuslavem Kabátkem</w:t>
      </w:r>
      <w:r w:rsidRPr="00F45AC5">
        <w:rPr>
          <w:rFonts w:ascii="Arial" w:hAnsi="Arial" w:cs="Arial"/>
          <w:iCs/>
        </w:rPr>
        <w:t xml:space="preserve"> </w:t>
      </w:r>
    </w:p>
    <w:p w14:paraId="0099BC6D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>Ing. Bohuslavem Kabátkem, ředitel KPÚ pro Liberecký kraj</w:t>
      </w:r>
    </w:p>
    <w:p w14:paraId="24DE542D" w14:textId="77777777" w:rsidR="000662E6" w:rsidRPr="00D35BE5" w:rsidRDefault="000662E6" w:rsidP="000662E6">
      <w:pPr>
        <w:tabs>
          <w:tab w:val="left" w:pos="4536"/>
        </w:tabs>
        <w:spacing w:after="240"/>
        <w:ind w:left="567"/>
        <w:rPr>
          <w:rFonts w:ascii="Arial" w:hAnsi="Arial" w:cs="Arial"/>
          <w:snapToGrid w:val="0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Marta Srnková, vedoucí Pobočky Česká Lípa, Dubická 2362, 47001 Česká Lípa</w:t>
      </w:r>
      <w:r w:rsidRPr="00F45AC5">
        <w:rPr>
          <w:rFonts w:ascii="Arial" w:hAnsi="Arial" w:cs="Arial"/>
          <w:iCs/>
        </w:rPr>
        <w:t xml:space="preserve"> </w:t>
      </w:r>
    </w:p>
    <w:p w14:paraId="00500D22" w14:textId="77777777" w:rsidR="000662E6" w:rsidRPr="003E2A6D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56DA55EE" w14:textId="7BCD2B3A" w:rsidR="00772594" w:rsidRPr="003E2A6D" w:rsidRDefault="000662E6" w:rsidP="00772594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772594">
        <w:rPr>
          <w:rFonts w:ascii="Arial" w:hAnsi="Arial" w:cs="Arial"/>
        </w:rPr>
        <w:t>+420 725 548 187</w:t>
      </w:r>
    </w:p>
    <w:p w14:paraId="1DCA36B1" w14:textId="225F1712" w:rsidR="000662E6" w:rsidRPr="00F45AC5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547E69">
        <w:rPr>
          <w:rFonts w:ascii="Arial" w:hAnsi="Arial" w:cs="Arial"/>
          <w:snapToGrid w:val="0"/>
        </w:rPr>
        <w:t>m.srnkova@spucr.cz</w:t>
      </w:r>
    </w:p>
    <w:p w14:paraId="71A0DC5D" w14:textId="77777777" w:rsidR="000662E6" w:rsidRPr="00F45AC5" w:rsidRDefault="000662E6" w:rsidP="000662E6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4332CF06" w14:textId="77777777" w:rsidR="000662E6" w:rsidRPr="00ED6435" w:rsidRDefault="000662E6" w:rsidP="000662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3D011C" w14:textId="77777777" w:rsidR="000662E6" w:rsidRPr="00ED6435" w:rsidRDefault="000662E6" w:rsidP="000662E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260402D" w14:textId="77777777" w:rsidR="000662E6" w:rsidRPr="00ED6435" w:rsidRDefault="000662E6" w:rsidP="000662E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2DAB1B74" w:rsidR="00E0086F" w:rsidRPr="00ED6435" w:rsidRDefault="00F571A9" w:rsidP="00BC5EAF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</w:t>
      </w:r>
      <w:r w:rsidR="00264567">
        <w:rPr>
          <w:rFonts w:ascii="Arial" w:hAnsi="Arial" w:cs="Arial"/>
          <w:b/>
        </w:rPr>
        <w:t>DRUŽENÍ s.r.o.</w:t>
      </w:r>
    </w:p>
    <w:p w14:paraId="32BEDF50" w14:textId="5997A81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</w:t>
      </w:r>
      <w:r w:rsidR="00626E82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České republiky, </w:t>
      </w:r>
      <w:r w:rsidRPr="00ED6435">
        <w:rPr>
          <w:rFonts w:ascii="Arial" w:hAnsi="Arial" w:cs="Arial"/>
          <w:bCs/>
        </w:rPr>
        <w:t xml:space="preserve">se sídlem </w:t>
      </w:r>
      <w:r w:rsidR="00062A1E">
        <w:rPr>
          <w:rFonts w:ascii="Arial" w:hAnsi="Arial" w:cs="Arial"/>
          <w:snapToGrid w:val="0"/>
        </w:rPr>
        <w:t>Pod Anenskou 245</w:t>
      </w:r>
      <w:r w:rsidR="0018126D">
        <w:rPr>
          <w:rFonts w:ascii="Arial" w:hAnsi="Arial" w:cs="Arial"/>
          <w:snapToGrid w:val="0"/>
        </w:rPr>
        <w:t xml:space="preserve">, </w:t>
      </w:r>
      <w:r w:rsidR="00062A1E">
        <w:rPr>
          <w:rFonts w:ascii="Arial" w:hAnsi="Arial" w:cs="Arial"/>
          <w:snapToGrid w:val="0"/>
        </w:rPr>
        <w:t>26101 Příbram IV,</w:t>
      </w:r>
      <w:r w:rsidRPr="00ED6435">
        <w:rPr>
          <w:rFonts w:ascii="Arial" w:hAnsi="Arial" w:cs="Arial"/>
          <w:snapToGrid w:val="0"/>
        </w:rPr>
        <w:t xml:space="preserve"> IČO: </w:t>
      </w:r>
      <w:r w:rsidR="00062A1E">
        <w:rPr>
          <w:rFonts w:ascii="Arial" w:hAnsi="Arial" w:cs="Arial"/>
          <w:snapToGrid w:val="0"/>
        </w:rPr>
        <w:t>61682764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062A1E"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062A1E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 w:rsidR="00062A1E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062A1E">
        <w:rPr>
          <w:rFonts w:ascii="Arial" w:hAnsi="Arial" w:cs="Arial"/>
          <w:snapToGrid w:val="0"/>
        </w:rPr>
        <w:t>37161</w:t>
      </w:r>
    </w:p>
    <w:p w14:paraId="5F89DDB9" w14:textId="5FD0FB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D6C0D">
        <w:rPr>
          <w:rFonts w:ascii="Arial" w:hAnsi="Arial" w:cs="Arial"/>
          <w:snapToGrid w:val="0"/>
        </w:rPr>
        <w:t>Ing. Vladimírem Luksem</w:t>
      </w:r>
      <w:r w:rsidR="006323A8">
        <w:rPr>
          <w:rFonts w:ascii="Arial" w:hAnsi="Arial" w:cs="Arial"/>
          <w:snapToGrid w:val="0"/>
        </w:rPr>
        <w:t>, jednatelem</w:t>
      </w:r>
    </w:p>
    <w:p w14:paraId="470BDDFE" w14:textId="7D4406D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0D6C0D">
        <w:rPr>
          <w:rFonts w:ascii="Arial" w:hAnsi="Arial" w:cs="Arial"/>
          <w:snapToGrid w:val="0"/>
        </w:rPr>
        <w:t>Ing. Vladimír Luks</w:t>
      </w:r>
    </w:p>
    <w:p w14:paraId="2D5046AC" w14:textId="74DE05C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B4E00">
        <w:rPr>
          <w:rFonts w:ascii="Arial" w:hAnsi="Arial" w:cs="Arial"/>
          <w:snapToGrid w:val="0"/>
        </w:rPr>
        <w:t>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3BAC190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B4E00">
        <w:rPr>
          <w:rFonts w:ascii="Arial" w:hAnsi="Arial" w:cs="Arial"/>
        </w:rPr>
        <w:t>XXXXXXXXX</w:t>
      </w:r>
    </w:p>
    <w:p w14:paraId="3A61A83D" w14:textId="7ECA671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B4E00">
        <w:rPr>
          <w:rFonts w:ascii="Arial" w:hAnsi="Arial" w:cs="Arial"/>
          <w:snapToGrid w:val="0"/>
        </w:rPr>
        <w:t>XXXXXXXXX</w:t>
      </w:r>
    </w:p>
    <w:p w14:paraId="4F80076C" w14:textId="709514C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eep75pz</w:t>
      </w:r>
    </w:p>
    <w:p w14:paraId="7DA99D36" w14:textId="7D64686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Moneta Bank a.s.</w:t>
      </w:r>
    </w:p>
    <w:p w14:paraId="6F011ECB" w14:textId="58AD020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0D6C0D">
        <w:rPr>
          <w:rFonts w:ascii="Arial" w:hAnsi="Arial" w:cs="Arial"/>
          <w:snapToGrid w:val="0"/>
        </w:rPr>
        <w:t>237001749/0600</w:t>
      </w:r>
    </w:p>
    <w:p w14:paraId="19074D75" w14:textId="04BFCA8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D6C0D">
        <w:rPr>
          <w:rFonts w:ascii="Arial" w:hAnsi="Arial" w:cs="Arial"/>
          <w:snapToGrid w:val="0"/>
        </w:rPr>
        <w:t>CZ61682764</w:t>
      </w:r>
    </w:p>
    <w:p w14:paraId="483330C9" w14:textId="42FEF11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  <w:r w:rsidR="005479D3">
        <w:rPr>
          <w:rFonts w:ascii="Arial" w:hAnsi="Arial" w:cs="Arial"/>
        </w:rPr>
        <w:t xml:space="preserve">, </w:t>
      </w:r>
    </w:p>
    <w:p w14:paraId="4B81AFFF" w14:textId="77777777" w:rsidR="006E091D" w:rsidRDefault="006E091D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1CBF5A2A" w14:textId="10147530" w:rsidR="00673F07" w:rsidRPr="00B1126B" w:rsidRDefault="00673F07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 w:rsidR="00AB412B">
        <w:rPr>
          <w:rFonts w:ascii="Arial" w:hAnsi="Arial" w:cs="Arial"/>
          <w:b/>
          <w:bCs/>
        </w:rPr>
        <w:t>4</w:t>
      </w:r>
    </w:p>
    <w:p w14:paraId="2AB7DDFC" w14:textId="234C125B" w:rsidR="006E091D" w:rsidRPr="00B1126B" w:rsidRDefault="00673F07" w:rsidP="006144E4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 xml:space="preserve">ke smlouvě o dílo č. </w:t>
      </w:r>
      <w:r>
        <w:rPr>
          <w:rFonts w:ascii="Arial" w:hAnsi="Arial" w:cs="Arial"/>
          <w:b/>
          <w:bCs/>
        </w:rPr>
        <w:t>1160/2021</w:t>
      </w:r>
      <w:r w:rsidRPr="00B1126B">
        <w:rPr>
          <w:rFonts w:ascii="Arial" w:hAnsi="Arial" w:cs="Arial"/>
          <w:b/>
          <w:bCs/>
        </w:rPr>
        <w:t>-541101</w:t>
      </w:r>
    </w:p>
    <w:p w14:paraId="417E41F1" w14:textId="77777777" w:rsidR="00673F07" w:rsidRPr="00B1126B" w:rsidRDefault="00673F07" w:rsidP="00BC5EAF">
      <w:pPr>
        <w:pStyle w:val="Styl10"/>
        <w:numPr>
          <w:ilvl w:val="0"/>
          <w:numId w:val="19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23B49464" w14:textId="77777777" w:rsidR="00673F07" w:rsidRPr="00B1126B" w:rsidRDefault="00673F07" w:rsidP="00673F07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>Předmět a účel dodatku</w:t>
      </w:r>
    </w:p>
    <w:p w14:paraId="3BDC098A" w14:textId="40FA9166" w:rsidR="00AB412B" w:rsidRPr="009925AB" w:rsidRDefault="00AB412B" w:rsidP="00AB412B">
      <w:pPr>
        <w:spacing w:line="276" w:lineRule="auto"/>
        <w:jc w:val="both"/>
        <w:rPr>
          <w:rFonts w:ascii="Arial" w:hAnsi="Arial" w:cs="Arial"/>
        </w:rPr>
      </w:pPr>
      <w:bookmarkStart w:id="0" w:name="_Hlk135130198"/>
      <w:r w:rsidRPr="009925AB">
        <w:rPr>
          <w:rFonts w:ascii="Arial" w:hAnsi="Arial" w:cs="Arial"/>
          <w:bCs/>
        </w:rPr>
        <w:t xml:space="preserve">Tento dodatek se uzavírá na základě žádosti zhotovitele ze dne </w:t>
      </w:r>
      <w:r>
        <w:rPr>
          <w:rFonts w:ascii="Arial" w:hAnsi="Arial" w:cs="Arial"/>
          <w:bCs/>
        </w:rPr>
        <w:t>2. 4. 2024</w:t>
      </w:r>
      <w:r w:rsidRPr="009925AB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 xml:space="preserve">projednání dalšího postupu prací </w:t>
      </w:r>
      <w:r w:rsidRPr="009925AB">
        <w:rPr>
          <w:rFonts w:ascii="Arial" w:hAnsi="Arial" w:cs="Arial"/>
        </w:rPr>
        <w:t xml:space="preserve">na kontrolním dni konaném dne </w:t>
      </w:r>
      <w:r>
        <w:rPr>
          <w:rFonts w:ascii="Arial" w:hAnsi="Arial" w:cs="Arial"/>
        </w:rPr>
        <w:t>20.</w:t>
      </w:r>
      <w:r w:rsidR="00D21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D21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Pr="009925AB">
        <w:rPr>
          <w:rFonts w:ascii="Arial" w:hAnsi="Arial" w:cs="Arial"/>
        </w:rPr>
        <w:t>4.</w:t>
      </w:r>
    </w:p>
    <w:p w14:paraId="0366C7CE" w14:textId="199837FC" w:rsidR="00AB412B" w:rsidRPr="009925AB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highlight w:val="yellow"/>
        </w:rPr>
      </w:pPr>
      <w:r w:rsidRPr="009925AB">
        <w:rPr>
          <w:rFonts w:ascii="Arial" w:eastAsia="Arial" w:hAnsi="Arial" w:cs="Arial"/>
        </w:rPr>
        <w:t xml:space="preserve">V současné době se řízení o komplexních pozemkových úpravách </w:t>
      </w:r>
      <w:r w:rsidRPr="009925AB">
        <w:rPr>
          <w:rFonts w:ascii="Arial" w:hAnsi="Arial" w:cs="Arial"/>
          <w:bCs/>
        </w:rPr>
        <w:t>(</w:t>
      </w:r>
      <w:r w:rsidRPr="009925AB">
        <w:rPr>
          <w:rFonts w:ascii="Arial" w:eastAsia="Arial" w:hAnsi="Arial" w:cs="Arial"/>
        </w:rPr>
        <w:t xml:space="preserve">dále jen </w:t>
      </w:r>
      <w:r w:rsidRPr="009925AB">
        <w:rPr>
          <w:rFonts w:ascii="Arial" w:hAnsi="Arial" w:cs="Arial"/>
        </w:rPr>
        <w:t>„</w:t>
      </w:r>
      <w:r w:rsidRPr="009925AB">
        <w:rPr>
          <w:rFonts w:ascii="Arial" w:eastAsia="Arial" w:hAnsi="Arial" w:cs="Arial"/>
        </w:rPr>
        <w:t>KoPÚ</w:t>
      </w:r>
      <w:r w:rsidRPr="009925AB">
        <w:rPr>
          <w:rFonts w:ascii="Arial" w:hAnsi="Arial" w:cs="Arial"/>
        </w:rPr>
        <w:t>“</w:t>
      </w:r>
      <w:r w:rsidRPr="009925AB">
        <w:rPr>
          <w:rFonts w:ascii="Arial" w:hAnsi="Arial" w:cs="Arial"/>
          <w:bCs/>
        </w:rPr>
        <w:t>)</w:t>
      </w:r>
      <w:r w:rsidRPr="009925AB">
        <w:rPr>
          <w:rFonts w:ascii="Arial" w:eastAsia="Arial" w:hAnsi="Arial" w:cs="Arial"/>
        </w:rPr>
        <w:t xml:space="preserve"> nachází ve fázi návrhových prací, konkrétně je projednáván plán společných zařízení KoPÚ v k. ú. </w:t>
      </w:r>
      <w:r>
        <w:rPr>
          <w:rFonts w:ascii="Arial" w:eastAsia="Arial" w:hAnsi="Arial" w:cs="Arial"/>
        </w:rPr>
        <w:t>Luhov u Mimoně</w:t>
      </w:r>
      <w:r w:rsidRPr="009925AB">
        <w:rPr>
          <w:rFonts w:ascii="Arial" w:eastAsia="Arial" w:hAnsi="Arial" w:cs="Arial"/>
        </w:rPr>
        <w:t>. Návrh plánu společných zařízení (dále jen „PSZ“) nově počítá s</w:t>
      </w:r>
      <w:r>
        <w:rPr>
          <w:rFonts w:ascii="Arial" w:eastAsia="Arial" w:hAnsi="Arial" w:cs="Arial"/>
        </w:rPr>
        <w:t xml:space="preserve"> několika</w:t>
      </w:r>
      <w:r w:rsidRPr="009925AB">
        <w:rPr>
          <w:rFonts w:ascii="Arial" w:eastAsia="Arial" w:hAnsi="Arial" w:cs="Arial"/>
        </w:rPr>
        <w:t xml:space="preserve"> vodohospodářskými</w:t>
      </w:r>
      <w:r>
        <w:rPr>
          <w:rFonts w:ascii="Arial" w:eastAsia="Arial" w:hAnsi="Arial" w:cs="Arial"/>
        </w:rPr>
        <w:t xml:space="preserve"> a</w:t>
      </w:r>
      <w:r w:rsidR="006204DB">
        <w:rPr>
          <w:rFonts w:ascii="Arial" w:eastAsia="Arial" w:hAnsi="Arial" w:cs="Arial"/>
        </w:rPr>
        <w:t> </w:t>
      </w:r>
      <w:r w:rsidRPr="009925AB">
        <w:rPr>
          <w:rFonts w:ascii="Arial" w:eastAsia="Arial" w:hAnsi="Arial" w:cs="Arial"/>
        </w:rPr>
        <w:t>protierozními opatřeními, jež mají významně pomoci ke zlepšení stavu protipovodňové ochrany a ochrany vodního režimu v povodí jmenovaného katastrálního území</w:t>
      </w:r>
      <w:r>
        <w:rPr>
          <w:rFonts w:ascii="Arial" w:eastAsia="Arial" w:hAnsi="Arial" w:cs="Arial"/>
        </w:rPr>
        <w:t>, a také s opatřeními vedoucími ke zpřístupnění pozemků</w:t>
      </w:r>
      <w:r w:rsidRPr="009925AB">
        <w:rPr>
          <w:rFonts w:ascii="Arial" w:eastAsia="Arial" w:hAnsi="Arial" w:cs="Arial"/>
          <w:shd w:val="clear" w:color="auto" w:fill="FFFFFF" w:themeFill="background1"/>
        </w:rPr>
        <w:t>. S ohledem na formální správnost a</w:t>
      </w:r>
      <w:r>
        <w:rPr>
          <w:rFonts w:ascii="Arial" w:eastAsia="Arial" w:hAnsi="Arial" w:cs="Arial"/>
          <w:shd w:val="clear" w:color="auto" w:fill="FFFFFF" w:themeFill="background1"/>
        </w:rPr>
        <w:t> </w:t>
      </w:r>
      <w:r w:rsidRPr="009925AB">
        <w:rPr>
          <w:rFonts w:ascii="Arial" w:eastAsia="Arial" w:hAnsi="Arial" w:cs="Arial"/>
          <w:shd w:val="clear" w:color="auto" w:fill="FFFFFF" w:themeFill="background1"/>
        </w:rPr>
        <w:t>technickou proveditelnost navržených opatření</w:t>
      </w:r>
      <w:r w:rsidRPr="009925AB">
        <w:rPr>
          <w:rFonts w:ascii="Arial" w:hAnsi="Arial" w:cs="Arial"/>
          <w:shd w:val="clear" w:color="auto" w:fill="FFFFFF" w:themeFill="background1"/>
        </w:rPr>
        <w:t xml:space="preserve"> je v souladu s čl. 6.3.1., bod d) Objednatelem nezbytné zajistit na</w:t>
      </w:r>
      <w:r>
        <w:rPr>
          <w:rFonts w:ascii="Arial" w:hAnsi="Arial" w:cs="Arial"/>
          <w:shd w:val="clear" w:color="auto" w:fill="FFFFFF" w:themeFill="background1"/>
        </w:rPr>
        <w:t> </w:t>
      </w:r>
      <w:r w:rsidRPr="009925AB">
        <w:rPr>
          <w:rFonts w:ascii="Arial" w:hAnsi="Arial" w:cs="Arial"/>
          <w:shd w:val="clear" w:color="auto" w:fill="FFFFFF" w:themeFill="background1"/>
        </w:rPr>
        <w:t>návrh Zhotovitele vypracování inženýrsko-geologického průzkumu, jehož výsledky budou závazným podkladem pro</w:t>
      </w:r>
      <w:r w:rsidR="006204DB">
        <w:rPr>
          <w:rFonts w:ascii="Arial" w:hAnsi="Arial" w:cs="Arial"/>
          <w:shd w:val="clear" w:color="auto" w:fill="FFFFFF" w:themeFill="background1"/>
        </w:rPr>
        <w:t> </w:t>
      </w:r>
      <w:r w:rsidRPr="009925AB">
        <w:rPr>
          <w:rFonts w:ascii="Arial" w:hAnsi="Arial" w:cs="Arial"/>
          <w:shd w:val="clear" w:color="auto" w:fill="FFFFFF" w:themeFill="background1"/>
        </w:rPr>
        <w:t>návrh PSZ. O dobu potřebnou pro zhotovení průzkumu bude nutné prodloužit termíny odevzdání konkrétních dílčích částí Smlouvy o dílo (jedná se o změny dle čl. 2.1 Smlouvy o dílo).</w:t>
      </w:r>
    </w:p>
    <w:p w14:paraId="190BE70E" w14:textId="77777777" w:rsidR="00AB412B" w:rsidRPr="009925AB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p w14:paraId="6DFFC898" w14:textId="03218466" w:rsidR="00AB412B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 xml:space="preserve">Vzhledem k výše uvedenému je nezbytné upravit termíny odevzdání konkrétních dílčích částí dle položkového výkazu Smlouvy o dílo č. </w:t>
      </w:r>
      <w:r w:rsidRPr="009925AB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160/</w:t>
      </w:r>
      <w:r w:rsidRPr="009925AB">
        <w:rPr>
          <w:rFonts w:ascii="Arial" w:hAnsi="Arial" w:cs="Arial"/>
          <w:snapToGrid w:val="0"/>
        </w:rPr>
        <w:t>2021-541101,</w:t>
      </w:r>
      <w:r w:rsidRPr="009925AB">
        <w:rPr>
          <w:rFonts w:ascii="Arial" w:hAnsi="Arial" w:cs="Arial"/>
        </w:rPr>
        <w:t xml:space="preserve"> a to následovně:  </w:t>
      </w:r>
    </w:p>
    <w:p w14:paraId="08BF6AEE" w14:textId="77777777" w:rsidR="00AB412B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</w:p>
    <w:p w14:paraId="3275DBBE" w14:textId="58BCE0B2" w:rsidR="00AB412B" w:rsidRPr="009925AB" w:rsidRDefault="00AB412B" w:rsidP="00BC5EAF">
      <w:pPr>
        <w:pStyle w:val="Odstavecseseznamem"/>
        <w:numPr>
          <w:ilvl w:val="0"/>
          <w:numId w:val="20"/>
        </w:num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  <w:r w:rsidRPr="009925AB">
        <w:rPr>
          <w:rFonts w:ascii="Arial" w:hAnsi="Arial" w:cs="Arial"/>
          <w:bCs/>
        </w:rPr>
        <w:t xml:space="preserve">Termín odevzdání dílčí části 6.3.1. – </w:t>
      </w:r>
      <w:r w:rsidRPr="009925AB">
        <w:rPr>
          <w:rFonts w:ascii="Arial" w:hAnsi="Arial" w:cs="Arial"/>
          <w:bCs/>
          <w:i/>
          <w:iCs/>
        </w:rPr>
        <w:t xml:space="preserve">Vypracování plánu společných zařízení – </w:t>
      </w:r>
      <w:r w:rsidRPr="009925AB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 31. 5. 2024</w:t>
      </w:r>
      <w:r w:rsidRPr="009925AB">
        <w:rPr>
          <w:rFonts w:ascii="Arial" w:hAnsi="Arial" w:cs="Arial"/>
          <w:bCs/>
        </w:rPr>
        <w:t xml:space="preserve"> </w:t>
      </w:r>
      <w:r w:rsidRPr="009925AB">
        <w:rPr>
          <w:rFonts w:ascii="Arial" w:hAnsi="Arial" w:cs="Arial"/>
          <w:b/>
        </w:rPr>
        <w:t>na 31. 10. 2024.</w:t>
      </w:r>
    </w:p>
    <w:p w14:paraId="6E7BD319" w14:textId="4D192568" w:rsidR="00AB412B" w:rsidRPr="009925AB" w:rsidRDefault="00AB412B" w:rsidP="00BC5EAF">
      <w:pPr>
        <w:pStyle w:val="Odstavecseseznamem"/>
        <w:numPr>
          <w:ilvl w:val="0"/>
          <w:numId w:val="20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Cs/>
        </w:rPr>
      </w:pPr>
      <w:r w:rsidRPr="009925AB">
        <w:rPr>
          <w:rFonts w:ascii="Arial" w:hAnsi="Arial" w:cs="Arial"/>
          <w:bCs/>
        </w:rPr>
        <w:t xml:space="preserve">Termín odevzdání dílčí části 6.3.2 – </w:t>
      </w:r>
      <w:r w:rsidRPr="009925AB">
        <w:rPr>
          <w:rFonts w:ascii="Arial" w:hAnsi="Arial" w:cs="Arial"/>
          <w:bCs/>
          <w:i/>
          <w:iCs/>
        </w:rPr>
        <w:t>Vypracování návrhu nového uspořádání pozemků k vystavení dle § 11 odst. 1 zákona</w:t>
      </w:r>
      <w:r w:rsidRPr="009925AB">
        <w:rPr>
          <w:rFonts w:ascii="Arial" w:hAnsi="Arial" w:cs="Arial"/>
          <w:bCs/>
        </w:rPr>
        <w:t xml:space="preserve"> – z</w:t>
      </w:r>
      <w:r>
        <w:rPr>
          <w:rFonts w:ascii="Arial" w:hAnsi="Arial" w:cs="Arial"/>
          <w:bCs/>
        </w:rPr>
        <w:t> 28. 2. 2025</w:t>
      </w:r>
      <w:r w:rsidRPr="009925AB">
        <w:rPr>
          <w:rFonts w:ascii="Arial" w:hAnsi="Arial" w:cs="Arial"/>
          <w:bCs/>
        </w:rPr>
        <w:t xml:space="preserve"> </w:t>
      </w:r>
      <w:r w:rsidRPr="009925AB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 </w:t>
      </w:r>
      <w:r w:rsidRPr="009925A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1. 8</w:t>
      </w:r>
      <w:r w:rsidRPr="009925AB">
        <w:rPr>
          <w:rFonts w:ascii="Arial" w:hAnsi="Arial" w:cs="Arial"/>
          <w:b/>
        </w:rPr>
        <w:t>. 2025.</w:t>
      </w:r>
    </w:p>
    <w:p w14:paraId="1F5E6670" w14:textId="77777777" w:rsidR="00AB412B" w:rsidRPr="009925AB" w:rsidRDefault="00AB412B" w:rsidP="00AB412B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bCs/>
        </w:rPr>
      </w:pPr>
      <w:r w:rsidRPr="009925AB">
        <w:rPr>
          <w:rFonts w:ascii="Arial" w:hAnsi="Arial" w:cs="Arial"/>
          <w:bCs/>
        </w:rPr>
        <w:t>Tyto změny termínů představují vyhrazené změny závazku ze Smlouvy ve smyslu § 100 odst. 1 ZZVZ.</w:t>
      </w:r>
    </w:p>
    <w:bookmarkEnd w:id="0"/>
    <w:p w14:paraId="038C9003" w14:textId="77777777" w:rsidR="00AB412B" w:rsidRPr="00B1126B" w:rsidRDefault="00AB412B" w:rsidP="00BC5EAF">
      <w:pPr>
        <w:pStyle w:val="Styl10"/>
        <w:numPr>
          <w:ilvl w:val="0"/>
          <w:numId w:val="19"/>
        </w:numPr>
        <w:spacing w:after="120"/>
        <w:ind w:left="0" w:firstLine="0"/>
        <w:rPr>
          <w:rFonts w:cs="Arial"/>
          <w:sz w:val="22"/>
          <w:szCs w:val="22"/>
        </w:rPr>
      </w:pPr>
    </w:p>
    <w:p w14:paraId="427D74D8" w14:textId="77777777" w:rsidR="00AB412B" w:rsidRPr="009925AB" w:rsidRDefault="00AB412B" w:rsidP="00AB41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9925AB">
        <w:rPr>
          <w:rFonts w:ascii="Arial" w:hAnsi="Arial" w:cs="Arial"/>
          <w:b/>
          <w:bCs/>
        </w:rPr>
        <w:t>Způsob předávání digitálních částí díla a úprava platebních a fakturačních podmínek</w:t>
      </w:r>
    </w:p>
    <w:p w14:paraId="61F84D52" w14:textId="77777777" w:rsidR="00AB412B" w:rsidRPr="009925AB" w:rsidRDefault="00AB412B" w:rsidP="00AB41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925AB">
        <w:rPr>
          <w:rFonts w:ascii="Arial" w:hAnsi="Arial" w:cs="Arial"/>
          <w:bCs/>
        </w:rPr>
        <w:t xml:space="preserve">Na Portálu Státního pozemkového úřadu („SPÚ“) bylo spuštěno Výměnné úložiště SPÚ, které je určené pro sdílení dat s externími subjekty. Předávání dat mezi oběma Smluvními stranami bude od data podpisu tohoto Dodatku č. </w:t>
      </w:r>
      <w:r>
        <w:rPr>
          <w:rFonts w:ascii="Arial" w:hAnsi="Arial" w:cs="Arial"/>
          <w:bCs/>
        </w:rPr>
        <w:t>4</w:t>
      </w:r>
      <w:r w:rsidRPr="009925AB">
        <w:rPr>
          <w:rFonts w:ascii="Arial" w:hAnsi="Arial" w:cs="Arial"/>
          <w:bCs/>
        </w:rPr>
        <w:t xml:space="preserve"> prováděno výhradně cestou Výměnného úložiště SPÚ, které je iniciováno a zpřístupněno ze strany SPÚ. </w:t>
      </w:r>
      <w:r w:rsidRPr="009925AB">
        <w:rPr>
          <w:rFonts w:ascii="Arial" w:hAnsi="Arial" w:cs="Arial"/>
        </w:rPr>
        <w:t xml:space="preserve">V důsledku této změny se mění čl. </w:t>
      </w:r>
      <w:r w:rsidRPr="009925AB">
        <w:rPr>
          <w:rFonts w:ascii="Arial" w:hAnsi="Arial" w:cs="Arial"/>
          <w:b/>
          <w:bCs/>
        </w:rPr>
        <w:t>7. TECHNICKÉ POŽADAVKY NA PROVEDENÍ</w:t>
      </w:r>
      <w:r w:rsidRPr="009925AB">
        <w:rPr>
          <w:rFonts w:ascii="Arial" w:hAnsi="Arial" w:cs="Arial"/>
        </w:rPr>
        <w:t xml:space="preserve"> </w:t>
      </w:r>
      <w:r w:rsidRPr="009925AB">
        <w:rPr>
          <w:rFonts w:ascii="Arial" w:hAnsi="Arial" w:cs="Arial"/>
          <w:b/>
          <w:bCs/>
        </w:rPr>
        <w:t>DÍLA.</w:t>
      </w:r>
      <w:r w:rsidRPr="009925AB">
        <w:rPr>
          <w:rFonts w:ascii="Arial" w:hAnsi="Arial" w:cs="Arial"/>
        </w:rPr>
        <w:t xml:space="preserve"> Další změna se týká předávání faktur podle čl. </w:t>
      </w:r>
      <w:r w:rsidRPr="009925AB">
        <w:rPr>
          <w:rFonts w:ascii="Arial" w:hAnsi="Arial" w:cs="Arial"/>
          <w:b/>
          <w:bCs/>
        </w:rPr>
        <w:t>4. PLATEBNÍ A FAKTURAČNÍ PODMÍNKY</w:t>
      </w:r>
      <w:r w:rsidRPr="009925AB">
        <w:rPr>
          <w:rFonts w:ascii="Arial" w:hAnsi="Arial" w:cs="Arial"/>
        </w:rPr>
        <w:t>. Nově podle čl. 4.3 mezi náležitosti Faktury nepatří kopie Akceptačního protokolu.</w:t>
      </w:r>
      <w:r w:rsidRPr="009925AB">
        <w:rPr>
          <w:rFonts w:ascii="Arial" w:hAnsi="Arial" w:cs="Arial"/>
          <w:bCs/>
        </w:rPr>
        <w:t xml:space="preserve"> </w:t>
      </w:r>
    </w:p>
    <w:p w14:paraId="0DBB2E3D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25AB">
        <w:rPr>
          <w:rFonts w:ascii="Arial" w:hAnsi="Arial" w:cs="Arial"/>
        </w:rPr>
        <w:t>Na základě výše uvedeného se mění následující články Smlouvy takto:</w:t>
      </w:r>
    </w:p>
    <w:p w14:paraId="60E99FC4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A31896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925AB">
        <w:rPr>
          <w:rFonts w:ascii="Arial" w:hAnsi="Arial" w:cs="Arial"/>
          <w:b/>
          <w:bCs/>
        </w:rPr>
        <w:t>V čl. 4.3 se mění věta třetí takto:</w:t>
      </w:r>
    </w:p>
    <w:p w14:paraId="74F33264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 xml:space="preserve">Nebude-li Faktura obsahovat stanovené náležitosti, nebo v ní nebudou správně uvedené údaje, je Objednatel oprávněn vrátit ji ve lhůtě patnácti (15) pracovních dnů od jejího doručení Zhotoviteli s uvedením chybějících náležitostí anebo nesprávných údajů. </w:t>
      </w:r>
    </w:p>
    <w:p w14:paraId="30E128EE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EBFD04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925AB">
        <w:rPr>
          <w:rFonts w:ascii="Arial" w:hAnsi="Arial" w:cs="Arial"/>
          <w:b/>
          <w:bCs/>
        </w:rPr>
        <w:lastRenderedPageBreak/>
        <w:t>V čl. 7.1 se mění věta druhá takto:</w:t>
      </w:r>
    </w:p>
    <w:p w14:paraId="20565207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95ACA3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>Dále budou dílčí části Hlavních celků a Hlavní celek 3 předány rovněž v digitální podobě ve formátu</w:t>
      </w:r>
      <w:r w:rsidRPr="009925AB">
        <w:rPr>
          <w:rFonts w:ascii="Arial" w:hAnsi="Arial" w:cs="Arial"/>
          <w:i/>
          <w:iCs/>
        </w:rPr>
        <w:t xml:space="preserve"> VFP</w:t>
      </w:r>
      <w:r w:rsidRPr="009925AB">
        <w:rPr>
          <w:rFonts w:ascii="Arial" w:hAnsi="Arial" w:cs="Arial"/>
        </w:rPr>
        <w:t xml:space="preserve">, společně s údaji Informačního systému katastru nemovitostí ve formátu </w:t>
      </w:r>
      <w:r w:rsidRPr="009925AB">
        <w:rPr>
          <w:rFonts w:ascii="Arial" w:hAnsi="Arial" w:cs="Arial"/>
          <w:i/>
          <w:iCs/>
        </w:rPr>
        <w:t>VFK</w:t>
      </w:r>
      <w:r w:rsidRPr="009925AB">
        <w:rPr>
          <w:rFonts w:ascii="Arial" w:hAnsi="Arial" w:cs="Arial"/>
        </w:rPr>
        <w:t xml:space="preserve">, v souladu s platným relevantním metodickým pokynem SPÚ, na výměnné úložiště SPÚ a současně bude předána textová část ve formátu </w:t>
      </w:r>
      <w:r w:rsidRPr="009925AB">
        <w:rPr>
          <w:rFonts w:ascii="Arial" w:hAnsi="Arial" w:cs="Arial"/>
          <w:i/>
          <w:iCs/>
        </w:rPr>
        <w:t>doc(x)</w:t>
      </w:r>
      <w:r w:rsidRPr="009925AB">
        <w:rPr>
          <w:rFonts w:ascii="Arial" w:hAnsi="Arial" w:cs="Arial"/>
        </w:rPr>
        <w:t xml:space="preserve"> nebo jiném formátu kompatibilním s textovým editorem Microsoft Word, tabulková část ve formátu </w:t>
      </w:r>
      <w:r w:rsidRPr="009925AB">
        <w:rPr>
          <w:rFonts w:ascii="Arial" w:hAnsi="Arial" w:cs="Arial"/>
          <w:i/>
          <w:iCs/>
        </w:rPr>
        <w:t>xls(x)</w:t>
      </w:r>
      <w:r w:rsidRPr="009925AB">
        <w:rPr>
          <w:rFonts w:ascii="Arial" w:hAnsi="Arial" w:cs="Arial"/>
        </w:rPr>
        <w:t xml:space="preserve"> nebo jiném formátu kompatibilním s programem Microsoft Excel.</w:t>
      </w:r>
    </w:p>
    <w:p w14:paraId="4B0CB7BD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F1B549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925AB">
        <w:rPr>
          <w:rFonts w:ascii="Arial" w:hAnsi="Arial" w:cs="Arial"/>
          <w:b/>
          <w:bCs/>
        </w:rPr>
        <w:t>Čl. 7.2 se mění takto:</w:t>
      </w:r>
    </w:p>
    <w:p w14:paraId="70C49360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56AC42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>Ukončené</w:t>
      </w:r>
      <w:r w:rsidRPr="009925AB">
        <w:rPr>
          <w:rFonts w:ascii="Arial" w:hAnsi="Arial" w:cs="Arial"/>
          <w:b/>
          <w:bCs/>
        </w:rPr>
        <w:t xml:space="preserve"> </w:t>
      </w:r>
      <w:r w:rsidRPr="009925AB">
        <w:rPr>
          <w:rFonts w:ascii="Arial" w:hAnsi="Arial" w:cs="Arial"/>
        </w:rPr>
        <w:t>dílčí části Hlavních celků a Hlavní celek 3 Zhotovitel předá Objednateli s náležitostmi podle čl. 7.1 v následujícím počtu vyhotovení, formě a příslušným osobám:</w:t>
      </w:r>
    </w:p>
    <w:p w14:paraId="581B267C" w14:textId="77777777" w:rsidR="00AB412B" w:rsidRPr="009925AB" w:rsidRDefault="00AB412B" w:rsidP="00AB4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A039F7" w14:textId="77777777" w:rsidR="00AB412B" w:rsidRPr="00E36F33" w:rsidRDefault="00AB412B" w:rsidP="00BC5EAF">
      <w:pPr>
        <w:pStyle w:val="Claneka"/>
        <w:numPr>
          <w:ilvl w:val="2"/>
          <w:numId w:val="21"/>
        </w:numPr>
        <w:rPr>
          <w:rFonts w:ascii="Arial" w:hAnsi="Arial" w:cs="Arial"/>
        </w:rPr>
      </w:pPr>
      <w:r w:rsidRPr="00E36F33">
        <w:rPr>
          <w:rFonts w:ascii="Arial" w:hAnsi="Arial" w:cs="Arial"/>
        </w:rPr>
        <w:t>PSZ:</w:t>
      </w:r>
    </w:p>
    <w:p w14:paraId="31DC872E" w14:textId="77777777" w:rsidR="00AB412B" w:rsidRPr="007B5C1D" w:rsidRDefault="00AB412B" w:rsidP="00AB412B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7B5C1D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743AD05E" w14:textId="77777777" w:rsidR="00AB412B" w:rsidRPr="007B5C1D" w:rsidRDefault="00AB412B" w:rsidP="00AB412B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7B5C1D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0F588C21" w14:textId="77777777" w:rsidR="00AB412B" w:rsidRPr="007B5C1D" w:rsidRDefault="00AB412B" w:rsidP="00AB412B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7B5C1D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30489B5" w14:textId="77777777" w:rsidR="00AB412B" w:rsidRPr="007B5C1D" w:rsidRDefault="00AB412B" w:rsidP="00AB412B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7B5C1D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7023B5AD" w14:textId="77777777" w:rsidR="00AB412B" w:rsidRPr="009925AB" w:rsidRDefault="00AB412B" w:rsidP="00AB412B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7B5C1D">
        <w:rPr>
          <w:rFonts w:ascii="Arial" w:hAnsi="Arial" w:cs="Arial"/>
        </w:rPr>
        <w:t>Výškopisné</w:t>
      </w:r>
      <w:r w:rsidRPr="009925AB">
        <w:rPr>
          <w:rFonts w:ascii="Arial" w:hAnsi="Arial" w:cs="Arial"/>
        </w:rPr>
        <w:t xml:space="preserve"> zaměření zájmového území – digitální vyhotovení určené Objednateli;</w:t>
      </w:r>
    </w:p>
    <w:p w14:paraId="24FD8E48" w14:textId="77777777" w:rsidR="00AB412B" w:rsidRPr="009925AB" w:rsidRDefault="00AB412B" w:rsidP="00AB412B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1" w:name="_Ref51580600"/>
      <w:r w:rsidRPr="009925AB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1"/>
    </w:p>
    <w:p w14:paraId="2E48314E" w14:textId="77777777" w:rsidR="00AB412B" w:rsidRPr="009925AB" w:rsidRDefault="00AB412B" w:rsidP="00AB412B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2" w:name="_Ref51580601"/>
      <w:r w:rsidRPr="009925AB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</w:t>
      </w:r>
      <w:r>
        <w:rPr>
          <w:rFonts w:ascii="Arial" w:hAnsi="Arial" w:cs="Arial"/>
        </w:rPr>
        <w:t xml:space="preserve">každé </w:t>
      </w:r>
      <w:r w:rsidRPr="009925AB">
        <w:rPr>
          <w:rFonts w:ascii="Arial" w:hAnsi="Arial" w:cs="Arial"/>
        </w:rPr>
        <w:t>příslušné obci k veřejnému nahlédnutí; digitální vyhotovení určené Objednateli;</w:t>
      </w:r>
      <w:bookmarkEnd w:id="2"/>
    </w:p>
    <w:p w14:paraId="47B45DC6" w14:textId="77777777" w:rsidR="00AB412B" w:rsidRPr="009925AB" w:rsidRDefault="00AB412B" w:rsidP="00AB412B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>Vypracování aktualizace návrhu – přiměřeně se použijí předchozí články Smlouvy;</w:t>
      </w:r>
    </w:p>
    <w:p w14:paraId="6D7E3E0F" w14:textId="77777777" w:rsidR="00AB412B" w:rsidRPr="009925AB" w:rsidRDefault="00AB412B" w:rsidP="00AB412B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>Zpracování mapového díla – digitální vyhotovení určené Objednateli; a</w:t>
      </w:r>
    </w:p>
    <w:p w14:paraId="1F1FAA15" w14:textId="216A6D9E" w:rsidR="00AB412B" w:rsidRPr="007B5C1D" w:rsidRDefault="00AB412B" w:rsidP="00AB412B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</w:rPr>
      </w:pPr>
      <w:bookmarkStart w:id="3" w:name="_Ref135050122"/>
      <w:r w:rsidRPr="007B5C1D">
        <w:rPr>
          <w:rFonts w:ascii="Arial" w:hAnsi="Arial" w:cs="Arial"/>
        </w:rPr>
        <w:t xml:space="preserve">Vypracování písemných příloh k rozhodnutí o výměně nebo přechodu vlastnických práv – </w:t>
      </w:r>
      <w:r w:rsidR="00334F4E">
        <w:rPr>
          <w:rFonts w:ascii="Arial" w:hAnsi="Arial" w:cs="Arial"/>
        </w:rPr>
        <w:t>3</w:t>
      </w:r>
      <w:r w:rsidRPr="007B5C1D">
        <w:rPr>
          <w:rFonts w:ascii="Arial" w:hAnsi="Arial" w:cs="Arial"/>
        </w:rPr>
        <w:t>x listinné vyhotovení určené – 1x Objednateli, 1x příslušné obci k veřejnému nahlédnutí, 1x k rozeslání účastníkům řízení</w:t>
      </w:r>
      <w:r w:rsidR="00334F4E">
        <w:rPr>
          <w:rFonts w:ascii="Arial" w:hAnsi="Arial" w:cs="Arial"/>
        </w:rPr>
        <w:t xml:space="preserve"> </w:t>
      </w:r>
      <w:r w:rsidRPr="007B5C1D">
        <w:rPr>
          <w:rFonts w:ascii="Arial" w:hAnsi="Arial" w:cs="Arial"/>
        </w:rPr>
        <w:t>; digitální vyhotovení určené Objednateli.</w:t>
      </w:r>
      <w:bookmarkEnd w:id="3"/>
    </w:p>
    <w:p w14:paraId="3B6C3A08" w14:textId="6104E54D" w:rsidR="00673F07" w:rsidRPr="00B1126B" w:rsidRDefault="00673F07" w:rsidP="00673F07">
      <w:pPr>
        <w:rPr>
          <w:rFonts w:ascii="Arial" w:hAnsi="Arial" w:cs="Arial"/>
        </w:rPr>
      </w:pPr>
    </w:p>
    <w:p w14:paraId="4A546F7F" w14:textId="77777777" w:rsidR="00673F07" w:rsidRPr="00B1126B" w:rsidRDefault="00673F07" w:rsidP="00673F07">
      <w:pPr>
        <w:rPr>
          <w:rFonts w:ascii="Arial" w:hAnsi="Arial" w:cs="Arial"/>
        </w:rPr>
      </w:pPr>
    </w:p>
    <w:tbl>
      <w:tblPr>
        <w:tblStyle w:val="Prosttabulka41"/>
        <w:tblW w:w="13889" w:type="dxa"/>
        <w:tblLook w:val="0600" w:firstRow="0" w:lastRow="0" w:firstColumn="0" w:lastColumn="0" w:noHBand="1" w:noVBand="1"/>
      </w:tblPr>
      <w:tblGrid>
        <w:gridCol w:w="9357"/>
        <w:gridCol w:w="4532"/>
      </w:tblGrid>
      <w:tr w:rsidR="00673F07" w:rsidRPr="00B1126B" w14:paraId="542E50A3" w14:textId="77777777" w:rsidTr="00D26D28">
        <w:trPr>
          <w:trHeight w:val="5961"/>
        </w:trPr>
        <w:tc>
          <w:tcPr>
            <w:tcW w:w="9356" w:type="dxa"/>
          </w:tcPr>
          <w:p w14:paraId="24463AD2" w14:textId="77777777" w:rsidR="00673F07" w:rsidRPr="00B1126B" w:rsidRDefault="00673F07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lastRenderedPageBreak/>
              <w:t>Čl. III</w:t>
            </w:r>
          </w:p>
          <w:p w14:paraId="354B6268" w14:textId="77777777" w:rsidR="00673F07" w:rsidRPr="00B1126B" w:rsidRDefault="00673F07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t>Závěrečná ustanovení</w:t>
            </w:r>
          </w:p>
          <w:p w14:paraId="280AFAA3" w14:textId="693B4124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1. Ostatní části smlouvy o dílo č. </w:t>
            </w:r>
            <w:r w:rsidR="006E091D">
              <w:rPr>
                <w:rFonts w:ascii="Arial" w:hAnsi="Arial" w:cs="Arial"/>
              </w:rPr>
              <w:t>1160/</w:t>
            </w:r>
            <w:r w:rsidRPr="00B1126B">
              <w:rPr>
                <w:rFonts w:ascii="Arial" w:hAnsi="Arial" w:cs="Arial"/>
              </w:rPr>
              <w:t>2019</w:t>
            </w:r>
            <w:r w:rsidRPr="00B1126B">
              <w:rPr>
                <w:rFonts w:ascii="Arial" w:hAnsi="Arial" w:cs="Arial"/>
                <w:bCs/>
              </w:rPr>
              <w:t xml:space="preserve">-541101 </w:t>
            </w:r>
            <w:r w:rsidRPr="00B1126B">
              <w:rPr>
                <w:rFonts w:ascii="Arial" w:hAnsi="Arial" w:cs="Arial"/>
              </w:rPr>
              <w:t>zůstávají v platnosti.</w:t>
            </w:r>
          </w:p>
          <w:p w14:paraId="483E044C" w14:textId="3CC44DDF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2. Dodatek č. </w:t>
            </w:r>
            <w:r w:rsidR="008537A2">
              <w:rPr>
                <w:rFonts w:ascii="Arial" w:hAnsi="Arial" w:cs="Arial"/>
              </w:rPr>
              <w:t>4</w:t>
            </w:r>
            <w:r w:rsidRPr="00B1126B">
              <w:rPr>
                <w:rFonts w:ascii="Arial" w:hAnsi="Arial" w:cs="Arial"/>
              </w:rPr>
      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      </w:r>
          </w:p>
          <w:p w14:paraId="0E37C396" w14:textId="2D329398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3. </w:t>
            </w:r>
            <w:r w:rsidR="00080102">
              <w:rPr>
                <w:rFonts w:ascii="Arial" w:hAnsi="Arial" w:cs="Arial"/>
              </w:rPr>
              <w:t>Tento d</w:t>
            </w:r>
            <w:r w:rsidRPr="00B1126B">
              <w:rPr>
                <w:rFonts w:ascii="Arial" w:hAnsi="Arial" w:cs="Arial"/>
              </w:rPr>
              <w:t xml:space="preserve">odatek </w:t>
            </w:r>
            <w:r>
              <w:rPr>
                <w:rFonts w:ascii="Arial" w:hAnsi="Arial" w:cs="Arial"/>
              </w:rPr>
              <w:t>bude podepsán elektronicky</w:t>
            </w:r>
            <w:r w:rsidRPr="00B1126B">
              <w:rPr>
                <w:rFonts w:ascii="Arial" w:hAnsi="Arial" w:cs="Arial"/>
              </w:rPr>
              <w:t>.</w:t>
            </w:r>
          </w:p>
          <w:p w14:paraId="0C56FB28" w14:textId="6E38EF6F" w:rsidR="00673F07" w:rsidRPr="00B1126B" w:rsidRDefault="00673F07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4. Nedílnou součástí tohoto dodatku č. </w:t>
            </w:r>
            <w:r w:rsidR="008537A2">
              <w:rPr>
                <w:rFonts w:ascii="Arial" w:hAnsi="Arial" w:cs="Arial"/>
              </w:rPr>
              <w:t>4</w:t>
            </w:r>
            <w:r w:rsidRPr="00B1126B">
              <w:rPr>
                <w:rFonts w:ascii="Arial" w:hAnsi="Arial" w:cs="Arial"/>
              </w:rPr>
              <w:t xml:space="preserve"> je položkový výkaz činností.</w:t>
            </w:r>
          </w:p>
          <w:p w14:paraId="0ADE23A7" w14:textId="176062A4" w:rsidR="006144E4" w:rsidRDefault="00673F07" w:rsidP="00D26D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5. Objednatel i zhotovitel prohlašují, že si dodatek č. </w:t>
            </w:r>
            <w:r w:rsidR="008537A2">
              <w:rPr>
                <w:rFonts w:ascii="Arial" w:hAnsi="Arial" w:cs="Arial"/>
              </w:rPr>
              <w:t>4</w:t>
            </w:r>
            <w:r w:rsidRPr="00B1126B">
              <w:rPr>
                <w:rFonts w:ascii="Arial" w:hAnsi="Arial" w:cs="Arial"/>
              </w:rPr>
              <w:t xml:space="preserve"> přečetli a že souhlasí s jeho obsahem, dále prohlašují, že dodatek č. </w:t>
            </w:r>
            <w:r w:rsidR="008537A2">
              <w:rPr>
                <w:rFonts w:ascii="Arial" w:hAnsi="Arial" w:cs="Arial"/>
              </w:rPr>
              <w:t>4</w:t>
            </w:r>
            <w:r w:rsidRPr="00B1126B">
              <w:rPr>
                <w:rFonts w:ascii="Arial" w:hAnsi="Arial" w:cs="Arial"/>
              </w:rPr>
              <w:t xml:space="preserve"> nebyl sepsán v tísni ani za nápadně nevýhodných podmínek. Na důkaz toho připojují své podpisy. </w:t>
            </w:r>
          </w:p>
          <w:p w14:paraId="2D16AF92" w14:textId="4B56A4D4" w:rsidR="00673F07" w:rsidRPr="006144E4" w:rsidRDefault="00673F07" w:rsidP="006144E4">
            <w:pPr>
              <w:pStyle w:val="Odstaveca"/>
              <w:rPr>
                <w:rFonts w:ascii="Arial" w:hAnsi="Arial" w:cs="Arial"/>
                <w:lang w:val="cs-CZ"/>
              </w:rPr>
            </w:pPr>
            <w:r w:rsidRPr="00B1126B">
              <w:rPr>
                <w:rFonts w:ascii="Arial" w:hAnsi="Arial" w:cs="Arial"/>
                <w:lang w:val="cs-CZ"/>
              </w:rPr>
              <w:t>V Liberci dne:</w:t>
            </w:r>
            <w:r w:rsidRPr="00B1126B">
              <w:rPr>
                <w:rFonts w:ascii="Arial" w:hAnsi="Arial" w:cs="Arial"/>
                <w:lang w:val="cs-CZ"/>
              </w:rPr>
              <w:tab/>
            </w:r>
            <w:r w:rsidR="000B4E00">
              <w:rPr>
                <w:rFonts w:ascii="Arial" w:hAnsi="Arial" w:cs="Arial"/>
                <w:lang w:val="cs-CZ"/>
              </w:rPr>
              <w:t>10. 4. 2024</w:t>
            </w:r>
            <w:r w:rsidRPr="00B1126B">
              <w:rPr>
                <w:rFonts w:ascii="Arial" w:hAnsi="Arial" w:cs="Arial"/>
                <w:lang w:val="cs-CZ"/>
              </w:rPr>
              <w:tab/>
              <w:t xml:space="preserve">                             V </w:t>
            </w:r>
            <w:r>
              <w:rPr>
                <w:rFonts w:ascii="Arial" w:hAnsi="Arial" w:cs="Arial"/>
                <w:lang w:val="cs-CZ"/>
              </w:rPr>
              <w:t>Příbrami</w:t>
            </w:r>
            <w:r w:rsidRPr="00B1126B">
              <w:rPr>
                <w:rFonts w:ascii="Arial" w:hAnsi="Arial" w:cs="Arial"/>
                <w:lang w:val="cs-CZ"/>
              </w:rPr>
              <w:t xml:space="preserve"> dne: </w:t>
            </w:r>
            <w:r w:rsidR="000B4E00">
              <w:rPr>
                <w:rFonts w:ascii="Arial" w:hAnsi="Arial" w:cs="Arial"/>
                <w:lang w:val="cs-CZ"/>
              </w:rPr>
              <w:t>10. 4. 2024</w:t>
            </w:r>
          </w:p>
        </w:tc>
        <w:tc>
          <w:tcPr>
            <w:tcW w:w="4531" w:type="dxa"/>
          </w:tcPr>
          <w:p w14:paraId="5A5A45A2" w14:textId="77777777" w:rsidR="00673F07" w:rsidRPr="00B1126B" w:rsidRDefault="00673F07" w:rsidP="00537337">
            <w:pPr>
              <w:spacing w:before="240"/>
              <w:rPr>
                <w:rFonts w:ascii="Arial" w:hAnsi="Arial" w:cs="Arial"/>
              </w:rPr>
            </w:pPr>
          </w:p>
        </w:tc>
      </w:tr>
      <w:tr w:rsidR="00673F07" w:rsidRPr="00B1126B" w14:paraId="7BF2C970" w14:textId="77777777" w:rsidTr="00537337">
        <w:tc>
          <w:tcPr>
            <w:tcW w:w="9356" w:type="dxa"/>
          </w:tcPr>
          <w:tbl>
            <w:tblPr>
              <w:tblStyle w:val="Prosttabulka41"/>
              <w:tblW w:w="0" w:type="auto"/>
              <w:tblLook w:val="0600" w:firstRow="0" w:lastRow="0" w:firstColumn="0" w:lastColumn="0" w:noHBand="1" w:noVBand="1"/>
            </w:tblPr>
            <w:tblGrid>
              <w:gridCol w:w="4531"/>
              <w:gridCol w:w="4531"/>
            </w:tblGrid>
            <w:tr w:rsidR="00673F07" w:rsidRPr="00B1126B" w14:paraId="24E6DFCD" w14:textId="77777777" w:rsidTr="00537337">
              <w:tc>
                <w:tcPr>
                  <w:tcW w:w="4531" w:type="dxa"/>
                </w:tcPr>
                <w:p w14:paraId="0FD84F90" w14:textId="77777777" w:rsidR="00673F07" w:rsidRPr="00B1126B" w:rsidRDefault="00673F07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objednatele:</w:t>
                  </w:r>
                  <w:r w:rsidRPr="00B1126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787112B0" w14:textId="77777777" w:rsidR="00673F07" w:rsidRPr="00B1126B" w:rsidRDefault="00673F07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zhotovitele:</w:t>
                  </w:r>
                </w:p>
              </w:tc>
            </w:tr>
            <w:tr w:rsidR="00673F07" w:rsidRPr="00B1126B" w14:paraId="62AAA681" w14:textId="77777777" w:rsidTr="00537337">
              <w:tc>
                <w:tcPr>
                  <w:tcW w:w="4531" w:type="dxa"/>
                </w:tcPr>
                <w:p w14:paraId="486B1C36" w14:textId="49A65E8A" w:rsidR="00673F07" w:rsidRDefault="00673F07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0E85B911" w14:textId="77777777" w:rsidR="001979BA" w:rsidRPr="00B1126B" w:rsidRDefault="001979BA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5026295F" w14:textId="77777777" w:rsidR="00673F07" w:rsidRPr="00B1126B" w:rsidRDefault="00673F07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630DEE9C" w14:textId="77777777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Ing. Bohuslav Kabátek</w:t>
                  </w:r>
                </w:p>
                <w:p w14:paraId="2887D35B" w14:textId="77777777" w:rsidR="00673F07" w:rsidRPr="00B1126B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ředitel KPÚ pro Liberecký kraj</w:t>
                  </w:r>
                </w:p>
              </w:tc>
              <w:tc>
                <w:tcPr>
                  <w:tcW w:w="4531" w:type="dxa"/>
                </w:tcPr>
                <w:p w14:paraId="645231E3" w14:textId="6229B2D5" w:rsidR="00673F07" w:rsidRDefault="00673F07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4BE7549" w14:textId="77777777" w:rsidR="001979BA" w:rsidRPr="00B1126B" w:rsidRDefault="001979BA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32D10F8" w14:textId="77777777" w:rsidR="00673F07" w:rsidRPr="00B1126B" w:rsidRDefault="00673F07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22F0ED8F" w14:textId="5EF55A96" w:rsidR="00673F07" w:rsidRPr="00B1126B" w:rsidRDefault="003F050B" w:rsidP="00537337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Ing. </w:t>
                  </w:r>
                  <w:r w:rsidR="00673F07">
                    <w:rPr>
                      <w:rFonts w:ascii="Arial" w:hAnsi="Arial" w:cs="Arial"/>
                    </w:rPr>
                    <w:t>Vladimír Luks</w:t>
                  </w:r>
                </w:p>
                <w:p w14:paraId="683514E1" w14:textId="77777777" w:rsidR="00673F07" w:rsidRDefault="00673F07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 xml:space="preserve">jednatel společnosti </w:t>
                  </w:r>
                </w:p>
                <w:p w14:paraId="2DC7BD01" w14:textId="7498A9E0" w:rsidR="00673F07" w:rsidRPr="00B1126B" w:rsidRDefault="00673F07" w:rsidP="006144E4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GE</w:t>
                  </w:r>
                  <w:r>
                    <w:rPr>
                      <w:rFonts w:ascii="Arial" w:hAnsi="Arial" w:cs="Arial"/>
                    </w:rPr>
                    <w:t>DETICKÉ SDRUŽENÍ</w:t>
                  </w:r>
                  <w:r w:rsidRPr="00B1126B">
                    <w:rPr>
                      <w:rFonts w:ascii="Arial" w:hAnsi="Arial" w:cs="Arial"/>
                    </w:rPr>
                    <w:t xml:space="preserve"> s.r.o.</w:t>
                  </w:r>
                </w:p>
              </w:tc>
            </w:tr>
          </w:tbl>
          <w:p w14:paraId="10936184" w14:textId="77777777" w:rsidR="00673F07" w:rsidRPr="00B1126B" w:rsidRDefault="00673F07" w:rsidP="0053733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110C8C4" w14:textId="77777777" w:rsidR="00673F07" w:rsidRPr="00B1126B" w:rsidRDefault="00673F07" w:rsidP="00537337">
            <w:pPr>
              <w:ind w:left="-3086" w:firstLine="3086"/>
              <w:rPr>
                <w:rFonts w:ascii="Arial" w:hAnsi="Arial" w:cs="Arial"/>
              </w:rPr>
            </w:pPr>
          </w:p>
        </w:tc>
      </w:tr>
    </w:tbl>
    <w:p w14:paraId="61F55CBB" w14:textId="1B67F2C1" w:rsidR="00E23A9D" w:rsidRPr="00E23A9D" w:rsidRDefault="00673F07" w:rsidP="00673F07">
      <w:pPr>
        <w:spacing w:before="240" w:after="120"/>
        <w:ind w:left="567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ED6435">
        <w:rPr>
          <w:rFonts w:ascii="Arial" w:hAnsi="Arial" w:cs="Arial"/>
        </w:rPr>
        <w:t xml:space="preserve"> </w:t>
      </w:r>
    </w:p>
    <w:sectPr w:rsidR="00E23A9D" w:rsidRPr="00E23A9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F571A9" w:rsidRDefault="00F571A9" w:rsidP="007936E4">
      <w:pPr>
        <w:spacing w:after="0"/>
      </w:pPr>
      <w:r>
        <w:separator/>
      </w:r>
    </w:p>
  </w:endnote>
  <w:endnote w:type="continuationSeparator" w:id="0">
    <w:p w14:paraId="251DC161" w14:textId="77777777" w:rsidR="00F571A9" w:rsidRDefault="00F571A9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F571A9" w:rsidRDefault="00F571A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571A9" w:rsidRPr="00330188" w:rsidRDefault="00F571A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F571A9" w:rsidRDefault="00F571A9" w:rsidP="007936E4">
      <w:pPr>
        <w:spacing w:after="0"/>
      </w:pPr>
      <w:r>
        <w:separator/>
      </w:r>
    </w:p>
  </w:footnote>
  <w:footnote w:type="continuationSeparator" w:id="0">
    <w:p w14:paraId="5878B8DE" w14:textId="77777777" w:rsidR="00F571A9" w:rsidRDefault="00F571A9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F571A9" w:rsidRDefault="00F571A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F29EA1" w:rsidR="00F571A9" w:rsidRPr="001D4BED" w:rsidRDefault="00673F0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B412B">
      <w:rPr>
        <w:szCs w:val="16"/>
      </w:rPr>
      <w:t>4</w:t>
    </w:r>
    <w:r>
      <w:rPr>
        <w:szCs w:val="16"/>
      </w:rPr>
      <w:t xml:space="preserve"> ke s</w:t>
    </w:r>
    <w:r w:rsidR="00F571A9" w:rsidRPr="001D4BED">
      <w:rPr>
        <w:szCs w:val="16"/>
      </w:rPr>
      <w:t>mlouv</w:t>
    </w:r>
    <w:r>
      <w:rPr>
        <w:szCs w:val="16"/>
      </w:rPr>
      <w:t>ě</w:t>
    </w:r>
    <w:r w:rsidR="00F571A9" w:rsidRPr="001D4BED">
      <w:rPr>
        <w:szCs w:val="16"/>
      </w:rPr>
      <w:t xml:space="preserve"> o dílo </w:t>
    </w:r>
    <w:r w:rsidR="00F571A9">
      <w:rPr>
        <w:rFonts w:cs="Arial"/>
        <w:sz w:val="20"/>
        <w:szCs w:val="20"/>
      </w:rPr>
      <w:t>–</w:t>
    </w:r>
    <w:r w:rsidR="00F571A9" w:rsidRPr="001D4BED">
      <w:rPr>
        <w:szCs w:val="16"/>
      </w:rPr>
      <w:t xml:space="preserve"> Komplexní pozemkové úpravy </w:t>
    </w:r>
    <w:r w:rsidR="00F571A9">
      <w:rPr>
        <w:szCs w:val="16"/>
      </w:rPr>
      <w:t>v k.ú. Luhov u Mimoně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DCF94FE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94CE3">
      <w:rPr>
        <w:rFonts w:cs="Arial"/>
        <w:szCs w:val="16"/>
        <w:lang w:val="fr-FR" w:eastAsia="cs-CZ"/>
      </w:rPr>
      <w:t xml:space="preserve"> 3/2021</w:t>
    </w:r>
    <w:r w:rsidRPr="001D4BED">
      <w:rPr>
        <w:rFonts w:cs="Arial"/>
        <w:szCs w:val="16"/>
        <w:lang w:val="fr-FR" w:eastAsia="cs-CZ"/>
      </w:rPr>
      <w:tab/>
    </w:r>
  </w:p>
  <w:p w14:paraId="6C91A2BA" w14:textId="10C433D7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Č.j. objednatele : </w:t>
    </w:r>
    <w:r w:rsidR="00C442E6" w:rsidRPr="00C442E6">
      <w:rPr>
        <w:rFonts w:cs="Arial"/>
        <w:szCs w:val="16"/>
        <w:lang w:val="fr-FR" w:eastAsia="cs-CZ"/>
      </w:rPr>
      <w:t>SPU 133586/2024/Pob/LG</w:t>
    </w:r>
  </w:p>
  <w:p w14:paraId="2B3A9E2F" w14:textId="609AD51A" w:rsidR="00DB4EEA" w:rsidRPr="001D4BED" w:rsidRDefault="00DB4EE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C442E6" w:rsidRPr="00C442E6">
      <w:rPr>
        <w:rFonts w:cs="Arial"/>
        <w:szCs w:val="16"/>
        <w:lang w:val="fr-FR" w:eastAsia="cs-CZ"/>
      </w:rPr>
      <w:t>spudms00000014472795</w:t>
    </w:r>
  </w:p>
  <w:p w14:paraId="6F75F815" w14:textId="7C528B24" w:rsidR="00F571A9" w:rsidRPr="001D4BED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k.ú. Luhov u Mimoně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5FD1AFB"/>
    <w:multiLevelType w:val="hybridMultilevel"/>
    <w:tmpl w:val="5486E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42C84C74"/>
    <w:lvl w:ilvl="0">
      <w:start w:val="1"/>
      <w:numFmt w:val="upperRoman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1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5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9" w:hanging="144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2"/>
        </w:tabs>
        <w:ind w:left="1672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198822">
    <w:abstractNumId w:val="17"/>
  </w:num>
  <w:num w:numId="2" w16cid:durableId="120613036">
    <w:abstractNumId w:val="7"/>
  </w:num>
  <w:num w:numId="3" w16cid:durableId="480973832">
    <w:abstractNumId w:val="9"/>
  </w:num>
  <w:num w:numId="4" w16cid:durableId="1006904282">
    <w:abstractNumId w:val="15"/>
  </w:num>
  <w:num w:numId="5" w16cid:durableId="1376738172">
    <w:abstractNumId w:val="3"/>
  </w:num>
  <w:num w:numId="6" w16cid:durableId="2020741768">
    <w:abstractNumId w:val="11"/>
  </w:num>
  <w:num w:numId="7" w16cid:durableId="1886869316">
    <w:abstractNumId w:val="1"/>
  </w:num>
  <w:num w:numId="8" w16cid:durableId="1798331452">
    <w:abstractNumId w:val="0"/>
  </w:num>
  <w:num w:numId="9" w16cid:durableId="1398631956">
    <w:abstractNumId w:val="2"/>
  </w:num>
  <w:num w:numId="10" w16cid:durableId="1276327573">
    <w:abstractNumId w:val="19"/>
  </w:num>
  <w:num w:numId="11" w16cid:durableId="2031175977">
    <w:abstractNumId w:val="8"/>
  </w:num>
  <w:num w:numId="12" w16cid:durableId="1803763099">
    <w:abstractNumId w:val="18"/>
  </w:num>
  <w:num w:numId="13" w16cid:durableId="751244072">
    <w:abstractNumId w:val="14"/>
  </w:num>
  <w:num w:numId="14" w16cid:durableId="1459296229">
    <w:abstractNumId w:val="4"/>
  </w:num>
  <w:num w:numId="15" w16cid:durableId="480728905">
    <w:abstractNumId w:val="12"/>
  </w:num>
  <w:num w:numId="16" w16cid:durableId="341131528">
    <w:abstractNumId w:val="16"/>
  </w:num>
  <w:num w:numId="17" w16cid:durableId="741834150">
    <w:abstractNumId w:val="13"/>
  </w:num>
  <w:num w:numId="18" w16cid:durableId="846791108">
    <w:abstractNumId w:val="10"/>
  </w:num>
  <w:num w:numId="19" w16cid:durableId="620115770">
    <w:abstractNumId w:val="6"/>
  </w:num>
  <w:num w:numId="20" w16cid:durableId="782921766">
    <w:abstractNumId w:val="5"/>
  </w:num>
  <w:num w:numId="21" w16cid:durableId="1006829964">
    <w:abstractNumId w:val="17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8D4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A1E"/>
    <w:rsid w:val="00062DF2"/>
    <w:rsid w:val="00063CE1"/>
    <w:rsid w:val="0006560F"/>
    <w:rsid w:val="00065B61"/>
    <w:rsid w:val="000662E6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02"/>
    <w:rsid w:val="00080761"/>
    <w:rsid w:val="00080D74"/>
    <w:rsid w:val="00081C18"/>
    <w:rsid w:val="00083169"/>
    <w:rsid w:val="000844D7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50A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0F6C"/>
    <w:rsid w:val="000B1138"/>
    <w:rsid w:val="000B1E86"/>
    <w:rsid w:val="000B40EE"/>
    <w:rsid w:val="000B4E00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2D12"/>
    <w:rsid w:val="000D3A4B"/>
    <w:rsid w:val="000D3F8A"/>
    <w:rsid w:val="000D4631"/>
    <w:rsid w:val="000D6242"/>
    <w:rsid w:val="000D6595"/>
    <w:rsid w:val="000D6C0D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E3F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E54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4A89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26D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979BA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9B8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A96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7E15"/>
    <w:rsid w:val="00260BC9"/>
    <w:rsid w:val="00262BA3"/>
    <w:rsid w:val="00263544"/>
    <w:rsid w:val="0026456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C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076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177"/>
    <w:rsid w:val="002B735B"/>
    <w:rsid w:val="002C06EF"/>
    <w:rsid w:val="002C0D2D"/>
    <w:rsid w:val="002C1225"/>
    <w:rsid w:val="002C29AE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5C5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8DA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75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4E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5D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50B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B73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39A7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37C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ABA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D47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900"/>
    <w:rsid w:val="00540AE4"/>
    <w:rsid w:val="005418D8"/>
    <w:rsid w:val="005426BB"/>
    <w:rsid w:val="00545F54"/>
    <w:rsid w:val="005464E3"/>
    <w:rsid w:val="00546F23"/>
    <w:rsid w:val="005479D3"/>
    <w:rsid w:val="00547AF4"/>
    <w:rsid w:val="00547E69"/>
    <w:rsid w:val="00547FD3"/>
    <w:rsid w:val="005502C0"/>
    <w:rsid w:val="00553621"/>
    <w:rsid w:val="00553DE3"/>
    <w:rsid w:val="00555E88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B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D3B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13D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161"/>
    <w:rsid w:val="00613EFC"/>
    <w:rsid w:val="006144E4"/>
    <w:rsid w:val="00614712"/>
    <w:rsid w:val="00614CA3"/>
    <w:rsid w:val="00615542"/>
    <w:rsid w:val="00615FCA"/>
    <w:rsid w:val="00616338"/>
    <w:rsid w:val="006171D3"/>
    <w:rsid w:val="00617631"/>
    <w:rsid w:val="006204DB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6E82"/>
    <w:rsid w:val="00627255"/>
    <w:rsid w:val="00627AC3"/>
    <w:rsid w:val="00630E42"/>
    <w:rsid w:val="006323A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705"/>
    <w:rsid w:val="00643111"/>
    <w:rsid w:val="0064404C"/>
    <w:rsid w:val="00645F2A"/>
    <w:rsid w:val="00646A93"/>
    <w:rsid w:val="00646DA4"/>
    <w:rsid w:val="00646EE1"/>
    <w:rsid w:val="0064703D"/>
    <w:rsid w:val="00650B73"/>
    <w:rsid w:val="00650D88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3F07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91D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00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32A"/>
    <w:rsid w:val="00772594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DB5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507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A9F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4B4"/>
    <w:rsid w:val="007F02DF"/>
    <w:rsid w:val="007F1B6E"/>
    <w:rsid w:val="007F349E"/>
    <w:rsid w:val="007F3A1A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3AD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CE1"/>
    <w:rsid w:val="00832DB0"/>
    <w:rsid w:val="0083309B"/>
    <w:rsid w:val="008331BB"/>
    <w:rsid w:val="00833336"/>
    <w:rsid w:val="0083412F"/>
    <w:rsid w:val="008344A6"/>
    <w:rsid w:val="008347FC"/>
    <w:rsid w:val="00834955"/>
    <w:rsid w:val="008379C3"/>
    <w:rsid w:val="00837F34"/>
    <w:rsid w:val="008405BB"/>
    <w:rsid w:val="0084162F"/>
    <w:rsid w:val="008419E2"/>
    <w:rsid w:val="008424EB"/>
    <w:rsid w:val="00843526"/>
    <w:rsid w:val="008440EE"/>
    <w:rsid w:val="008445BE"/>
    <w:rsid w:val="008461A0"/>
    <w:rsid w:val="00846774"/>
    <w:rsid w:val="00847ADC"/>
    <w:rsid w:val="00850D47"/>
    <w:rsid w:val="008512C3"/>
    <w:rsid w:val="008527FF"/>
    <w:rsid w:val="00853097"/>
    <w:rsid w:val="00853376"/>
    <w:rsid w:val="008537A2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AFE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029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266"/>
    <w:rsid w:val="00993395"/>
    <w:rsid w:val="00993D6C"/>
    <w:rsid w:val="00993EAF"/>
    <w:rsid w:val="0099407E"/>
    <w:rsid w:val="00994CE3"/>
    <w:rsid w:val="009958AC"/>
    <w:rsid w:val="00995B7C"/>
    <w:rsid w:val="0099638D"/>
    <w:rsid w:val="00996E5D"/>
    <w:rsid w:val="0099736B"/>
    <w:rsid w:val="00997885"/>
    <w:rsid w:val="00997C11"/>
    <w:rsid w:val="009A1A0A"/>
    <w:rsid w:val="009A1AFB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EEB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ED4"/>
    <w:rsid w:val="00A435A0"/>
    <w:rsid w:val="00A44610"/>
    <w:rsid w:val="00A4505A"/>
    <w:rsid w:val="00A45451"/>
    <w:rsid w:val="00A45517"/>
    <w:rsid w:val="00A45F6A"/>
    <w:rsid w:val="00A47793"/>
    <w:rsid w:val="00A50FEF"/>
    <w:rsid w:val="00A51CBD"/>
    <w:rsid w:val="00A52BE4"/>
    <w:rsid w:val="00A530FD"/>
    <w:rsid w:val="00A556FF"/>
    <w:rsid w:val="00A56517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12B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63F"/>
    <w:rsid w:val="00B40314"/>
    <w:rsid w:val="00B41347"/>
    <w:rsid w:val="00B415EE"/>
    <w:rsid w:val="00B42DED"/>
    <w:rsid w:val="00B43737"/>
    <w:rsid w:val="00B43890"/>
    <w:rsid w:val="00B43B3F"/>
    <w:rsid w:val="00B43FF1"/>
    <w:rsid w:val="00B45A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58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5EAF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8B4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CD8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823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2E6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AC"/>
    <w:rsid w:val="00C7041B"/>
    <w:rsid w:val="00C708CB"/>
    <w:rsid w:val="00C7156F"/>
    <w:rsid w:val="00C72084"/>
    <w:rsid w:val="00C733F6"/>
    <w:rsid w:val="00C73A5B"/>
    <w:rsid w:val="00C74000"/>
    <w:rsid w:val="00C74299"/>
    <w:rsid w:val="00C7735C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06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D3B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28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4EEA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2ED"/>
    <w:rsid w:val="00DD0EC9"/>
    <w:rsid w:val="00DD12A7"/>
    <w:rsid w:val="00DD1FE9"/>
    <w:rsid w:val="00DD236F"/>
    <w:rsid w:val="00DD45FF"/>
    <w:rsid w:val="00DD49C7"/>
    <w:rsid w:val="00DD55A9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0BA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3A9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47A44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4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225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EE9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74A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1A9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242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0D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06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B406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B406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672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ada3fa48-c231-4f9d-a491-19361e04fcb4"/>
    <ds:schemaRef ds:uri="85f4b5cc-4033-44c7-b405-f5eed34c81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Gončarovová Lucie</cp:lastModifiedBy>
  <cp:revision>3</cp:revision>
  <cp:lastPrinted>2024-04-09T05:34:00Z</cp:lastPrinted>
  <dcterms:created xsi:type="dcterms:W3CDTF">2024-04-11T05:35:00Z</dcterms:created>
  <dcterms:modified xsi:type="dcterms:W3CDTF">2024-04-11T05:37:00Z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