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1220500074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7"/>
        </w:rPr>
        <w:t> </w:t>
      </w:r>
      <w:r>
        <w:rPr/>
        <w:t>škola</w:t>
      </w:r>
      <w:r>
        <w:rPr>
          <w:spacing w:val="-6"/>
        </w:rPr>
        <w:t> </w:t>
      </w:r>
      <w:r>
        <w:rPr/>
        <w:t>Loket,</w:t>
      </w:r>
      <w:r>
        <w:rPr>
          <w:spacing w:val="-9"/>
        </w:rPr>
        <w:t> </w:t>
      </w:r>
      <w:r>
        <w:rPr/>
        <w:t>okres</w:t>
      </w:r>
      <w:r>
        <w:rPr>
          <w:spacing w:val="-5"/>
        </w:rPr>
        <w:t> </w:t>
      </w:r>
      <w:r>
        <w:rPr>
          <w:spacing w:val="-2"/>
        </w:rPr>
        <w:t>Sokolov</w:t>
      </w:r>
    </w:p>
    <w:p>
      <w:pPr>
        <w:pStyle w:val="BodyText"/>
        <w:spacing w:line="265" w:lineRule="exact" w:before="1"/>
        <w:ind w:left="382"/>
        <w:jc w:val="lef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T.</w:t>
      </w:r>
      <w:r>
        <w:rPr>
          <w:spacing w:val="-6"/>
        </w:rPr>
        <w:t> </w:t>
      </w:r>
      <w:r>
        <w:rPr/>
        <w:t>G.</w:t>
      </w:r>
      <w:r>
        <w:rPr>
          <w:spacing w:val="-6"/>
        </w:rPr>
        <w:t> </w:t>
      </w:r>
      <w:r>
        <w:rPr/>
        <w:t>Masaryka</w:t>
      </w:r>
      <w:r>
        <w:rPr>
          <w:spacing w:val="-6"/>
        </w:rPr>
        <w:t> </w:t>
      </w:r>
      <w:r>
        <w:rPr/>
        <w:t>128/2,</w:t>
      </w:r>
      <w:r>
        <w:rPr>
          <w:spacing w:val="-5"/>
        </w:rPr>
        <w:t> </w:t>
      </w:r>
      <w:r>
        <w:rPr/>
        <w:t>35733</w:t>
      </w:r>
      <w:r>
        <w:rPr>
          <w:spacing w:val="-5"/>
        </w:rPr>
        <w:t> </w:t>
      </w:r>
      <w:r>
        <w:rPr>
          <w:spacing w:val="-2"/>
        </w:rPr>
        <w:t>Loket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70984221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Evou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ředitelkou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154"/>
        <w:jc w:val="left"/>
      </w:pPr>
      <w:r>
        <w:rPr/>
        <w:t>číslo účtu:</w:t>
        <w:tab/>
      </w:r>
      <w:r>
        <w:rPr>
          <w:spacing w:val="-2"/>
        </w:rPr>
        <w:t>862696339/0800 </w:t>
      </w:r>
      <w:r>
        <w:rPr/>
        <w:t>(dále jen „příjemce 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3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1220500074 o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Státního</w:t>
      </w:r>
      <w:r>
        <w:rPr>
          <w:spacing w:val="-12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ČR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8.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Směrnice Ministerstva životního prostředí č. 4/2015 o poskytování finančních prostředků ze Státního fondu 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Národního</w:t>
      </w:r>
      <w:r>
        <w:rPr>
          <w:spacing w:val="80"/>
          <w:sz w:val="20"/>
        </w:rPr>
        <w:t> </w:t>
      </w:r>
      <w:r>
        <w:rPr>
          <w:sz w:val="20"/>
        </w:rPr>
        <w:t>programu</w:t>
      </w:r>
      <w:r>
        <w:rPr>
          <w:spacing w:val="80"/>
          <w:sz w:val="20"/>
        </w:rPr>
        <w:t> </w:t>
      </w:r>
      <w:r>
        <w:rPr>
          <w:sz w:val="20"/>
        </w:rPr>
        <w:t>Životní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30"/>
        <w:jc w:val="left"/>
      </w:pPr>
      <w:r>
        <w:rPr/>
        <w:t>„Zkvalitnění</w:t>
      </w:r>
      <w:r>
        <w:rPr>
          <w:spacing w:val="-8"/>
        </w:rPr>
        <w:t> </w:t>
      </w:r>
      <w:r>
        <w:rPr/>
        <w:t>zázemí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environmentální</w:t>
      </w:r>
      <w:r>
        <w:rPr>
          <w:spacing w:val="-7"/>
        </w:rPr>
        <w:t> </w:t>
      </w:r>
      <w:r>
        <w:rPr/>
        <w:t>výuku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ZŠ</w:t>
      </w:r>
      <w:r>
        <w:rPr>
          <w:spacing w:val="-8"/>
        </w:rPr>
        <w:t> </w:t>
      </w:r>
      <w:r>
        <w:rPr>
          <w:spacing w:val="-2"/>
        </w:rPr>
        <w:t>Loket“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475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492,55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7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sedmdesát</w:t>
      </w:r>
      <w:r>
        <w:rPr>
          <w:spacing w:val="-9"/>
          <w:sz w:val="20"/>
        </w:rPr>
        <w:t> </w:t>
      </w:r>
      <w:r>
        <w:rPr>
          <w:sz w:val="20"/>
        </w:rPr>
        <w:t>pět</w:t>
      </w:r>
      <w:r>
        <w:rPr>
          <w:spacing w:val="-9"/>
          <w:sz w:val="20"/>
        </w:rPr>
        <w:t> </w:t>
      </w:r>
      <w:r>
        <w:rPr>
          <w:sz w:val="20"/>
        </w:rPr>
        <w:t>tisíc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devadesát</w:t>
      </w:r>
      <w:r>
        <w:rPr>
          <w:spacing w:val="-8"/>
          <w:sz w:val="20"/>
        </w:rPr>
        <w:t> </w:t>
      </w:r>
      <w:r>
        <w:rPr>
          <w:sz w:val="20"/>
        </w:rPr>
        <w:t>dva</w:t>
      </w:r>
      <w:r>
        <w:rPr>
          <w:spacing w:val="-8"/>
          <w:sz w:val="20"/>
        </w:rPr>
        <w:t> </w:t>
      </w:r>
      <w:r>
        <w:rPr>
          <w:sz w:val="20"/>
        </w:rPr>
        <w:t>korun</w:t>
      </w:r>
      <w:r>
        <w:rPr>
          <w:spacing w:val="-7"/>
          <w:sz w:val="20"/>
        </w:rPr>
        <w:t> </w:t>
      </w:r>
      <w:r>
        <w:rPr>
          <w:sz w:val="20"/>
        </w:rPr>
        <w:t>českých a padesát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559 403,00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6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1"/>
      </w:pPr>
      <w:r>
        <w:rPr/>
        <w:t>To platí i pro případ, že příjemce podpory v průběhu realizace akce nehradil nebo nehradí z</w:t>
      </w:r>
      <w:r>
        <w:rPr>
          <w:spacing w:val="-2"/>
        </w:rPr>
        <w:t> </w:t>
      </w:r>
      <w:r>
        <w:rPr/>
        <w:t>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</w:t>
      </w:r>
      <w:r>
        <w:rPr>
          <w:spacing w:val="-2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5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další</w:t>
      </w:r>
      <w:r>
        <w:rPr>
          <w:spacing w:val="-8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„Školní přírodní zahrada Loket“ ze dne 3. 10.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7" w:hanging="286"/>
        <w:jc w:val="both"/>
        <w:rPr>
          <w:sz w:val="20"/>
        </w:rPr>
      </w:pPr>
      <w:r>
        <w:rPr>
          <w:sz w:val="20"/>
        </w:rPr>
        <w:t>v období od 10/2022 do 12/2023 pořídil předměty uvedené v aktualizovaném rozpočtu projektu</w:t>
      </w:r>
      <w:r>
        <w:rPr>
          <w:spacing w:val="40"/>
          <w:sz w:val="20"/>
        </w:rPr>
        <w:t> </w:t>
      </w:r>
      <w:r>
        <w:rPr>
          <w:sz w:val="20"/>
        </w:rPr>
        <w:t>ze dne 21. 3. 2024,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4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 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2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3"/>
          <w:sz w:val="20"/>
        </w:rPr>
        <w:t> </w:t>
      </w:r>
      <w:r>
        <w:rPr>
          <w:sz w:val="20"/>
        </w:rPr>
        <w:t>znění,</w:t>
      </w:r>
      <w:r>
        <w:rPr>
          <w:spacing w:val="34"/>
          <w:sz w:val="20"/>
        </w:rPr>
        <w:t> </w:t>
      </w:r>
      <w:r>
        <w:rPr>
          <w:sz w:val="20"/>
        </w:rPr>
        <w:t>zákon</w:t>
      </w:r>
      <w:r>
        <w:rPr>
          <w:spacing w:val="34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586/1992</w:t>
      </w:r>
      <w:r>
        <w:rPr>
          <w:spacing w:val="35"/>
          <w:sz w:val="20"/>
        </w:rPr>
        <w:t> </w:t>
      </w:r>
      <w:r>
        <w:rPr>
          <w:sz w:val="20"/>
        </w:rPr>
        <w:t>Sb.,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daních</w:t>
      </w:r>
      <w:r>
        <w:rPr>
          <w:spacing w:val="34"/>
          <w:sz w:val="20"/>
        </w:rPr>
        <w:t> </w:t>
      </w:r>
      <w:r>
        <w:rPr>
          <w:sz w:val="20"/>
        </w:rPr>
        <w:t>z příjmů,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3"/>
          <w:sz w:val="20"/>
        </w:rPr>
        <w:t> </w:t>
      </w:r>
      <w:r>
        <w:rPr>
          <w:sz w:val="20"/>
        </w:rPr>
        <w:t>znění).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6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5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5"/>
          <w:sz w:val="20"/>
        </w:rPr>
        <w:t> </w:t>
      </w:r>
      <w:r>
        <w:rPr>
          <w:sz w:val="20"/>
        </w:rPr>
        <w:t>oprávněným</w:t>
      </w:r>
      <w:r>
        <w:rPr>
          <w:spacing w:val="75"/>
          <w:sz w:val="20"/>
        </w:rPr>
        <w:t> </w:t>
      </w:r>
      <w:r>
        <w:rPr>
          <w:sz w:val="20"/>
        </w:rPr>
        <w:t>kontrolním</w:t>
      </w:r>
      <w:r>
        <w:rPr>
          <w:spacing w:val="80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24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2024-04-11T05:02:38Z</dcterms:created>
  <dcterms:modified xsi:type="dcterms:W3CDTF">2024-04-11T05:02:38Z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