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3A4C64D9" w14:textId="77777777" w:rsidR="001203BE" w:rsidRDefault="001203BE" w:rsidP="001203BE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VÍTKOVICE STEEL, a.s.</w:t>
      </w:r>
    </w:p>
    <w:p w14:paraId="1FC5B31F" w14:textId="77777777" w:rsidR="001203BE" w:rsidRDefault="001203BE" w:rsidP="001203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  <w:t>Českobratrská 3321/46, Moravská Ostrava, 702 00  Ostrava</w:t>
      </w:r>
    </w:p>
    <w:p w14:paraId="7E758160" w14:textId="77777777" w:rsidR="001203BE" w:rsidRDefault="001203BE" w:rsidP="001203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  <w:t>27801454</w:t>
      </w:r>
    </w:p>
    <w:p w14:paraId="7CF14D43" w14:textId="77777777" w:rsidR="001203BE" w:rsidRDefault="001203BE" w:rsidP="001203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CZ699006258</w:t>
      </w:r>
    </w:p>
    <w:p w14:paraId="502DFA40" w14:textId="77777777" w:rsidR="001203BE" w:rsidRDefault="001203BE" w:rsidP="001203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 ve veřejném rejstříku vedeném Krajským soudem v Ostravě, oddíl B, vložka 3243</w:t>
      </w:r>
    </w:p>
    <w:p w14:paraId="0EE64D48" w14:textId="77777777" w:rsidR="001203BE" w:rsidRDefault="001203BE" w:rsidP="001203BE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Zastoupena:</w:t>
      </w:r>
      <w:r>
        <w:rPr>
          <w:rFonts w:asciiTheme="minorHAnsi" w:hAnsiTheme="minorHAnsi" w:cstheme="minorHAnsi"/>
          <w:sz w:val="22"/>
          <w:szCs w:val="22"/>
        </w:rPr>
        <w:tab/>
        <w:t>JUDr. Vladimír Vavříček, LL.M., člen představenstva</w:t>
      </w:r>
    </w:p>
    <w:p w14:paraId="342F8971" w14:textId="77777777" w:rsidR="001203BE" w:rsidRDefault="001203BE" w:rsidP="001203BE">
      <w:pPr>
        <w:spacing w:after="0"/>
        <w:ind w:left="708" w:firstLine="708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Radek Strouhal, člen představenstva</w:t>
      </w:r>
    </w:p>
    <w:p w14:paraId="28228DEB" w14:textId="5530FCA2" w:rsidR="00C85D7D" w:rsidRPr="00B50E10" w:rsidRDefault="00C85D7D" w:rsidP="00C85D7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27522D2" w14:textId="4EDC5A6A" w:rsidR="00066ECB" w:rsidRPr="00B50E10" w:rsidRDefault="00FC1646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350A2747" w14:textId="77777777" w:rsidR="001203BE" w:rsidRPr="00B50E10" w:rsidRDefault="001203BE" w:rsidP="001203BE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85D7D">
        <w:rPr>
          <w:rFonts w:asciiTheme="minorHAnsi" w:hAnsiTheme="minorHAnsi" w:cstheme="minorHAnsi"/>
          <w:b/>
          <w:sz w:val="22"/>
          <w:szCs w:val="22"/>
        </w:rPr>
        <w:t>KÚPELE LÚČKY a. s.</w:t>
      </w:r>
    </w:p>
    <w:p w14:paraId="619197D9" w14:textId="77777777" w:rsidR="001203BE" w:rsidRPr="00C85D7D" w:rsidRDefault="001203BE" w:rsidP="001203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C85D7D">
        <w:rPr>
          <w:rFonts w:asciiTheme="minorHAnsi" w:hAnsiTheme="minorHAnsi" w:cstheme="minorHAnsi"/>
          <w:sz w:val="22"/>
          <w:szCs w:val="22"/>
        </w:rPr>
        <w:t>ídlo:</w:t>
      </w:r>
      <w:r w:rsidRPr="00C85D7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Lúčky 530, 034 82  Lúčky</w:t>
      </w:r>
    </w:p>
    <w:p w14:paraId="297B3D7E" w14:textId="77777777" w:rsidR="001203BE" w:rsidRPr="00C85D7D" w:rsidRDefault="001203BE" w:rsidP="001203B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85D7D">
        <w:rPr>
          <w:rFonts w:asciiTheme="minorHAnsi" w:hAnsiTheme="minorHAnsi" w:cstheme="minorHAnsi"/>
          <w:sz w:val="22"/>
          <w:szCs w:val="22"/>
        </w:rPr>
        <w:t xml:space="preserve">IČO: </w:t>
      </w:r>
      <w:r w:rsidRPr="00C85D7D">
        <w:rPr>
          <w:rFonts w:asciiTheme="minorHAnsi" w:hAnsiTheme="minorHAnsi" w:cstheme="minorHAnsi"/>
          <w:sz w:val="22"/>
          <w:szCs w:val="22"/>
        </w:rPr>
        <w:tab/>
        <w:t>331633218</w:t>
      </w:r>
    </w:p>
    <w:p w14:paraId="77F2E68F" w14:textId="77777777" w:rsidR="001203BE" w:rsidRDefault="001203BE" w:rsidP="001203B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85D7D">
        <w:rPr>
          <w:rFonts w:asciiTheme="minorHAnsi" w:hAnsiTheme="minorHAnsi" w:cstheme="minorHAnsi"/>
          <w:sz w:val="22"/>
          <w:szCs w:val="22"/>
        </w:rPr>
        <w:t>DIČ:</w:t>
      </w:r>
      <w:r w:rsidRPr="00C85D7D">
        <w:rPr>
          <w:rFonts w:asciiTheme="minorHAnsi" w:hAnsiTheme="minorHAnsi" w:cstheme="minorHAnsi"/>
          <w:sz w:val="22"/>
          <w:szCs w:val="22"/>
        </w:rPr>
        <w:tab/>
        <w:t>2020431061</w:t>
      </w:r>
    </w:p>
    <w:p w14:paraId="3C83E958" w14:textId="77777777" w:rsidR="001203BE" w:rsidRPr="00C85D7D" w:rsidRDefault="001203BE" w:rsidP="001203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C85D7D">
        <w:rPr>
          <w:rFonts w:asciiTheme="minorHAnsi" w:hAnsiTheme="minorHAnsi" w:cstheme="minorHAnsi"/>
          <w:sz w:val="22"/>
          <w:szCs w:val="22"/>
        </w:rPr>
        <w:t>SK 2020431061</w:t>
      </w:r>
    </w:p>
    <w:p w14:paraId="2B9BB64D" w14:textId="77777777" w:rsidR="001203BE" w:rsidRPr="00C85D7D" w:rsidRDefault="001203BE" w:rsidP="001203B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85D7D">
        <w:rPr>
          <w:rFonts w:asciiTheme="minorHAnsi" w:hAnsiTheme="minorHAnsi" w:cstheme="minorHAnsi"/>
          <w:sz w:val="22"/>
          <w:szCs w:val="22"/>
        </w:rPr>
        <w:t>zastoupená:</w:t>
      </w:r>
      <w:r w:rsidRPr="00C85D7D">
        <w:rPr>
          <w:rFonts w:asciiTheme="minorHAnsi" w:hAnsiTheme="minorHAnsi" w:cstheme="minorHAnsi"/>
          <w:sz w:val="22"/>
          <w:szCs w:val="22"/>
        </w:rPr>
        <w:tab/>
        <w:t xml:space="preserve">Mgr. Jaroslav Komora, MBA, předseda představenstva a. s., </w:t>
      </w:r>
    </w:p>
    <w:p w14:paraId="0FAD7FF1" w14:textId="77777777" w:rsidR="001203BE" w:rsidRPr="00C85D7D" w:rsidRDefault="001203BE" w:rsidP="001203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C85D7D">
        <w:rPr>
          <w:rFonts w:asciiTheme="minorHAnsi" w:hAnsiTheme="minorHAnsi" w:cstheme="minorHAnsi"/>
          <w:sz w:val="22"/>
          <w:szCs w:val="22"/>
        </w:rPr>
        <w:t>JUDr. Ing. Jaroslav Komora, člen představenstva a. s.</w:t>
      </w:r>
    </w:p>
    <w:p w14:paraId="0E11FD79" w14:textId="77777777" w:rsidR="001203BE" w:rsidRDefault="001203BE" w:rsidP="001203BE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C85D7D">
        <w:rPr>
          <w:rFonts w:asciiTheme="minorHAnsi" w:hAnsiTheme="minorHAnsi" w:cstheme="minorHAnsi"/>
          <w:sz w:val="22"/>
          <w:szCs w:val="22"/>
        </w:rPr>
        <w:t>zapsaná: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5D7D">
        <w:rPr>
          <w:rFonts w:asciiTheme="minorHAnsi" w:hAnsiTheme="minorHAnsi" w:cstheme="minorHAnsi"/>
          <w:sz w:val="22"/>
          <w:szCs w:val="22"/>
        </w:rPr>
        <w:t>ve veřejném rejstříku vedeném okresním soudem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85D7D">
        <w:rPr>
          <w:rFonts w:asciiTheme="minorHAnsi" w:hAnsiTheme="minorHAnsi" w:cstheme="minorHAnsi"/>
          <w:sz w:val="22"/>
          <w:szCs w:val="22"/>
        </w:rPr>
        <w:t>Žilině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85D7D">
        <w:rPr>
          <w:rFonts w:asciiTheme="minorHAnsi" w:hAnsiTheme="minorHAnsi" w:cstheme="minorHAnsi"/>
          <w:sz w:val="22"/>
          <w:szCs w:val="22"/>
        </w:rPr>
        <w:t>sp. zn.: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5D7D">
        <w:rPr>
          <w:rFonts w:asciiTheme="minorHAnsi" w:hAnsiTheme="minorHAnsi" w:cstheme="minorHAnsi"/>
          <w:sz w:val="22"/>
          <w:szCs w:val="22"/>
        </w:rPr>
        <w:t>oddíl Sa, vložka č. 412/L</w:t>
      </w:r>
      <w:r w:rsidRPr="00C85D7D" w:rsidDel="00C85D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35B1EB" w14:textId="77777777" w:rsidR="001203BE" w:rsidRPr="00B50E10" w:rsidRDefault="001203BE" w:rsidP="001203BE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lázně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1DF76F99" w14:textId="77777777" w:rsidR="001203BE" w:rsidRPr="00B50E10" w:rsidRDefault="001203BE" w:rsidP="001203BE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3880F149" w14:textId="77777777" w:rsidR="001203BE" w:rsidRPr="00B50E10" w:rsidRDefault="001203BE" w:rsidP="001203BE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250EDE42" w14:textId="77777777" w:rsidR="001203BE" w:rsidRDefault="001203BE" w:rsidP="00C85D7D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r w:rsidR="00C13168">
        <w:rPr>
          <w:rFonts w:asciiTheme="minorHAnsi" w:hAnsiTheme="minorHAnsi" w:cstheme="minorHAnsi"/>
          <w:sz w:val="22"/>
          <w:szCs w:val="22"/>
        </w:rPr>
        <w:t>sp.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7A47CD7" w14:textId="566869D5" w:rsidR="00FC1646" w:rsidRPr="00B50E10" w:rsidRDefault="00FC1646" w:rsidP="00FC1646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E94B0A" w:rsidRPr="00E94B0A">
        <w:rPr>
          <w:rStyle w:val="Tun-Znak"/>
          <w:rFonts w:asciiTheme="minorHAnsi" w:hAnsiTheme="minorHAnsi" w:cstheme="minorHAnsi"/>
          <w:sz w:val="22"/>
          <w:szCs w:val="22"/>
        </w:rPr>
        <w:t xml:space="preserve">problémy </w:t>
      </w:r>
      <w:r w:rsidR="00CC2E19" w:rsidRPr="00CC2E19">
        <w:rPr>
          <w:rStyle w:val="Tun-Znak"/>
          <w:rFonts w:asciiTheme="minorHAnsi" w:hAnsiTheme="minorHAnsi" w:cstheme="minorHAnsi"/>
          <w:sz w:val="22"/>
          <w:szCs w:val="22"/>
        </w:rPr>
        <w:t>dýchacích cest a předcházení nemocem z</w:t>
      </w:r>
      <w:r w:rsidR="00CC2E19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CC2E19" w:rsidRPr="00CC2E19">
        <w:rPr>
          <w:rStyle w:val="Tun-Znak"/>
          <w:rFonts w:asciiTheme="minorHAnsi" w:hAnsiTheme="minorHAnsi" w:cstheme="minorHAnsi"/>
          <w:sz w:val="22"/>
          <w:szCs w:val="22"/>
        </w:rPr>
        <w:t>povolání</w:t>
      </w:r>
      <w:r w:rsidR="00CC2E19">
        <w:rPr>
          <w:rStyle w:val="Tun-Znak"/>
          <w:rFonts w:asciiTheme="minorHAnsi" w:hAnsiTheme="minorHAnsi" w:cstheme="minorHAnsi"/>
          <w:sz w:val="22"/>
          <w:szCs w:val="22"/>
        </w:rPr>
        <w:t xml:space="preserve">, </w:t>
      </w:r>
      <w:r w:rsidR="00CC2E19" w:rsidRPr="00CC2E19">
        <w:rPr>
          <w:rStyle w:val="Tun-Znak"/>
          <w:rFonts w:asciiTheme="minorHAnsi" w:hAnsiTheme="minorHAnsi" w:cstheme="minorHAnsi"/>
          <w:sz w:val="22"/>
          <w:szCs w:val="22"/>
        </w:rPr>
        <w:t xml:space="preserve">využívajících klimatické podmínky 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44C47060" w14:textId="2E187606" w:rsidR="00723302" w:rsidRPr="008E2E44" w:rsidRDefault="00070FC6" w:rsidP="00E94B0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F78F6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E94B0A" w:rsidRPr="008E2E44">
        <w:rPr>
          <w:rStyle w:val="Tun-Znak"/>
          <w:rFonts w:asciiTheme="minorHAnsi" w:hAnsiTheme="minorHAnsi" w:cstheme="minorHAnsi"/>
          <w:sz w:val="22"/>
          <w:szCs w:val="22"/>
        </w:rPr>
        <w:t>turnus 8 denní: pobyt 8 dnů, 7 nocí (dále jen 8 denní pobyt)</w:t>
      </w:r>
    </w:p>
    <w:p w14:paraId="1087292C" w14:textId="05425CCC" w:rsidR="006F78F6" w:rsidRPr="00D25E09" w:rsidRDefault="00BA2D2F" w:rsidP="00D25E09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8E2E44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8E2E44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D25E09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D25E09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D25E09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D25E09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  <w:r w:rsidR="00070FC6" w:rsidRPr="00D25E09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F78F6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683E8F32" w14:textId="34996A62" w:rsidR="00723302" w:rsidRPr="008E2E44" w:rsidRDefault="00BA7175" w:rsidP="00E94B0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="00971A6D" w:rsidRPr="00D25E09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denní pobyt: do </w:t>
      </w:r>
      <w:r w:rsidR="001203BE">
        <w:rPr>
          <w:rStyle w:val="Tun-Znak"/>
          <w:rFonts w:asciiTheme="minorHAnsi" w:hAnsiTheme="minorHAnsi" w:cstheme="minorHAnsi"/>
          <w:sz w:val="22"/>
          <w:szCs w:val="22"/>
        </w:rPr>
        <w:t>22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  <w:r w:rsidR="00971A6D" w:rsidRPr="00D25E09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6E4E6CDA" w14:textId="2A4A5AB2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D25E09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7C931148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1203BE">
        <w:rPr>
          <w:rStyle w:val="Tun-Znak"/>
          <w:rFonts w:asciiTheme="minorHAnsi" w:hAnsiTheme="minorHAnsi" w:cstheme="minorHAnsi"/>
          <w:sz w:val="22"/>
          <w:szCs w:val="22"/>
        </w:rPr>
        <w:t>198 000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4BF0F77D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88D77CD" w14:textId="3073BD06" w:rsidR="00EA2CA7" w:rsidRPr="00D25E09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>- nordic walkingu s možností zapůjčení nordic walking holí</w:t>
      </w:r>
      <w:r w:rsidR="003D7CC3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zdarma</w:t>
      </w:r>
      <w:r w:rsidR="003D7CC3" w:rsidRPr="00D25E09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AA2B5C1" w14:textId="63276712" w:rsidR="00EA2CA7" w:rsidRPr="00D25E09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cykloturistiky s možností zapůjčení </w:t>
      </w:r>
      <w:r w:rsidR="003D7CC3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jízdního 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>kola</w:t>
      </w:r>
      <w:r w:rsidR="003D7CC3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D25E09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D25E09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4F2395DD" w14:textId="055D0B81" w:rsidR="00EA2CA7" w:rsidRPr="00D25E09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plavání ve </w:t>
      </w:r>
      <w:r w:rsidR="003D7CC3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vnitřním nebo </w:t>
      </w:r>
      <w:r w:rsidR="00070FC6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venkovním 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>rekreačním (volnočasovém) bazénu</w:t>
      </w:r>
      <w:r w:rsidR="00534019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3D7CC3" w:rsidRPr="00D25E09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D25E09">
        <w:t xml:space="preserve"> </w:t>
      </w:r>
      <w:r w:rsidR="00070FC6" w:rsidRPr="00D25E09">
        <w:rPr>
          <w:rStyle w:val="Tun-Znak"/>
          <w:rFonts w:asciiTheme="minorHAnsi" w:hAnsiTheme="minorHAnsi" w:cstheme="minorHAnsi"/>
          <w:sz w:val="22"/>
          <w:szCs w:val="22"/>
        </w:rPr>
        <w:t>v provozních časech otevření bazénu</w:t>
      </w:r>
      <w:r w:rsidR="00092DBF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zdarma</w:t>
      </w:r>
      <w:r w:rsidR="003D7CC3" w:rsidRPr="00D25E09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20C64077" w14:textId="62FC5401" w:rsidR="00EA2CA7" w:rsidRPr="00D25E09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(divadelní vystoupení, společenský večer) za pobyt</w:t>
      </w:r>
    </w:p>
    <w:p w14:paraId="7453AA18" w14:textId="544178F5" w:rsidR="003808E3" w:rsidRPr="00D25E09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</w:t>
      </w:r>
      <w:r w:rsidR="003D7CC3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pro individuální cvičení</w:t>
      </w:r>
      <w:r w:rsidR="003D7CC3" w:rsidRPr="00D25E09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="003D7CC3" w:rsidRPr="00D25E09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D25E09">
        <w:t xml:space="preserve"> </w:t>
      </w:r>
      <w:r w:rsidR="00070FC6" w:rsidRPr="00D25E09">
        <w:rPr>
          <w:rStyle w:val="Tun-Znak"/>
          <w:rFonts w:asciiTheme="minorHAnsi" w:hAnsiTheme="minorHAnsi" w:cstheme="minorHAnsi"/>
          <w:sz w:val="22"/>
          <w:szCs w:val="22"/>
        </w:rPr>
        <w:t>v provozních časech otevření příslušného sportoviště</w:t>
      </w:r>
      <w:r w:rsidR="00092DBF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zdarma</w:t>
      </w:r>
      <w:r w:rsidR="003D7CC3" w:rsidRPr="00D25E09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08E9D156" w14:textId="28ABB068" w:rsidR="00070FC6" w:rsidRPr="00D25E09" w:rsidRDefault="00070FC6" w:rsidP="00187CF2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5E1EA70" w14:textId="36894464" w:rsidR="006F78F6" w:rsidRPr="00187CF2" w:rsidRDefault="006F78F6" w:rsidP="00C06B67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D25E09">
        <w:rPr>
          <w:rStyle w:val="Tun-Znak"/>
          <w:rFonts w:asciiTheme="minorHAnsi" w:hAnsiTheme="minorHAnsi" w:cstheme="minorHAnsi"/>
          <w:sz w:val="22"/>
          <w:szCs w:val="22"/>
        </w:rPr>
        <w:t>- vstup do wellness (</w:t>
      </w:r>
      <w:r w:rsidR="00DF472D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zahrnujícího alespoň 1 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>saun</w:t>
      </w:r>
      <w:r w:rsidR="00DF472D" w:rsidRPr="00D25E09">
        <w:rPr>
          <w:rStyle w:val="Tun-Znak"/>
          <w:rFonts w:asciiTheme="minorHAnsi" w:hAnsiTheme="minorHAnsi" w:cstheme="minorHAnsi"/>
          <w:sz w:val="22"/>
          <w:szCs w:val="22"/>
        </w:rPr>
        <w:t>u</w:t>
      </w:r>
      <w:r w:rsidR="00E80C31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a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187CF2" w:rsidRPr="00D25E09">
        <w:rPr>
          <w:rStyle w:val="Tun-Znak"/>
          <w:rFonts w:asciiTheme="minorHAnsi" w:hAnsiTheme="minorHAnsi" w:cstheme="minorHAnsi"/>
          <w:sz w:val="22"/>
          <w:szCs w:val="22"/>
        </w:rPr>
        <w:t>vířivku</w:t>
      </w:r>
      <w:r w:rsidR="001E1AD4" w:rsidRPr="00D25E09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826D87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na min. 60 minut</w:t>
      </w:r>
      <w:r w:rsidR="001E1AD4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min 2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x </w:t>
      </w:r>
      <w:r w:rsidR="00CC58E2" w:rsidRPr="00D25E09">
        <w:rPr>
          <w:rStyle w:val="Tun-Znak"/>
          <w:rFonts w:asciiTheme="minorHAnsi" w:hAnsiTheme="minorHAnsi" w:cstheme="minorHAnsi"/>
          <w:sz w:val="22"/>
          <w:szCs w:val="22"/>
        </w:rPr>
        <w:t>pobyt</w:t>
      </w:r>
      <w:r w:rsidR="00092DBF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(</w:t>
      </w:r>
      <w:r w:rsidR="001E1AD4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v provozních </w:t>
      </w:r>
      <w:r w:rsidR="00C06B67">
        <w:rPr>
          <w:rStyle w:val="Tun-Znak"/>
          <w:rFonts w:asciiTheme="minorHAnsi" w:hAnsiTheme="minorHAnsi" w:cstheme="minorHAnsi"/>
          <w:sz w:val="22"/>
          <w:szCs w:val="22"/>
        </w:rPr>
        <w:t xml:space="preserve">  </w:t>
      </w:r>
      <w:r w:rsidR="001E1AD4"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časech otevření wellness; </w:t>
      </w:r>
      <w:r w:rsidR="00092DBF" w:rsidRPr="00D25E09">
        <w:rPr>
          <w:rStyle w:val="Tun-Znak"/>
          <w:rFonts w:asciiTheme="minorHAnsi" w:hAnsiTheme="minorHAnsi" w:cstheme="minorHAnsi"/>
          <w:sz w:val="22"/>
          <w:szCs w:val="22"/>
        </w:rPr>
        <w:t>zdarma)</w:t>
      </w:r>
    </w:p>
    <w:p w14:paraId="3137C931" w14:textId="05F70202" w:rsidR="00BA2D2F" w:rsidRPr="00B50E10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41975981" w14:textId="00381D81" w:rsidR="003518EF" w:rsidRPr="00B50E10" w:rsidRDefault="00C468F3" w:rsidP="00E94B0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266CE5" w:rsidRPr="00D25E09">
        <w:rPr>
          <w:rStyle w:val="Tun-Znak"/>
          <w:rFonts w:asciiTheme="minorHAnsi" w:hAnsiTheme="minorHAnsi" w:cstheme="minorHAnsi"/>
          <w:sz w:val="22"/>
          <w:szCs w:val="22"/>
        </w:rPr>
        <w:t>- „žádné nejsou“</w:t>
      </w:r>
      <w:r w:rsidRPr="00D25E0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032221E3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</w:t>
      </w:r>
      <w:r w:rsidRPr="008E2E44">
        <w:rPr>
          <w:rFonts w:asciiTheme="minorHAnsi" w:hAnsiTheme="minorHAnsi" w:cstheme="minorHAnsi"/>
          <w:sz w:val="20"/>
          <w:szCs w:val="20"/>
        </w:rPr>
        <w:t xml:space="preserve">roce </w:t>
      </w:r>
      <w:r w:rsidRPr="00D25E09">
        <w:rPr>
          <w:rFonts w:asciiTheme="minorHAnsi" w:hAnsiTheme="minorHAnsi" w:cstheme="minorHAnsi"/>
          <w:sz w:val="20"/>
          <w:szCs w:val="20"/>
        </w:rPr>
        <w:t>20</w:t>
      </w:r>
      <w:r w:rsidR="004B43F5" w:rsidRPr="00D25E09">
        <w:rPr>
          <w:rFonts w:asciiTheme="minorHAnsi" w:hAnsiTheme="minorHAnsi" w:cstheme="minorHAnsi"/>
          <w:sz w:val="20"/>
          <w:szCs w:val="20"/>
        </w:rPr>
        <w:t>2</w:t>
      </w:r>
      <w:r w:rsidR="006F78F6" w:rsidRPr="00D25E09"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38F0BD26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27A67A9A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 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342355BF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D25E09">
        <w:rPr>
          <w:rFonts w:asciiTheme="minorHAnsi" w:hAnsiTheme="minorHAnsi" w:cstheme="minorHAnsi"/>
          <w:sz w:val="20"/>
          <w:szCs w:val="20"/>
        </w:rPr>
        <w:t>20</w:t>
      </w:r>
      <w:r w:rsidR="00FD3C69" w:rsidRPr="00D25E09">
        <w:rPr>
          <w:rFonts w:asciiTheme="minorHAnsi" w:hAnsiTheme="minorHAnsi" w:cstheme="minorHAnsi"/>
          <w:sz w:val="20"/>
          <w:szCs w:val="20"/>
        </w:rPr>
        <w:t>. 1</w:t>
      </w:r>
      <w:r w:rsidR="00A027CB" w:rsidRPr="00D25E09">
        <w:rPr>
          <w:rFonts w:asciiTheme="minorHAnsi" w:hAnsiTheme="minorHAnsi" w:cstheme="minorHAnsi"/>
          <w:sz w:val="20"/>
          <w:szCs w:val="20"/>
        </w:rPr>
        <w:t>2</w:t>
      </w:r>
      <w:r w:rsidR="00FD3C69" w:rsidRPr="00D25E09">
        <w:rPr>
          <w:rFonts w:asciiTheme="minorHAnsi" w:hAnsiTheme="minorHAnsi" w:cstheme="minorHAnsi"/>
          <w:sz w:val="20"/>
          <w:szCs w:val="20"/>
        </w:rPr>
        <w:t>. 20</w:t>
      </w:r>
      <w:r w:rsidR="007B14E7" w:rsidRPr="00D25E09">
        <w:rPr>
          <w:rFonts w:asciiTheme="minorHAnsi" w:hAnsiTheme="minorHAnsi" w:cstheme="minorHAnsi"/>
          <w:sz w:val="20"/>
          <w:szCs w:val="20"/>
        </w:rPr>
        <w:t>2</w:t>
      </w:r>
      <w:r w:rsidR="006F78F6" w:rsidRPr="00D25E09">
        <w:rPr>
          <w:rFonts w:asciiTheme="minorHAnsi" w:hAnsiTheme="minorHAnsi" w:cstheme="minorHAnsi"/>
          <w:sz w:val="20"/>
          <w:szCs w:val="20"/>
        </w:rPr>
        <w:t>4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2613F050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</w:t>
      </w:r>
      <w:r w:rsidRPr="008E2E44">
        <w:rPr>
          <w:rFonts w:asciiTheme="minorHAnsi" w:hAnsiTheme="minorHAnsi" w:cstheme="minorHAnsi"/>
          <w:sz w:val="20"/>
          <w:szCs w:val="20"/>
        </w:rPr>
        <w:t xml:space="preserve">do </w:t>
      </w:r>
      <w:r w:rsidR="003955DC" w:rsidRPr="00D25E09">
        <w:rPr>
          <w:rFonts w:asciiTheme="minorHAnsi" w:hAnsiTheme="minorHAnsi" w:cstheme="minorHAnsi"/>
          <w:sz w:val="20"/>
          <w:szCs w:val="20"/>
        </w:rPr>
        <w:t>2</w:t>
      </w:r>
      <w:r w:rsidRPr="00D25E09">
        <w:rPr>
          <w:rFonts w:asciiTheme="minorHAnsi" w:hAnsiTheme="minorHAnsi" w:cstheme="minorHAnsi"/>
          <w:sz w:val="20"/>
          <w:szCs w:val="20"/>
        </w:rPr>
        <w:t>0. 1</w:t>
      </w:r>
      <w:r w:rsidR="003955DC" w:rsidRPr="00D25E09">
        <w:rPr>
          <w:rFonts w:asciiTheme="minorHAnsi" w:hAnsiTheme="minorHAnsi" w:cstheme="minorHAnsi"/>
          <w:sz w:val="20"/>
          <w:szCs w:val="20"/>
        </w:rPr>
        <w:t>2</w:t>
      </w:r>
      <w:r w:rsidRPr="00D25E09">
        <w:rPr>
          <w:rFonts w:asciiTheme="minorHAnsi" w:hAnsiTheme="minorHAnsi" w:cstheme="minorHAnsi"/>
          <w:sz w:val="20"/>
          <w:szCs w:val="20"/>
        </w:rPr>
        <w:t>. 20</w:t>
      </w:r>
      <w:r w:rsidR="0009034E" w:rsidRPr="00D25E09">
        <w:rPr>
          <w:rFonts w:asciiTheme="minorHAnsi" w:hAnsiTheme="minorHAnsi" w:cstheme="minorHAnsi"/>
          <w:sz w:val="20"/>
          <w:szCs w:val="20"/>
        </w:rPr>
        <w:t>2</w:t>
      </w:r>
      <w:r w:rsidR="0054122F" w:rsidRPr="00D25E09">
        <w:rPr>
          <w:rFonts w:asciiTheme="minorHAnsi" w:hAnsiTheme="minorHAnsi" w:cstheme="minorHAnsi"/>
          <w:sz w:val="20"/>
          <w:szCs w:val="20"/>
        </w:rPr>
        <w:t>4</w:t>
      </w:r>
      <w:r w:rsidR="00936839" w:rsidRPr="00373543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7168D3D5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200520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26C1DFB6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B0097A" w14:textId="19439DF4" w:rsidR="00DC307C" w:rsidRDefault="00DC307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20F5C8D" w14:textId="0DF1C74D" w:rsidR="00DC307C" w:rsidRDefault="00DC307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F777E43" w14:textId="19C7531D" w:rsidR="00DC307C" w:rsidRDefault="00DC307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ECC455F" w14:textId="38567741" w:rsidR="00DC307C" w:rsidRDefault="00DC307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829C4AA" w14:textId="66A44ABD" w:rsidR="00DC307C" w:rsidRDefault="00DC307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7D434B6" w14:textId="77777777" w:rsidR="00DC307C" w:rsidRDefault="00DC307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2510498D" w:rsidR="00D94D33" w:rsidRPr="00B50E10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5F39E1D2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</w:t>
      </w:r>
      <w:r w:rsidR="00CD69B7" w:rsidRPr="008E2E44">
        <w:rPr>
          <w:rFonts w:asciiTheme="minorHAnsi" w:hAnsiTheme="minorHAnsi" w:cstheme="minorHAnsi"/>
        </w:rPr>
        <w:t xml:space="preserve">roce </w:t>
      </w:r>
      <w:r w:rsidR="00CD69B7" w:rsidRPr="00D25E09">
        <w:rPr>
          <w:rFonts w:asciiTheme="minorHAnsi" w:hAnsiTheme="minorHAnsi" w:cstheme="minorHAnsi"/>
        </w:rPr>
        <w:t>20</w:t>
      </w:r>
      <w:r w:rsidR="0009034E" w:rsidRPr="00D25E09">
        <w:rPr>
          <w:rFonts w:asciiTheme="minorHAnsi" w:hAnsiTheme="minorHAnsi" w:cstheme="minorHAnsi"/>
        </w:rPr>
        <w:t>2</w:t>
      </w:r>
      <w:r w:rsidR="0054122F" w:rsidRPr="00D25E09">
        <w:rPr>
          <w:rFonts w:asciiTheme="minorHAnsi" w:hAnsiTheme="minorHAnsi" w:cstheme="minorHAnsi"/>
        </w:rPr>
        <w:t>4</w:t>
      </w: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748B1A73" w14:textId="22DABE2B" w:rsidR="009F5F40" w:rsidRDefault="009F5F40" w:rsidP="009F5F4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Ostravě, dne:</w:t>
      </w:r>
      <w:r w:rsidR="004A1DA8">
        <w:rPr>
          <w:rFonts w:asciiTheme="minorHAnsi" w:hAnsiTheme="minorHAnsi" w:cstheme="minorHAnsi"/>
        </w:rPr>
        <w:t xml:space="preserve"> 19. 3. </w:t>
      </w:r>
      <w:bookmarkStart w:id="0" w:name="_GoBack"/>
      <w:bookmarkEnd w:id="0"/>
      <w:r w:rsidR="004A1DA8">
        <w:rPr>
          <w:rFonts w:asciiTheme="minorHAnsi" w:hAnsiTheme="minorHAnsi" w:cstheme="minorHAnsi"/>
        </w:rPr>
        <w:t>2024</w:t>
      </w:r>
    </w:p>
    <w:p w14:paraId="1782988E" w14:textId="77777777" w:rsidR="009F5F40" w:rsidRDefault="009F5F40" w:rsidP="009F5F4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87F0917" w14:textId="77777777" w:rsidR="009F5F40" w:rsidRDefault="009F5F40" w:rsidP="009F5F4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C8C8967" w14:textId="77777777" w:rsidR="009F5F40" w:rsidRDefault="009F5F40" w:rsidP="009F5F4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46800A49" w14:textId="77777777" w:rsidR="009F5F40" w:rsidRDefault="009F5F40" w:rsidP="009F5F4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JUDr. Vladimír Vavříček, LL.M.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Ing. Radek Strouhal</w:t>
      </w:r>
    </w:p>
    <w:p w14:paraId="39177281" w14:textId="77777777" w:rsidR="009F5F40" w:rsidRDefault="009F5F40" w:rsidP="009F5F4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člen představenstva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člen představenstva </w:t>
      </w:r>
    </w:p>
    <w:p w14:paraId="53908C7D" w14:textId="77777777" w:rsidR="009F5F40" w:rsidRDefault="009F5F40" w:rsidP="009F5F4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VÍTKOVICE STEEL, a.s.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VÍTKOVICE STEEL, a.s. </w:t>
      </w:r>
    </w:p>
    <w:p w14:paraId="6B6A7824" w14:textId="77777777" w:rsidR="009F5F40" w:rsidRDefault="009F5F40" w:rsidP="009F5F40"/>
    <w:p w14:paraId="5363234C" w14:textId="7FF21480" w:rsidR="003B544E" w:rsidRPr="00B50E10" w:rsidRDefault="00A06926" w:rsidP="00A0692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</w:r>
      <w:r w:rsidRPr="00A06926">
        <w:rPr>
          <w:rFonts w:asciiTheme="minorHAnsi" w:hAnsiTheme="minorHAnsi" w:cstheme="minorHAnsi"/>
          <w:sz w:val="20"/>
          <w:szCs w:val="20"/>
        </w:rPr>
        <w:tab/>
        <w:t>.</w:t>
      </w:r>
    </w:p>
    <w:p w14:paraId="2244AF1E" w14:textId="027D9F15" w:rsidR="00AE3C4E" w:rsidRPr="00B50E10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530D657D" w14:textId="43FB5EE7" w:rsidR="00B35069" w:rsidRDefault="00B35069" w:rsidP="00B50E10">
      <w:pPr>
        <w:pStyle w:val="Odstavec"/>
        <w:rPr>
          <w:rFonts w:asciiTheme="minorHAnsi" w:hAnsiTheme="minorHAnsi" w:cstheme="minorHAnsi"/>
        </w:rPr>
      </w:pPr>
    </w:p>
    <w:p w14:paraId="1D748C60" w14:textId="1B3A0B28" w:rsidR="00B35069" w:rsidRDefault="00B35069" w:rsidP="00B50E10">
      <w:pPr>
        <w:pStyle w:val="Odstavec"/>
        <w:rPr>
          <w:rFonts w:asciiTheme="minorHAnsi" w:hAnsiTheme="minorHAnsi" w:cstheme="minorHAnsi"/>
        </w:rPr>
      </w:pPr>
    </w:p>
    <w:p w14:paraId="1CCAAD90" w14:textId="77777777" w:rsidR="00B35069" w:rsidRPr="00B50E10" w:rsidRDefault="00B35069" w:rsidP="00B50E10">
      <w:pPr>
        <w:pStyle w:val="Odstavec"/>
        <w:rPr>
          <w:rFonts w:asciiTheme="minorHAnsi" w:hAnsiTheme="minorHAnsi" w:cstheme="minorHAnsi"/>
        </w:rPr>
      </w:pPr>
    </w:p>
    <w:p w14:paraId="25AAAAF0" w14:textId="0509793A" w:rsidR="00364287" w:rsidRPr="00364287" w:rsidRDefault="00364287" w:rsidP="00364287">
      <w:pPr>
        <w:pStyle w:val="Odstavec"/>
        <w:rPr>
          <w:rFonts w:asciiTheme="minorHAnsi" w:hAnsiTheme="minorHAnsi" w:cstheme="minorHAnsi"/>
        </w:rPr>
      </w:pPr>
      <w:r w:rsidRPr="00364287">
        <w:rPr>
          <w:rFonts w:asciiTheme="minorHAnsi" w:hAnsiTheme="minorHAnsi" w:cstheme="minorHAnsi"/>
        </w:rPr>
        <w:t>Lázně:</w:t>
      </w:r>
    </w:p>
    <w:p w14:paraId="1F6C74E8" w14:textId="77777777" w:rsidR="00364287" w:rsidRPr="00364287" w:rsidRDefault="00364287" w:rsidP="00364287">
      <w:pPr>
        <w:pStyle w:val="Odstavec"/>
        <w:rPr>
          <w:rFonts w:asciiTheme="minorHAnsi" w:hAnsiTheme="minorHAnsi" w:cstheme="minorHAnsi"/>
        </w:rPr>
      </w:pPr>
    </w:p>
    <w:p w14:paraId="57C8B331" w14:textId="3CBE41A7" w:rsidR="00364287" w:rsidRPr="00B50E10" w:rsidRDefault="00364287" w:rsidP="00364287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</w:t>
      </w:r>
      <w:r w:rsidRPr="00CC2E19">
        <w:rPr>
          <w:rFonts w:asciiTheme="minorHAnsi" w:hAnsiTheme="minorHAnsi" w:cstheme="minorHAnsi"/>
        </w:rPr>
        <w:t>KÚPEL</w:t>
      </w:r>
      <w:r>
        <w:rPr>
          <w:rFonts w:asciiTheme="minorHAnsi" w:hAnsiTheme="minorHAnsi" w:cstheme="minorHAnsi"/>
        </w:rPr>
        <w:t>och</w:t>
      </w:r>
      <w:r w:rsidRPr="00CC2E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LÚČKY,  </w:t>
      </w:r>
      <w:r w:rsidRPr="00B50E10">
        <w:rPr>
          <w:rFonts w:asciiTheme="minorHAnsi" w:hAnsiTheme="minorHAnsi" w:cstheme="minorHAnsi"/>
        </w:rPr>
        <w:t>dne</w:t>
      </w:r>
      <w:r w:rsidR="004A1DA8">
        <w:rPr>
          <w:rFonts w:asciiTheme="minorHAnsi" w:hAnsiTheme="minorHAnsi" w:cstheme="minorHAnsi"/>
        </w:rPr>
        <w:t xml:space="preserve"> 27. 3. 2024</w:t>
      </w:r>
    </w:p>
    <w:p w14:paraId="5546E053" w14:textId="77777777" w:rsidR="00364287" w:rsidRPr="00364287" w:rsidRDefault="00364287" w:rsidP="00364287">
      <w:pPr>
        <w:pStyle w:val="Odstavec"/>
        <w:rPr>
          <w:rFonts w:asciiTheme="minorHAnsi" w:hAnsiTheme="minorHAnsi" w:cstheme="minorHAnsi"/>
        </w:rPr>
      </w:pPr>
    </w:p>
    <w:p w14:paraId="1B18A13A" w14:textId="77777777" w:rsidR="00364287" w:rsidRPr="00364287" w:rsidRDefault="00364287" w:rsidP="00364287">
      <w:pPr>
        <w:pStyle w:val="Odstavec"/>
        <w:rPr>
          <w:rFonts w:asciiTheme="minorHAnsi" w:hAnsiTheme="minorHAnsi" w:cstheme="minorHAnsi"/>
        </w:rPr>
      </w:pPr>
    </w:p>
    <w:p w14:paraId="1AEDF614" w14:textId="77777777" w:rsidR="00364287" w:rsidRPr="00364287" w:rsidRDefault="00364287" w:rsidP="00364287">
      <w:pPr>
        <w:pStyle w:val="Odstavec"/>
        <w:rPr>
          <w:rFonts w:asciiTheme="minorHAnsi" w:hAnsiTheme="minorHAnsi" w:cstheme="minorHAnsi"/>
        </w:rPr>
      </w:pPr>
      <w:r w:rsidRPr="00364287">
        <w:rPr>
          <w:rFonts w:asciiTheme="minorHAnsi" w:hAnsiTheme="minorHAnsi" w:cstheme="minorHAnsi"/>
        </w:rPr>
        <w:t>……………………………………</w:t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  <w:t>……………………………………….</w:t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</w:p>
    <w:p w14:paraId="36062619" w14:textId="77777777" w:rsidR="00364287" w:rsidRPr="00364287" w:rsidRDefault="00364287" w:rsidP="00364287">
      <w:pPr>
        <w:pStyle w:val="Odstavec"/>
        <w:rPr>
          <w:rFonts w:asciiTheme="minorHAnsi" w:hAnsiTheme="minorHAnsi" w:cstheme="minorHAnsi"/>
        </w:rPr>
      </w:pPr>
      <w:r w:rsidRPr="00364287">
        <w:rPr>
          <w:rFonts w:asciiTheme="minorHAnsi" w:hAnsiTheme="minorHAnsi" w:cstheme="minorHAnsi"/>
        </w:rPr>
        <w:t>Mgr. Jaroslav Komora, MBA</w:t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  <w:t>JUDr. Ing. Jaroslav Komora</w:t>
      </w:r>
    </w:p>
    <w:p w14:paraId="24F055D7" w14:textId="6487A3F1" w:rsidR="00364287" w:rsidRPr="00364287" w:rsidRDefault="00364287" w:rsidP="00364287">
      <w:pPr>
        <w:pStyle w:val="Odstavec"/>
        <w:rPr>
          <w:rFonts w:asciiTheme="minorHAnsi" w:hAnsiTheme="minorHAnsi" w:cstheme="minorHAnsi"/>
        </w:rPr>
      </w:pPr>
      <w:r w:rsidRPr="00364287">
        <w:rPr>
          <w:rFonts w:asciiTheme="minorHAnsi" w:hAnsiTheme="minorHAnsi" w:cstheme="minorHAnsi"/>
        </w:rPr>
        <w:t xml:space="preserve">předseda představenstva </w:t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="006A144F">
        <w:rPr>
          <w:rFonts w:asciiTheme="minorHAnsi" w:hAnsiTheme="minorHAnsi" w:cstheme="minorHAnsi"/>
        </w:rPr>
        <w:t>č</w:t>
      </w:r>
      <w:r w:rsidRPr="00364287">
        <w:rPr>
          <w:rFonts w:asciiTheme="minorHAnsi" w:hAnsiTheme="minorHAnsi" w:cstheme="minorHAnsi"/>
        </w:rPr>
        <w:t>len představenstva</w:t>
      </w:r>
    </w:p>
    <w:p w14:paraId="3319DAE5" w14:textId="03F628B6" w:rsidR="00364287" w:rsidRPr="00364287" w:rsidRDefault="00364287" w:rsidP="00364287">
      <w:pPr>
        <w:pStyle w:val="Odstavec"/>
        <w:rPr>
          <w:rFonts w:asciiTheme="minorHAnsi" w:hAnsiTheme="minorHAnsi" w:cstheme="minorHAnsi"/>
        </w:rPr>
      </w:pPr>
      <w:r w:rsidRPr="00364287">
        <w:rPr>
          <w:rFonts w:asciiTheme="minorHAnsi" w:hAnsiTheme="minorHAnsi" w:cstheme="minorHAnsi"/>
        </w:rPr>
        <w:t xml:space="preserve">KÚPELE LÚČKY a.s.                                 </w:t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</w:t>
      </w:r>
      <w:r w:rsidRPr="00364287">
        <w:rPr>
          <w:rFonts w:asciiTheme="minorHAnsi" w:hAnsiTheme="minorHAnsi" w:cstheme="minorHAnsi"/>
        </w:rPr>
        <w:t>KÚPELE LÚČKY a.s.</w:t>
      </w:r>
    </w:p>
    <w:p w14:paraId="1E2E8970" w14:textId="01EF491B" w:rsidR="00364287" w:rsidRDefault="00364287" w:rsidP="00364287">
      <w:pPr>
        <w:pStyle w:val="Odstavec"/>
        <w:rPr>
          <w:rFonts w:asciiTheme="minorHAnsi" w:hAnsiTheme="minorHAnsi" w:cstheme="minorHAnsi"/>
        </w:rPr>
      </w:pP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  <w:r w:rsidRPr="00364287">
        <w:rPr>
          <w:rFonts w:asciiTheme="minorHAnsi" w:hAnsiTheme="minorHAnsi" w:cstheme="minorHAnsi"/>
        </w:rPr>
        <w:tab/>
      </w:r>
    </w:p>
    <w:p w14:paraId="2EE89B4E" w14:textId="5B81541D" w:rsidR="00364287" w:rsidRDefault="00364287" w:rsidP="00B50E10">
      <w:pPr>
        <w:pStyle w:val="Odstavec"/>
        <w:rPr>
          <w:rFonts w:asciiTheme="minorHAnsi" w:hAnsiTheme="minorHAnsi" w:cstheme="minorHAnsi"/>
        </w:rPr>
      </w:pPr>
    </w:p>
    <w:p w14:paraId="0B84C0F1" w14:textId="1D4F248F" w:rsidR="00364287" w:rsidRDefault="00364287" w:rsidP="00B50E10">
      <w:pPr>
        <w:pStyle w:val="Odstavec"/>
        <w:rPr>
          <w:rFonts w:asciiTheme="minorHAnsi" w:hAnsiTheme="minorHAnsi" w:cstheme="minorHAnsi"/>
        </w:rPr>
      </w:pPr>
    </w:p>
    <w:p w14:paraId="003A440A" w14:textId="77777777" w:rsidR="00364287" w:rsidRPr="00B50E10" w:rsidRDefault="00364287" w:rsidP="00B50E10">
      <w:pPr>
        <w:pStyle w:val="Odstavec"/>
        <w:rPr>
          <w:rFonts w:asciiTheme="minorHAnsi" w:hAnsiTheme="minorHAnsi" w:cstheme="minorHAnsi"/>
        </w:rPr>
      </w:pPr>
    </w:p>
    <w:p w14:paraId="3807A62B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5008AB4" w14:textId="1E3D0D34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</w:p>
    <w:p w14:paraId="35BECB4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7C0852C4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4A1DA8">
        <w:rPr>
          <w:rFonts w:asciiTheme="minorHAnsi" w:hAnsiTheme="minorHAnsi" w:cstheme="minorHAnsi"/>
          <w:sz w:val="20"/>
          <w:szCs w:val="20"/>
        </w:rPr>
        <w:t xml:space="preserve"> 12. 3. 2024</w:t>
      </w:r>
      <w:r w:rsidR="0005550D" w:rsidRPr="00B50E10">
        <w:rPr>
          <w:rFonts w:asciiTheme="minorHAnsi" w:hAnsiTheme="minorHAnsi" w:cstheme="minorHAnsi"/>
          <w:sz w:val="20"/>
          <w:szCs w:val="20"/>
        </w:rPr>
        <w:t>………………</w:t>
      </w:r>
      <w:r w:rsidR="00425E53" w:rsidRPr="00B50E10">
        <w:rPr>
          <w:rFonts w:asciiTheme="minorHAnsi" w:hAnsiTheme="minorHAnsi" w:cstheme="minorHAnsi"/>
          <w:sz w:val="20"/>
          <w:szCs w:val="20"/>
        </w:rPr>
        <w:t>…….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76535C03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CC2E19" w:rsidRPr="00CD69B7" w14:paraId="35CBAA51" w14:textId="78963D95" w:rsidTr="00C06B67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CC2E19" w:rsidRPr="00CD69B7" w:rsidRDefault="00CC2E19" w:rsidP="00CC2E1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0F291307" w14:textId="2C84603D" w:rsidR="00CC2E19" w:rsidRPr="00BB0170" w:rsidRDefault="00CC2E19" w:rsidP="00CC2E19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</w:rPr>
            </w:pPr>
            <w:r w:rsidRPr="00D25E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 denní</w:t>
            </w:r>
          </w:p>
        </w:tc>
      </w:tr>
      <w:tr w:rsidR="00CC2E19" w:rsidRPr="00CD69B7" w14:paraId="73E02F9E" w14:textId="4EC835D5" w:rsidTr="00C06B67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CC2E19" w:rsidRPr="00CD69B7" w:rsidRDefault="00CC2E19" w:rsidP="00CC2E1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  <w:vAlign w:val="center"/>
          </w:tcPr>
          <w:p w14:paraId="16DE93FE" w14:textId="2730482E" w:rsidR="00CC2E19" w:rsidRPr="00A06926" w:rsidRDefault="00364287" w:rsidP="00364287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530</w:t>
            </w:r>
          </w:p>
        </w:tc>
      </w:tr>
      <w:tr w:rsidR="00CC2E19" w:rsidRPr="00CD69B7" w14:paraId="4D974E7A" w14:textId="5719EACC" w:rsidTr="00C06B67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CC2E19" w:rsidRPr="00CD69B7" w:rsidRDefault="00CC2E19" w:rsidP="00CC2E1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  <w:vAlign w:val="center"/>
          </w:tcPr>
          <w:p w14:paraId="7586C097" w14:textId="7FA9D6E0" w:rsidR="00CC2E19" w:rsidRPr="00A06926" w:rsidRDefault="00364287" w:rsidP="00364287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550</w:t>
            </w:r>
          </w:p>
        </w:tc>
      </w:tr>
      <w:tr w:rsidR="00CC2E19" w:rsidRPr="00CD69B7" w14:paraId="0DAB9080" w14:textId="0733121C" w:rsidTr="00C06B67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CC2E19" w:rsidRPr="00CD69B7" w:rsidRDefault="00CC2E19" w:rsidP="00CC2E1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  <w:vAlign w:val="center"/>
          </w:tcPr>
          <w:p w14:paraId="65551FA3" w14:textId="31A5592C" w:rsidR="00CC2E19" w:rsidRPr="00A06926" w:rsidRDefault="00CC2E19" w:rsidP="00364287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34DE3">
              <w:rPr>
                <w:rFonts w:ascii="Calibri" w:hAnsi="Calibri"/>
                <w:sz w:val="20"/>
                <w:szCs w:val="20"/>
              </w:rPr>
              <w:t>4</w:t>
            </w:r>
            <w:r w:rsidR="00364287">
              <w:rPr>
                <w:rFonts w:ascii="Calibri" w:hAnsi="Calibri"/>
                <w:sz w:val="20"/>
                <w:szCs w:val="20"/>
              </w:rPr>
              <w:t>5</w:t>
            </w:r>
            <w:r w:rsidRPr="00034DE3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CC2E19" w:rsidRPr="00CD69B7" w14:paraId="2B8ECF50" w14:textId="39821DCF" w:rsidTr="00C06B67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CC2E19" w:rsidRPr="00CD69B7" w:rsidRDefault="00CC2E19" w:rsidP="00CC2E1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  <w:vAlign w:val="center"/>
          </w:tcPr>
          <w:p w14:paraId="0889DA77" w14:textId="2F5AB8E3" w:rsidR="00CC2E19" w:rsidRPr="00A06926" w:rsidRDefault="00CC2E19" w:rsidP="00364287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34DE3">
              <w:rPr>
                <w:rFonts w:ascii="Calibri" w:hAnsi="Calibri"/>
                <w:sz w:val="20"/>
                <w:szCs w:val="20"/>
              </w:rPr>
              <w:t>1</w:t>
            </w:r>
            <w:r w:rsidR="00364287">
              <w:rPr>
                <w:rFonts w:ascii="Calibri" w:hAnsi="Calibri"/>
                <w:sz w:val="20"/>
                <w:szCs w:val="20"/>
              </w:rPr>
              <w:t xml:space="preserve"> 530</w:t>
            </w:r>
          </w:p>
        </w:tc>
      </w:tr>
      <w:tr w:rsidR="00CC2E19" w:rsidRPr="00CD69B7" w14:paraId="1BFD70E6" w14:textId="5470F2E9" w:rsidTr="00C06B67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CC2E19" w:rsidRPr="00CD69B7" w:rsidRDefault="00CC2E19" w:rsidP="00CC2E1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  <w:vAlign w:val="center"/>
          </w:tcPr>
          <w:p w14:paraId="346B85EC" w14:textId="4673B661" w:rsidR="00CC2E19" w:rsidRPr="00A06926" w:rsidRDefault="00CC2E19" w:rsidP="00364287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34DE3">
              <w:rPr>
                <w:rFonts w:ascii="Calibri" w:hAnsi="Calibri"/>
                <w:sz w:val="20"/>
                <w:szCs w:val="20"/>
              </w:rPr>
              <w:t xml:space="preserve">10 </w:t>
            </w:r>
            <w:r w:rsidR="00364287">
              <w:rPr>
                <w:rFonts w:ascii="Calibri" w:hAnsi="Calibri"/>
                <w:sz w:val="20"/>
                <w:szCs w:val="20"/>
              </w:rPr>
              <w:t>710</w:t>
            </w:r>
          </w:p>
        </w:tc>
      </w:tr>
      <w:tr w:rsidR="00CC2E19" w:rsidRPr="00CD69B7" w14:paraId="57C9BE65" w14:textId="51650BA6" w:rsidTr="00C06B67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CC2E19" w:rsidRPr="00CD69B7" w:rsidRDefault="00CC2E19" w:rsidP="00CC2E1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  <w:vAlign w:val="center"/>
          </w:tcPr>
          <w:p w14:paraId="237B99D8" w14:textId="60287FE0" w:rsidR="00CC2E19" w:rsidRPr="00A06926" w:rsidRDefault="00CC2E19" w:rsidP="00364287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34DE3">
              <w:rPr>
                <w:rFonts w:ascii="Calibri" w:hAnsi="Calibri"/>
                <w:sz w:val="20"/>
                <w:szCs w:val="20"/>
              </w:rPr>
              <w:t xml:space="preserve">8 </w:t>
            </w:r>
            <w:r w:rsidR="00364287">
              <w:rPr>
                <w:rFonts w:ascii="Calibri" w:hAnsi="Calibri"/>
                <w:sz w:val="20"/>
                <w:szCs w:val="20"/>
              </w:rPr>
              <w:t>960</w:t>
            </w:r>
          </w:p>
        </w:tc>
      </w:tr>
      <w:tr w:rsidR="00CC2E19" w:rsidRPr="00CD69B7" w14:paraId="114E9DF2" w14:textId="46BDDEC9" w:rsidTr="00C06B67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CC2E19" w:rsidRPr="00CD69B7" w:rsidRDefault="00CC2E19" w:rsidP="00CC2E1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  <w:vAlign w:val="center"/>
          </w:tcPr>
          <w:p w14:paraId="400EC2A9" w14:textId="0CBEB003" w:rsidR="00CC2E19" w:rsidRPr="00A06926" w:rsidRDefault="00CC2E19" w:rsidP="00364287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34DE3">
              <w:rPr>
                <w:rFonts w:ascii="Calibri" w:hAnsi="Calibri"/>
                <w:sz w:val="20"/>
                <w:szCs w:val="20"/>
              </w:rPr>
              <w:t xml:space="preserve">1 </w:t>
            </w:r>
            <w:r w:rsidR="00364287">
              <w:rPr>
                <w:rFonts w:ascii="Calibri" w:hAnsi="Calibri"/>
                <w:sz w:val="20"/>
                <w:szCs w:val="20"/>
              </w:rPr>
              <w:t>750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4A991832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D25E09">
        <w:rPr>
          <w:rFonts w:asciiTheme="minorHAnsi" w:hAnsiTheme="minorHAnsi" w:cstheme="minorHAnsi"/>
          <w:sz w:val="20"/>
          <w:szCs w:val="20"/>
        </w:rPr>
        <w:t>202</w:t>
      </w:r>
      <w:r w:rsidR="0054122F" w:rsidRPr="00D25E09">
        <w:rPr>
          <w:rFonts w:asciiTheme="minorHAnsi" w:hAnsiTheme="minorHAnsi" w:cstheme="minorHAnsi"/>
          <w:sz w:val="20"/>
          <w:szCs w:val="20"/>
        </w:rPr>
        <w:t>4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0A730B54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5CCEC4CE" w:rsidR="00CD69B7" w:rsidRPr="00CD69B7" w:rsidRDefault="009F5F40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b/>
          <w:bCs/>
          <w:color w:val="585857"/>
          <w:sz w:val="18"/>
          <w:szCs w:val="18"/>
        </w:rPr>
        <w:t>VÍTKOVICE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color w:val="E87722"/>
          <w:sz w:val="36"/>
          <w:szCs w:val="36"/>
        </w:rPr>
        <w:t>│</w:t>
      </w:r>
      <w:r>
        <w:rPr>
          <w:rFonts w:cs="Arial"/>
          <w:b/>
          <w:bCs/>
          <w:color w:val="E87722"/>
          <w:sz w:val="36"/>
          <w:szCs w:val="36"/>
        </w:rPr>
        <w:t>STEEL</w:t>
      </w:r>
    </w:p>
    <w:p w14:paraId="4D678EA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34C59D23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7613D78D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D25E09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D25E09">
        <w:rPr>
          <w:rFonts w:asciiTheme="minorHAnsi" w:hAnsiTheme="minorHAnsi" w:cstheme="minorHAnsi"/>
          <w:b/>
          <w:sz w:val="28"/>
          <w:szCs w:val="28"/>
        </w:rPr>
        <w:t>2</w:t>
      </w:r>
      <w:r w:rsidR="0054122F" w:rsidRPr="00D25E09">
        <w:rPr>
          <w:rFonts w:asciiTheme="minorHAnsi" w:hAnsiTheme="minorHAnsi" w:cstheme="minorHAnsi"/>
          <w:b/>
          <w:sz w:val="28"/>
          <w:szCs w:val="28"/>
        </w:rPr>
        <w:t>4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29606E48" w14:textId="1C2A283A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C8600C">
      <w:footerReference w:type="default" r:id="rId9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E2377" w14:textId="77777777" w:rsidR="00425882" w:rsidRDefault="00425882" w:rsidP="00EA19B6">
      <w:pPr>
        <w:spacing w:after="0"/>
      </w:pPr>
      <w:r>
        <w:separator/>
      </w:r>
    </w:p>
  </w:endnote>
  <w:endnote w:type="continuationSeparator" w:id="0">
    <w:p w14:paraId="253433D6" w14:textId="77777777" w:rsidR="00425882" w:rsidRDefault="00425882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493F4F08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4A1DA8">
          <w:rPr>
            <w:rFonts w:asciiTheme="minorHAnsi" w:hAnsiTheme="minorHAnsi" w:cstheme="minorHAnsi"/>
            <w:noProof/>
            <w:sz w:val="22"/>
          </w:rPr>
          <w:t>2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9C11F" w14:textId="77777777" w:rsidR="00425882" w:rsidRDefault="00425882" w:rsidP="00EA19B6">
      <w:pPr>
        <w:spacing w:after="0"/>
      </w:pPr>
      <w:r>
        <w:separator/>
      </w:r>
    </w:p>
  </w:footnote>
  <w:footnote w:type="continuationSeparator" w:id="0">
    <w:p w14:paraId="348C5BE0" w14:textId="77777777" w:rsidR="00425882" w:rsidRDefault="00425882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4E53"/>
    <w:rsid w:val="0005550D"/>
    <w:rsid w:val="00060F9A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F175D"/>
    <w:rsid w:val="000F2D0B"/>
    <w:rsid w:val="000F4537"/>
    <w:rsid w:val="000F658B"/>
    <w:rsid w:val="00101A0D"/>
    <w:rsid w:val="001047A8"/>
    <w:rsid w:val="00104A2F"/>
    <w:rsid w:val="0011487B"/>
    <w:rsid w:val="00114FDD"/>
    <w:rsid w:val="001203BE"/>
    <w:rsid w:val="00125DDE"/>
    <w:rsid w:val="001278AA"/>
    <w:rsid w:val="00130A7A"/>
    <w:rsid w:val="00131B26"/>
    <w:rsid w:val="00152975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E1AD4"/>
    <w:rsid w:val="001E39F5"/>
    <w:rsid w:val="001E3F61"/>
    <w:rsid w:val="001F567B"/>
    <w:rsid w:val="00200520"/>
    <w:rsid w:val="00223018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9523C"/>
    <w:rsid w:val="002A1329"/>
    <w:rsid w:val="002B0FEF"/>
    <w:rsid w:val="002B12DE"/>
    <w:rsid w:val="002B145C"/>
    <w:rsid w:val="002C2ECB"/>
    <w:rsid w:val="002D17CD"/>
    <w:rsid w:val="002F24D2"/>
    <w:rsid w:val="0030310B"/>
    <w:rsid w:val="003118BD"/>
    <w:rsid w:val="0032049B"/>
    <w:rsid w:val="00323F95"/>
    <w:rsid w:val="00333AE7"/>
    <w:rsid w:val="00343665"/>
    <w:rsid w:val="003518EF"/>
    <w:rsid w:val="003563D4"/>
    <w:rsid w:val="00363665"/>
    <w:rsid w:val="00364287"/>
    <w:rsid w:val="00373543"/>
    <w:rsid w:val="00374578"/>
    <w:rsid w:val="00374830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032C"/>
    <w:rsid w:val="003E1A28"/>
    <w:rsid w:val="003E7107"/>
    <w:rsid w:val="003F3A73"/>
    <w:rsid w:val="004026A7"/>
    <w:rsid w:val="00406C4A"/>
    <w:rsid w:val="004121E3"/>
    <w:rsid w:val="00417748"/>
    <w:rsid w:val="00425399"/>
    <w:rsid w:val="00425882"/>
    <w:rsid w:val="00425E53"/>
    <w:rsid w:val="00427401"/>
    <w:rsid w:val="004411C2"/>
    <w:rsid w:val="00442131"/>
    <w:rsid w:val="00445342"/>
    <w:rsid w:val="004637F6"/>
    <w:rsid w:val="00490A09"/>
    <w:rsid w:val="00494E55"/>
    <w:rsid w:val="00496C51"/>
    <w:rsid w:val="004A1DA8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4019"/>
    <w:rsid w:val="00534C34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2BF8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1A79"/>
    <w:rsid w:val="0062471A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A03CE"/>
    <w:rsid w:val="006A144F"/>
    <w:rsid w:val="006A46DC"/>
    <w:rsid w:val="006B2F01"/>
    <w:rsid w:val="006B3DD8"/>
    <w:rsid w:val="006C600B"/>
    <w:rsid w:val="006C708D"/>
    <w:rsid w:val="006D073D"/>
    <w:rsid w:val="006D15EF"/>
    <w:rsid w:val="006D33C6"/>
    <w:rsid w:val="006D38AC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20DE1"/>
    <w:rsid w:val="00826D87"/>
    <w:rsid w:val="00827647"/>
    <w:rsid w:val="00832E86"/>
    <w:rsid w:val="00834C79"/>
    <w:rsid w:val="00840923"/>
    <w:rsid w:val="00860738"/>
    <w:rsid w:val="00873E79"/>
    <w:rsid w:val="00877F43"/>
    <w:rsid w:val="00882725"/>
    <w:rsid w:val="00884161"/>
    <w:rsid w:val="00893FBF"/>
    <w:rsid w:val="008A317B"/>
    <w:rsid w:val="008A4A2D"/>
    <w:rsid w:val="008C5FBB"/>
    <w:rsid w:val="008E2E44"/>
    <w:rsid w:val="008E735E"/>
    <w:rsid w:val="008F2D68"/>
    <w:rsid w:val="008F3E23"/>
    <w:rsid w:val="008F5A18"/>
    <w:rsid w:val="00923BEB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C4B70"/>
    <w:rsid w:val="009D595D"/>
    <w:rsid w:val="009F5E25"/>
    <w:rsid w:val="009F5F40"/>
    <w:rsid w:val="00A027CB"/>
    <w:rsid w:val="00A04EB8"/>
    <w:rsid w:val="00A065EB"/>
    <w:rsid w:val="00A06926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4A28"/>
    <w:rsid w:val="00A75B0A"/>
    <w:rsid w:val="00A76E30"/>
    <w:rsid w:val="00A841E1"/>
    <w:rsid w:val="00A92D3B"/>
    <w:rsid w:val="00AA514D"/>
    <w:rsid w:val="00AA79B9"/>
    <w:rsid w:val="00AB7152"/>
    <w:rsid w:val="00AB78B1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9C9"/>
    <w:rsid w:val="00B03E61"/>
    <w:rsid w:val="00B0656A"/>
    <w:rsid w:val="00B161D3"/>
    <w:rsid w:val="00B236A0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C33"/>
    <w:rsid w:val="00BE3984"/>
    <w:rsid w:val="00BE6B1B"/>
    <w:rsid w:val="00BF0B27"/>
    <w:rsid w:val="00BF3B14"/>
    <w:rsid w:val="00BF5217"/>
    <w:rsid w:val="00C038CA"/>
    <w:rsid w:val="00C05AC6"/>
    <w:rsid w:val="00C06B67"/>
    <w:rsid w:val="00C13168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D84"/>
    <w:rsid w:val="00C7735D"/>
    <w:rsid w:val="00C84128"/>
    <w:rsid w:val="00C85D7D"/>
    <w:rsid w:val="00C8600C"/>
    <w:rsid w:val="00CA5280"/>
    <w:rsid w:val="00CA7C22"/>
    <w:rsid w:val="00CA7F59"/>
    <w:rsid w:val="00CC1081"/>
    <w:rsid w:val="00CC215B"/>
    <w:rsid w:val="00CC2E19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25E09"/>
    <w:rsid w:val="00D32138"/>
    <w:rsid w:val="00D3377E"/>
    <w:rsid w:val="00D42281"/>
    <w:rsid w:val="00D509F8"/>
    <w:rsid w:val="00D51534"/>
    <w:rsid w:val="00D55B1B"/>
    <w:rsid w:val="00D66711"/>
    <w:rsid w:val="00D762AA"/>
    <w:rsid w:val="00D76953"/>
    <w:rsid w:val="00D82937"/>
    <w:rsid w:val="00D90BC0"/>
    <w:rsid w:val="00D94D33"/>
    <w:rsid w:val="00D96C3A"/>
    <w:rsid w:val="00DB05F3"/>
    <w:rsid w:val="00DB31C6"/>
    <w:rsid w:val="00DB4510"/>
    <w:rsid w:val="00DB66B9"/>
    <w:rsid w:val="00DC307C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919B7"/>
    <w:rsid w:val="00E94B0A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824BE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F40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B3DD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0259-4D57-4C55-B436-FF1FC11A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3025</Words>
  <Characters>17854</Characters>
  <Application>Microsoft Office Word</Application>
  <DocSecurity>0</DocSecurity>
  <Lines>148</Lines>
  <Paragraphs>41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ATC</Company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Rakus Emil</cp:lastModifiedBy>
  <cp:revision>2</cp:revision>
  <cp:lastPrinted>2024-02-27T13:28:00Z</cp:lastPrinted>
  <dcterms:created xsi:type="dcterms:W3CDTF">2024-04-04T09:26:00Z</dcterms:created>
  <dcterms:modified xsi:type="dcterms:W3CDTF">2024-04-04T09:26:00Z</dcterms:modified>
</cp:coreProperties>
</file>