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D2F8F" w14:textId="77777777" w:rsidR="00B5577C" w:rsidRPr="009A328C" w:rsidRDefault="00B5577C" w:rsidP="00B5577C">
      <w:pPr>
        <w:pStyle w:val="Bezmezer"/>
        <w:rPr>
          <w:rFonts w:ascii="Times New Roman" w:eastAsia="Times New Roman" w:hAnsi="Times New Roman" w:cs="Times New Roman"/>
          <w:b/>
          <w:lang w:eastAsia="ar-SA"/>
        </w:rPr>
      </w:pPr>
      <w:r w:rsidRPr="009A328C">
        <w:rPr>
          <w:rFonts w:ascii="Times New Roman" w:eastAsia="Times New Roman" w:hAnsi="Times New Roman" w:cs="Times New Roman"/>
          <w:b/>
          <w:lang w:eastAsia="ar-SA"/>
        </w:rPr>
        <w:t>Nemocnice Na Homolce</w:t>
      </w:r>
    </w:p>
    <w:p w14:paraId="6EE64DDC" w14:textId="77777777" w:rsidR="00B5577C" w:rsidRPr="009A328C" w:rsidRDefault="00B5577C" w:rsidP="00B5577C">
      <w:pPr>
        <w:tabs>
          <w:tab w:val="left" w:pos="2142"/>
        </w:tabs>
        <w:jc w:val="both"/>
        <w:rPr>
          <w:sz w:val="22"/>
          <w:szCs w:val="22"/>
        </w:rPr>
      </w:pPr>
      <w:r w:rsidRPr="009A328C">
        <w:rPr>
          <w:sz w:val="22"/>
          <w:szCs w:val="22"/>
        </w:rPr>
        <w:t>se sídlem:</w:t>
      </w:r>
      <w:r w:rsidRPr="009A328C">
        <w:rPr>
          <w:sz w:val="22"/>
          <w:szCs w:val="22"/>
        </w:rPr>
        <w:tab/>
        <w:t>Roentgenova 37/2, 150 30 Praha 5</w:t>
      </w:r>
    </w:p>
    <w:p w14:paraId="1445EF5E" w14:textId="77777777" w:rsidR="00B5577C" w:rsidRPr="009A328C" w:rsidRDefault="00B5577C" w:rsidP="00B5577C">
      <w:pPr>
        <w:tabs>
          <w:tab w:val="left" w:pos="2142"/>
        </w:tabs>
        <w:jc w:val="both"/>
        <w:rPr>
          <w:sz w:val="22"/>
          <w:szCs w:val="22"/>
        </w:rPr>
      </w:pPr>
      <w:r w:rsidRPr="009A328C">
        <w:rPr>
          <w:sz w:val="22"/>
          <w:szCs w:val="22"/>
        </w:rPr>
        <w:t>IČO:</w:t>
      </w:r>
      <w:r w:rsidRPr="009A328C">
        <w:rPr>
          <w:sz w:val="22"/>
          <w:szCs w:val="22"/>
        </w:rPr>
        <w:tab/>
        <w:t>00023884</w:t>
      </w:r>
    </w:p>
    <w:p w14:paraId="59FC9D5F" w14:textId="77777777" w:rsidR="00B5577C" w:rsidRPr="009A328C" w:rsidRDefault="00B5577C" w:rsidP="00B5577C">
      <w:pPr>
        <w:tabs>
          <w:tab w:val="left" w:pos="2142"/>
        </w:tabs>
        <w:jc w:val="both"/>
        <w:rPr>
          <w:sz w:val="22"/>
          <w:szCs w:val="22"/>
        </w:rPr>
      </w:pPr>
      <w:r w:rsidRPr="009A328C">
        <w:rPr>
          <w:sz w:val="22"/>
          <w:szCs w:val="22"/>
        </w:rPr>
        <w:t>DIČ:</w:t>
      </w:r>
      <w:r w:rsidRPr="009A328C">
        <w:rPr>
          <w:sz w:val="22"/>
          <w:szCs w:val="22"/>
        </w:rPr>
        <w:tab/>
        <w:t>CZ00023884</w:t>
      </w:r>
    </w:p>
    <w:p w14:paraId="4B2E3681" w14:textId="7444E0AF" w:rsidR="00B5577C" w:rsidRPr="009A328C" w:rsidRDefault="00872ECD" w:rsidP="00B5577C">
      <w:pPr>
        <w:tabs>
          <w:tab w:val="left" w:pos="2142"/>
        </w:tabs>
        <w:jc w:val="both"/>
        <w:rPr>
          <w:sz w:val="22"/>
          <w:szCs w:val="22"/>
        </w:rPr>
      </w:pPr>
      <w:r>
        <w:rPr>
          <w:sz w:val="22"/>
          <w:szCs w:val="22"/>
        </w:rPr>
        <w:t>zastoupená:</w:t>
      </w:r>
      <w:r>
        <w:rPr>
          <w:sz w:val="22"/>
          <w:szCs w:val="22"/>
        </w:rPr>
        <w:tab/>
      </w:r>
    </w:p>
    <w:p w14:paraId="46EDC968" w14:textId="77777777" w:rsidR="00B5577C" w:rsidRPr="009A328C" w:rsidRDefault="00B5577C" w:rsidP="00B5577C">
      <w:pPr>
        <w:tabs>
          <w:tab w:val="left" w:pos="2142"/>
        </w:tabs>
        <w:jc w:val="both"/>
        <w:rPr>
          <w:sz w:val="22"/>
          <w:szCs w:val="22"/>
        </w:rPr>
      </w:pPr>
      <w:r w:rsidRPr="009A328C">
        <w:rPr>
          <w:sz w:val="22"/>
          <w:szCs w:val="22"/>
        </w:rPr>
        <w:t>ID schránky:</w:t>
      </w:r>
      <w:r w:rsidRPr="009A328C">
        <w:rPr>
          <w:sz w:val="22"/>
          <w:szCs w:val="22"/>
        </w:rPr>
        <w:tab/>
        <w:t>jb4gp8F</w:t>
      </w:r>
    </w:p>
    <w:p w14:paraId="5AAAC420" w14:textId="32D5E101" w:rsidR="003C584E" w:rsidRDefault="00B5577C" w:rsidP="003C584E">
      <w:pPr>
        <w:tabs>
          <w:tab w:val="left" w:pos="2142"/>
        </w:tabs>
        <w:jc w:val="both"/>
        <w:rPr>
          <w:sz w:val="22"/>
          <w:szCs w:val="22"/>
        </w:rPr>
      </w:pPr>
      <w:r w:rsidRPr="009A328C">
        <w:rPr>
          <w:sz w:val="22"/>
          <w:szCs w:val="22"/>
        </w:rPr>
        <w:t>kontaktní osoba:</w:t>
      </w:r>
      <w:r w:rsidRPr="009A328C">
        <w:rPr>
          <w:sz w:val="22"/>
          <w:szCs w:val="22"/>
        </w:rPr>
        <w:tab/>
      </w:r>
    </w:p>
    <w:p w14:paraId="543ABF2E" w14:textId="0C4D38B9" w:rsidR="003C584E" w:rsidRPr="009A328C" w:rsidRDefault="00872ECD" w:rsidP="003C584E">
      <w:pPr>
        <w:tabs>
          <w:tab w:val="left" w:pos="2142"/>
        </w:tabs>
        <w:jc w:val="both"/>
        <w:rPr>
          <w:sz w:val="22"/>
          <w:szCs w:val="22"/>
        </w:rPr>
      </w:pPr>
      <w:r>
        <w:rPr>
          <w:sz w:val="22"/>
          <w:szCs w:val="22"/>
        </w:rPr>
        <w:tab/>
      </w:r>
    </w:p>
    <w:p w14:paraId="60DCF703" w14:textId="2954E45F" w:rsidR="00B5577C" w:rsidRPr="009A328C" w:rsidRDefault="00B5577C" w:rsidP="00B5577C">
      <w:pPr>
        <w:spacing w:after="80"/>
        <w:jc w:val="both"/>
        <w:rPr>
          <w:sz w:val="22"/>
          <w:szCs w:val="22"/>
        </w:rPr>
      </w:pPr>
      <w:r w:rsidRPr="009A328C">
        <w:rPr>
          <w:sz w:val="22"/>
          <w:szCs w:val="22"/>
        </w:rPr>
        <w:t xml:space="preserve">(dále jen </w:t>
      </w:r>
      <w:r w:rsidRPr="00B5577C">
        <w:rPr>
          <w:sz w:val="22"/>
          <w:szCs w:val="22"/>
        </w:rPr>
        <w:t>„</w:t>
      </w:r>
      <w:r>
        <w:rPr>
          <w:b/>
          <w:sz w:val="22"/>
          <w:szCs w:val="22"/>
        </w:rPr>
        <w:t>Poskytovatel</w:t>
      </w:r>
      <w:r w:rsidRPr="009A328C">
        <w:rPr>
          <w:sz w:val="22"/>
          <w:szCs w:val="22"/>
        </w:rPr>
        <w:t>“</w:t>
      </w:r>
      <w:r>
        <w:rPr>
          <w:sz w:val="22"/>
          <w:szCs w:val="22"/>
        </w:rPr>
        <w:t xml:space="preserve">) </w:t>
      </w:r>
      <w:r w:rsidRPr="009A328C">
        <w:rPr>
          <w:sz w:val="22"/>
          <w:szCs w:val="22"/>
        </w:rPr>
        <w:t>na straně jedné</w:t>
      </w:r>
    </w:p>
    <w:p w14:paraId="17FD1232" w14:textId="77777777" w:rsidR="00B5577C" w:rsidRPr="009A328C" w:rsidRDefault="00B5577C" w:rsidP="00B5577C">
      <w:pPr>
        <w:pStyle w:val="Bezmezer"/>
        <w:rPr>
          <w:rFonts w:ascii="Times New Roman" w:eastAsia="Times New Roman" w:hAnsi="Times New Roman" w:cs="Times New Roman"/>
          <w:b/>
          <w:lang w:eastAsia="ar-SA"/>
        </w:rPr>
      </w:pPr>
    </w:p>
    <w:p w14:paraId="62AFD56A" w14:textId="77777777" w:rsidR="00B5577C" w:rsidRPr="009A328C" w:rsidRDefault="00B5577C" w:rsidP="00B5577C">
      <w:pPr>
        <w:pStyle w:val="Bezmezer"/>
        <w:rPr>
          <w:rFonts w:ascii="Times New Roman" w:eastAsia="Times New Roman" w:hAnsi="Times New Roman" w:cs="Times New Roman"/>
          <w:lang w:eastAsia="ar-SA"/>
        </w:rPr>
      </w:pPr>
      <w:r w:rsidRPr="009A328C">
        <w:rPr>
          <w:rFonts w:ascii="Times New Roman" w:eastAsia="Times New Roman" w:hAnsi="Times New Roman" w:cs="Times New Roman"/>
          <w:lang w:eastAsia="ar-SA"/>
        </w:rPr>
        <w:t>a</w:t>
      </w:r>
    </w:p>
    <w:p w14:paraId="0E9B27C4" w14:textId="77777777" w:rsidR="00B5577C" w:rsidRPr="009A328C" w:rsidRDefault="00B5577C" w:rsidP="00B5577C">
      <w:pPr>
        <w:pStyle w:val="Bezmezer"/>
        <w:rPr>
          <w:rFonts w:ascii="Times New Roman" w:eastAsia="Times New Roman" w:hAnsi="Times New Roman" w:cs="Times New Roman"/>
          <w:b/>
          <w:lang w:eastAsia="ar-SA"/>
        </w:rPr>
      </w:pPr>
    </w:p>
    <w:p w14:paraId="3C48210A" w14:textId="5B697ACD" w:rsidR="00B5577C" w:rsidRPr="00B5577C" w:rsidRDefault="00B5577C" w:rsidP="00B5577C">
      <w:pPr>
        <w:tabs>
          <w:tab w:val="left" w:pos="2142"/>
        </w:tabs>
        <w:jc w:val="both"/>
        <w:rPr>
          <w:b/>
          <w:sz w:val="22"/>
          <w:szCs w:val="22"/>
        </w:rPr>
      </w:pPr>
      <w:r w:rsidRPr="00B5577C">
        <w:rPr>
          <w:b/>
          <w:sz w:val="22"/>
          <w:szCs w:val="22"/>
        </w:rPr>
        <w:t>Sdružená ambulantní péče Vysočina s.r.o.</w:t>
      </w:r>
    </w:p>
    <w:p w14:paraId="54EBCB8E" w14:textId="66567AD3" w:rsidR="00B5577C" w:rsidRPr="009A328C" w:rsidRDefault="00B5577C" w:rsidP="00B5577C">
      <w:pPr>
        <w:tabs>
          <w:tab w:val="left" w:pos="2142"/>
        </w:tabs>
        <w:jc w:val="both"/>
        <w:rPr>
          <w:sz w:val="22"/>
          <w:szCs w:val="22"/>
        </w:rPr>
      </w:pPr>
      <w:r w:rsidRPr="009A328C">
        <w:rPr>
          <w:sz w:val="22"/>
          <w:szCs w:val="22"/>
        </w:rPr>
        <w:t>se sídlem:</w:t>
      </w:r>
      <w:r w:rsidRPr="009A328C">
        <w:rPr>
          <w:sz w:val="22"/>
          <w:szCs w:val="22"/>
        </w:rPr>
        <w:tab/>
      </w:r>
      <w:r>
        <w:rPr>
          <w:sz w:val="22"/>
          <w:szCs w:val="22"/>
        </w:rPr>
        <w:t>č. p. 25, 582 76 Maleč</w:t>
      </w:r>
    </w:p>
    <w:p w14:paraId="74ECE285" w14:textId="173FDB0C" w:rsidR="00B5577C" w:rsidRPr="009A328C" w:rsidRDefault="00B5577C" w:rsidP="00B5577C">
      <w:pPr>
        <w:tabs>
          <w:tab w:val="left" w:pos="2142"/>
        </w:tabs>
        <w:jc w:val="both"/>
        <w:rPr>
          <w:sz w:val="22"/>
          <w:szCs w:val="22"/>
        </w:rPr>
      </w:pPr>
      <w:r w:rsidRPr="009A328C">
        <w:rPr>
          <w:sz w:val="22"/>
          <w:szCs w:val="22"/>
        </w:rPr>
        <w:t>IČO:</w:t>
      </w:r>
      <w:r w:rsidRPr="009A328C">
        <w:rPr>
          <w:sz w:val="22"/>
          <w:szCs w:val="22"/>
        </w:rPr>
        <w:tab/>
      </w:r>
      <w:r>
        <w:rPr>
          <w:sz w:val="22"/>
          <w:szCs w:val="22"/>
        </w:rPr>
        <w:t>28826060</w:t>
      </w:r>
    </w:p>
    <w:p w14:paraId="3EBB03A6" w14:textId="2ED070FB" w:rsidR="00B5577C" w:rsidRDefault="00B5577C" w:rsidP="00B5577C">
      <w:pPr>
        <w:tabs>
          <w:tab w:val="left" w:pos="2142"/>
        </w:tabs>
        <w:jc w:val="both"/>
        <w:rPr>
          <w:sz w:val="22"/>
          <w:szCs w:val="22"/>
        </w:rPr>
      </w:pPr>
      <w:r w:rsidRPr="009A328C">
        <w:rPr>
          <w:sz w:val="22"/>
          <w:szCs w:val="22"/>
        </w:rPr>
        <w:t>DIČ:</w:t>
      </w:r>
      <w:r w:rsidRPr="009A328C">
        <w:rPr>
          <w:sz w:val="22"/>
          <w:szCs w:val="22"/>
        </w:rPr>
        <w:tab/>
      </w:r>
      <w:r>
        <w:rPr>
          <w:sz w:val="22"/>
          <w:szCs w:val="22"/>
        </w:rPr>
        <w:t>CZ28826060</w:t>
      </w:r>
    </w:p>
    <w:p w14:paraId="2787D08C" w14:textId="28B2A9B5" w:rsidR="00B5577C" w:rsidRPr="009A328C" w:rsidRDefault="00B5577C" w:rsidP="00B5577C">
      <w:pPr>
        <w:tabs>
          <w:tab w:val="left" w:pos="2142"/>
        </w:tabs>
        <w:jc w:val="both"/>
        <w:rPr>
          <w:sz w:val="22"/>
          <w:szCs w:val="22"/>
        </w:rPr>
      </w:pPr>
      <w:r w:rsidRPr="009A328C">
        <w:rPr>
          <w:sz w:val="22"/>
          <w:szCs w:val="22"/>
        </w:rPr>
        <w:t>zastoupená:</w:t>
      </w:r>
      <w:r w:rsidRPr="009A328C">
        <w:rPr>
          <w:sz w:val="22"/>
          <w:szCs w:val="22"/>
        </w:rPr>
        <w:tab/>
      </w:r>
    </w:p>
    <w:p w14:paraId="20584B26" w14:textId="4C062D53" w:rsidR="00B5577C" w:rsidRDefault="00B5577C" w:rsidP="00B5577C">
      <w:pPr>
        <w:tabs>
          <w:tab w:val="left" w:pos="2142"/>
        </w:tabs>
        <w:jc w:val="both"/>
        <w:rPr>
          <w:sz w:val="22"/>
          <w:szCs w:val="22"/>
        </w:rPr>
      </w:pPr>
      <w:r w:rsidRPr="009A328C">
        <w:rPr>
          <w:sz w:val="22"/>
          <w:szCs w:val="22"/>
        </w:rPr>
        <w:t>ID schránky:</w:t>
      </w:r>
      <w:r w:rsidRPr="009A328C">
        <w:rPr>
          <w:sz w:val="22"/>
          <w:szCs w:val="22"/>
        </w:rPr>
        <w:tab/>
      </w:r>
      <w:r>
        <w:rPr>
          <w:sz w:val="22"/>
          <w:szCs w:val="22"/>
        </w:rPr>
        <w:t>2bb8dd9</w:t>
      </w:r>
    </w:p>
    <w:p w14:paraId="7647C4CC" w14:textId="50424413" w:rsidR="00B5577C" w:rsidRPr="009A328C" w:rsidRDefault="00B5577C" w:rsidP="00B5577C">
      <w:pPr>
        <w:tabs>
          <w:tab w:val="left" w:pos="2142"/>
        </w:tabs>
        <w:spacing w:after="80"/>
        <w:jc w:val="both"/>
        <w:rPr>
          <w:sz w:val="22"/>
          <w:szCs w:val="22"/>
        </w:rPr>
      </w:pPr>
      <w:r w:rsidRPr="009A328C">
        <w:rPr>
          <w:sz w:val="22"/>
          <w:szCs w:val="22"/>
        </w:rPr>
        <w:t>kontaktní osoba:</w:t>
      </w:r>
      <w:r w:rsidRPr="009A328C">
        <w:rPr>
          <w:sz w:val="22"/>
          <w:szCs w:val="22"/>
        </w:rPr>
        <w:tab/>
      </w:r>
    </w:p>
    <w:p w14:paraId="3A55B7B4" w14:textId="107FD4DF" w:rsidR="00B5577C" w:rsidRPr="009A328C" w:rsidRDefault="00B5577C" w:rsidP="00B5577C">
      <w:pPr>
        <w:spacing w:after="120"/>
        <w:jc w:val="both"/>
        <w:rPr>
          <w:sz w:val="22"/>
          <w:szCs w:val="22"/>
        </w:rPr>
      </w:pPr>
      <w:r w:rsidRPr="009A328C">
        <w:rPr>
          <w:sz w:val="22"/>
          <w:szCs w:val="22"/>
        </w:rPr>
        <w:t xml:space="preserve"> (dále jen </w:t>
      </w:r>
      <w:r w:rsidRPr="009C6085">
        <w:rPr>
          <w:sz w:val="22"/>
          <w:szCs w:val="22"/>
        </w:rPr>
        <w:t>„</w:t>
      </w:r>
      <w:r>
        <w:rPr>
          <w:b/>
          <w:sz w:val="22"/>
          <w:szCs w:val="22"/>
        </w:rPr>
        <w:t>Vysílající zdravotnické zařízení</w:t>
      </w:r>
      <w:r w:rsidRPr="00B5577C">
        <w:rPr>
          <w:sz w:val="22"/>
          <w:szCs w:val="22"/>
        </w:rPr>
        <w:t>“</w:t>
      </w:r>
      <w:r w:rsidRPr="009A328C">
        <w:rPr>
          <w:sz w:val="22"/>
          <w:szCs w:val="22"/>
        </w:rPr>
        <w:t xml:space="preserve"> na straně druhé</w:t>
      </w:r>
      <w:r>
        <w:rPr>
          <w:sz w:val="22"/>
          <w:szCs w:val="22"/>
        </w:rPr>
        <w:t>)</w:t>
      </w:r>
    </w:p>
    <w:p w14:paraId="057535F5" w14:textId="77777777" w:rsidR="00B5577C" w:rsidRPr="009A328C" w:rsidRDefault="00B5577C" w:rsidP="00B5577C">
      <w:pPr>
        <w:spacing w:after="240"/>
        <w:rPr>
          <w:sz w:val="22"/>
          <w:szCs w:val="22"/>
        </w:rPr>
      </w:pPr>
      <w:r w:rsidRPr="009A328C">
        <w:rPr>
          <w:sz w:val="22"/>
          <w:szCs w:val="22"/>
        </w:rPr>
        <w:t>(společně dále jako „</w:t>
      </w:r>
      <w:r w:rsidRPr="009A328C">
        <w:rPr>
          <w:b/>
          <w:sz w:val="22"/>
          <w:szCs w:val="22"/>
        </w:rPr>
        <w:t>smluvní strany</w:t>
      </w:r>
      <w:r w:rsidRPr="009A328C">
        <w:rPr>
          <w:sz w:val="22"/>
          <w:szCs w:val="22"/>
        </w:rPr>
        <w:t>“)</w:t>
      </w:r>
    </w:p>
    <w:p w14:paraId="7CA3A901" w14:textId="77777777" w:rsidR="00B5577C" w:rsidRPr="009A328C" w:rsidRDefault="00B5577C" w:rsidP="004E6323">
      <w:pPr>
        <w:spacing w:after="240"/>
        <w:jc w:val="center"/>
        <w:rPr>
          <w:sz w:val="22"/>
          <w:szCs w:val="22"/>
        </w:rPr>
      </w:pPr>
      <w:proofErr w:type="gramStart"/>
      <w:r w:rsidRPr="009A328C">
        <w:rPr>
          <w:sz w:val="22"/>
          <w:szCs w:val="22"/>
        </w:rPr>
        <w:t>se</w:t>
      </w:r>
      <w:proofErr w:type="gramEnd"/>
      <w:r w:rsidRPr="009A328C">
        <w:rPr>
          <w:sz w:val="22"/>
          <w:szCs w:val="22"/>
        </w:rPr>
        <w:t xml:space="preserve"> v souladu s ustanovením § 1746 zákona č. 89/2012 Sb., občanský zákoník, ve znění pozdějších předpisů (dále jen „</w:t>
      </w:r>
      <w:r w:rsidRPr="009A328C">
        <w:rPr>
          <w:b/>
          <w:sz w:val="22"/>
          <w:szCs w:val="22"/>
        </w:rPr>
        <w:t>občanský zákoník</w:t>
      </w:r>
      <w:r w:rsidRPr="009A328C">
        <w:rPr>
          <w:sz w:val="22"/>
          <w:szCs w:val="22"/>
        </w:rPr>
        <w:t>“¨) dohodly níže uvedeného dne, měsíce a roku tak, jak stanoví tato</w:t>
      </w:r>
    </w:p>
    <w:p w14:paraId="2D9783A0" w14:textId="01FBBD26" w:rsidR="00B5577C" w:rsidRDefault="00B5577C" w:rsidP="004E6323">
      <w:pPr>
        <w:jc w:val="center"/>
        <w:rPr>
          <w:b/>
          <w:sz w:val="32"/>
          <w:szCs w:val="32"/>
        </w:rPr>
      </w:pPr>
      <w:r w:rsidRPr="009A328C">
        <w:rPr>
          <w:b/>
          <w:sz w:val="32"/>
          <w:szCs w:val="32"/>
        </w:rPr>
        <w:t xml:space="preserve">SMLOUVA O SPOLUPRÁCI </w:t>
      </w:r>
      <w:r>
        <w:rPr>
          <w:b/>
          <w:sz w:val="32"/>
          <w:szCs w:val="32"/>
        </w:rPr>
        <w:t>PŘI REALIZACI SPECIALIZAČNÍHO VZDĚLÁVÁNÍ</w:t>
      </w:r>
    </w:p>
    <w:p w14:paraId="28A15922" w14:textId="3674CD70" w:rsidR="00B5577C" w:rsidRPr="009A328C" w:rsidRDefault="007F210A" w:rsidP="004E6323">
      <w:pPr>
        <w:spacing w:after="240"/>
        <w:jc w:val="center"/>
        <w:rPr>
          <w:sz w:val="22"/>
          <w:szCs w:val="22"/>
        </w:rPr>
      </w:pPr>
      <w:r w:rsidRPr="009A328C">
        <w:rPr>
          <w:sz w:val="22"/>
          <w:szCs w:val="22"/>
        </w:rPr>
        <w:t xml:space="preserve"> </w:t>
      </w:r>
      <w:r w:rsidR="00B5577C" w:rsidRPr="009A328C">
        <w:rPr>
          <w:sz w:val="22"/>
          <w:szCs w:val="22"/>
        </w:rPr>
        <w:t>(dále jen „</w:t>
      </w:r>
      <w:r w:rsidR="00B5577C" w:rsidRPr="009A328C">
        <w:rPr>
          <w:b/>
          <w:sz w:val="22"/>
          <w:szCs w:val="22"/>
        </w:rPr>
        <w:t>smlouva</w:t>
      </w:r>
      <w:r w:rsidR="00B5577C" w:rsidRPr="009A328C">
        <w:rPr>
          <w:sz w:val="22"/>
          <w:szCs w:val="22"/>
        </w:rPr>
        <w:t>“)</w:t>
      </w:r>
    </w:p>
    <w:p w14:paraId="746F55CC" w14:textId="1B7D80A7" w:rsidR="007F210A" w:rsidRDefault="007F210A" w:rsidP="004E6323">
      <w:pPr>
        <w:spacing w:after="120"/>
        <w:jc w:val="center"/>
        <w:rPr>
          <w:b/>
          <w:sz w:val="22"/>
          <w:szCs w:val="22"/>
        </w:rPr>
      </w:pPr>
      <w:r>
        <w:rPr>
          <w:b/>
          <w:sz w:val="22"/>
          <w:szCs w:val="22"/>
        </w:rPr>
        <w:t>Preambule</w:t>
      </w:r>
    </w:p>
    <w:p w14:paraId="38BD3EF1" w14:textId="508B8241" w:rsidR="007F210A" w:rsidRPr="007F210A" w:rsidRDefault="007F210A" w:rsidP="004E6323">
      <w:pPr>
        <w:spacing w:after="240"/>
        <w:ind w:left="284"/>
        <w:jc w:val="both"/>
        <w:rPr>
          <w:sz w:val="22"/>
          <w:szCs w:val="22"/>
        </w:rPr>
      </w:pPr>
      <w:r>
        <w:rPr>
          <w:sz w:val="22"/>
          <w:szCs w:val="22"/>
        </w:rPr>
        <w:t>Smluvní strany se dohodly na spolupráci při zajišťování specializačního vzdělávání k výkonu lékařských zdravotnických povolání ve smyslu zákona č. 95/2004 Sb., o podmínkách získávání a uznávání odborné způsobilosti a specializované způsobilosti k výkonu zdravotnického povolání lékaře, zubního lékaře a farmaceuta ve znění pozdějších předpisů (dále jen „</w:t>
      </w:r>
      <w:r w:rsidRPr="007F210A">
        <w:rPr>
          <w:b/>
          <w:sz w:val="22"/>
          <w:szCs w:val="22"/>
        </w:rPr>
        <w:t>zákon č. 95/2004 Sb</w:t>
      </w:r>
      <w:r>
        <w:rPr>
          <w:sz w:val="22"/>
          <w:szCs w:val="22"/>
        </w:rPr>
        <w:t>.“).</w:t>
      </w:r>
    </w:p>
    <w:p w14:paraId="336E787C" w14:textId="69FEF0F8" w:rsidR="00B5577C" w:rsidRPr="009A328C" w:rsidRDefault="00B5577C" w:rsidP="004E6323">
      <w:pPr>
        <w:jc w:val="center"/>
        <w:rPr>
          <w:b/>
          <w:sz w:val="22"/>
          <w:szCs w:val="22"/>
        </w:rPr>
      </w:pPr>
      <w:r w:rsidRPr="009A328C">
        <w:rPr>
          <w:b/>
          <w:sz w:val="22"/>
          <w:szCs w:val="22"/>
        </w:rPr>
        <w:t>Čl. 1</w:t>
      </w:r>
    </w:p>
    <w:p w14:paraId="3010F235" w14:textId="77777777" w:rsidR="00B5577C" w:rsidRPr="009A328C" w:rsidRDefault="00B5577C" w:rsidP="004E6323">
      <w:pPr>
        <w:spacing w:after="120"/>
        <w:jc w:val="center"/>
        <w:rPr>
          <w:b/>
          <w:sz w:val="22"/>
          <w:szCs w:val="22"/>
        </w:rPr>
      </w:pPr>
      <w:r w:rsidRPr="009A328C">
        <w:rPr>
          <w:b/>
          <w:sz w:val="22"/>
          <w:szCs w:val="22"/>
        </w:rPr>
        <w:t>Postavení smluvních stran</w:t>
      </w:r>
    </w:p>
    <w:p w14:paraId="1528A7D5" w14:textId="051D9A6F" w:rsidR="00B5577C" w:rsidRPr="009A328C" w:rsidRDefault="00B5577C" w:rsidP="004E6323">
      <w:pPr>
        <w:pStyle w:val="Odstavecseseznamem"/>
        <w:numPr>
          <w:ilvl w:val="0"/>
          <w:numId w:val="20"/>
        </w:numPr>
        <w:spacing w:after="120"/>
        <w:ind w:left="284" w:hanging="284"/>
        <w:contextualSpacing w:val="0"/>
        <w:jc w:val="both"/>
        <w:rPr>
          <w:sz w:val="22"/>
          <w:szCs w:val="22"/>
        </w:rPr>
      </w:pPr>
      <w:r>
        <w:rPr>
          <w:sz w:val="22"/>
          <w:szCs w:val="22"/>
        </w:rPr>
        <w:t xml:space="preserve">Poskytovatel </w:t>
      </w:r>
      <w:r w:rsidRPr="009A328C">
        <w:rPr>
          <w:sz w:val="22"/>
          <w:szCs w:val="22"/>
        </w:rPr>
        <w:t xml:space="preserve">je státní příspěvkovou organizací v přímé řídící působnosti Ministerstva zdravotnictví České republiky, zřízená rozhodnutím ministra zdravotnictví ze dne </w:t>
      </w:r>
      <w:r w:rsidRPr="009A328C">
        <w:rPr>
          <w:rFonts w:eastAsia="Calibri"/>
          <w:sz w:val="22"/>
          <w:szCs w:val="22"/>
          <w:lang w:eastAsia="ar-SA"/>
        </w:rPr>
        <w:t>25.</w:t>
      </w:r>
      <w:r w:rsidRPr="009A328C">
        <w:rPr>
          <w:sz w:val="22"/>
          <w:szCs w:val="22"/>
        </w:rPr>
        <w:t> 11. </w:t>
      </w:r>
      <w:r w:rsidRPr="009A328C">
        <w:rPr>
          <w:rFonts w:eastAsia="Calibri"/>
          <w:sz w:val="22"/>
          <w:szCs w:val="22"/>
          <w:lang w:eastAsia="ar-SA"/>
        </w:rPr>
        <w:t>1990</w:t>
      </w:r>
      <w:r w:rsidRPr="009A328C">
        <w:rPr>
          <w:sz w:val="22"/>
          <w:szCs w:val="22"/>
        </w:rPr>
        <w:t>,</w:t>
      </w:r>
      <w:r w:rsidRPr="009A328C">
        <w:rPr>
          <w:rFonts w:eastAsia="Calibri"/>
          <w:sz w:val="22"/>
          <w:szCs w:val="22"/>
          <w:lang w:eastAsia="ar-SA"/>
        </w:rPr>
        <w:t xml:space="preserve"> č. j. OP-054.</w:t>
      </w:r>
      <w:proofErr w:type="gramStart"/>
      <w:r w:rsidRPr="009A328C">
        <w:rPr>
          <w:rFonts w:eastAsia="Calibri"/>
          <w:sz w:val="22"/>
          <w:szCs w:val="22"/>
          <w:lang w:eastAsia="ar-SA"/>
        </w:rPr>
        <w:t>25.11.90</w:t>
      </w:r>
      <w:proofErr w:type="gramEnd"/>
      <w:r w:rsidRPr="009A328C">
        <w:rPr>
          <w:sz w:val="22"/>
          <w:szCs w:val="22"/>
        </w:rPr>
        <w:t>,</w:t>
      </w:r>
      <w:r w:rsidRPr="009A328C">
        <w:rPr>
          <w:rFonts w:eastAsia="Calibri"/>
          <w:sz w:val="22"/>
          <w:szCs w:val="22"/>
          <w:lang w:eastAsia="ar-SA"/>
        </w:rPr>
        <w:t xml:space="preserve"> ve znění změn provedených Opatřením Ministerstva zdravotnictví vydaného pod č. j. MZDR 31003/2022-1/OPŘ ze dne 25. 01. 2023.</w:t>
      </w:r>
      <w:r w:rsidRPr="009A328C">
        <w:rPr>
          <w:sz w:val="22"/>
          <w:szCs w:val="22"/>
          <w:shd w:val="clear" w:color="auto" w:fill="FFFFFF" w:themeFill="background1"/>
        </w:rPr>
        <w:t xml:space="preserve"> </w:t>
      </w:r>
    </w:p>
    <w:p w14:paraId="26C4E01D" w14:textId="01D09E44" w:rsidR="00B5577C" w:rsidRDefault="00B5577C" w:rsidP="004E6323">
      <w:pPr>
        <w:pStyle w:val="Odstavecseseznamem"/>
        <w:numPr>
          <w:ilvl w:val="0"/>
          <w:numId w:val="20"/>
        </w:numPr>
        <w:spacing w:after="240"/>
        <w:ind w:left="284" w:hanging="284"/>
        <w:contextualSpacing w:val="0"/>
        <w:jc w:val="both"/>
        <w:rPr>
          <w:sz w:val="22"/>
          <w:szCs w:val="22"/>
        </w:rPr>
      </w:pPr>
      <w:r>
        <w:rPr>
          <w:sz w:val="22"/>
          <w:szCs w:val="22"/>
        </w:rPr>
        <w:t xml:space="preserve">Vysílající zdravotnické zařízení je </w:t>
      </w:r>
      <w:r w:rsidR="007F210A">
        <w:rPr>
          <w:sz w:val="22"/>
          <w:szCs w:val="22"/>
        </w:rPr>
        <w:t>právnickou osobou – obchodní společností zapsanou v obchodním rejstříku vedeném u Krajského soudu v Hradci Králové, spisová značka C 29876. Vysílající zdravotnické zařízení prohlašuje, že informace o něm obsažené ve veřejném rejstříku ke dni podpisu této smlouvy jsou aktuální a odpovídají skutečnému stavu.</w:t>
      </w:r>
    </w:p>
    <w:p w14:paraId="2878112E" w14:textId="77777777" w:rsidR="00B5577C" w:rsidRPr="009A328C" w:rsidRDefault="00B5577C" w:rsidP="004E6323">
      <w:pPr>
        <w:jc w:val="center"/>
        <w:rPr>
          <w:b/>
          <w:sz w:val="22"/>
          <w:szCs w:val="22"/>
        </w:rPr>
      </w:pPr>
      <w:r w:rsidRPr="009A328C">
        <w:rPr>
          <w:b/>
          <w:sz w:val="22"/>
          <w:szCs w:val="22"/>
        </w:rPr>
        <w:t>Čl. 2</w:t>
      </w:r>
    </w:p>
    <w:p w14:paraId="2137E6FB" w14:textId="77777777" w:rsidR="00B5577C" w:rsidRPr="009A328C" w:rsidRDefault="00B5577C" w:rsidP="004E6323">
      <w:pPr>
        <w:spacing w:after="120"/>
        <w:jc w:val="center"/>
        <w:rPr>
          <w:b/>
          <w:sz w:val="22"/>
          <w:szCs w:val="22"/>
        </w:rPr>
      </w:pPr>
      <w:r w:rsidRPr="009A328C">
        <w:rPr>
          <w:b/>
          <w:sz w:val="22"/>
          <w:szCs w:val="22"/>
        </w:rPr>
        <w:t>Předmět smlouvy</w:t>
      </w:r>
    </w:p>
    <w:p w14:paraId="3612F5E1" w14:textId="207249D3" w:rsidR="00324BCE" w:rsidRDefault="007F210A" w:rsidP="004E6323">
      <w:pPr>
        <w:pStyle w:val="Odstavecseseznamem"/>
        <w:numPr>
          <w:ilvl w:val="0"/>
          <w:numId w:val="21"/>
        </w:numPr>
        <w:spacing w:after="120"/>
        <w:ind w:left="284" w:hanging="284"/>
        <w:contextualSpacing w:val="0"/>
        <w:jc w:val="both"/>
        <w:rPr>
          <w:sz w:val="22"/>
          <w:szCs w:val="22"/>
        </w:rPr>
      </w:pPr>
      <w:r w:rsidRPr="007F210A">
        <w:rPr>
          <w:sz w:val="22"/>
          <w:szCs w:val="22"/>
        </w:rPr>
        <w:t xml:space="preserve">Předmětem </w:t>
      </w:r>
      <w:r>
        <w:rPr>
          <w:sz w:val="22"/>
          <w:szCs w:val="22"/>
        </w:rPr>
        <w:t xml:space="preserve">této smlouvy je zajištění vzdělávání pro část </w:t>
      </w:r>
      <w:r w:rsidRPr="00FD4176">
        <w:rPr>
          <w:sz w:val="22"/>
          <w:szCs w:val="22"/>
        </w:rPr>
        <w:t>praktické</w:t>
      </w:r>
      <w:r>
        <w:rPr>
          <w:sz w:val="22"/>
          <w:szCs w:val="22"/>
        </w:rPr>
        <w:t xml:space="preserve"> výuky na pracovištích Poskytovatele podle požadavků vymezených vzdělávacím programem v oboru </w:t>
      </w:r>
      <w:r w:rsidRPr="007F210A">
        <w:rPr>
          <w:b/>
          <w:sz w:val="22"/>
          <w:szCs w:val="22"/>
        </w:rPr>
        <w:t>Neurologie</w:t>
      </w:r>
      <w:r>
        <w:rPr>
          <w:sz w:val="22"/>
          <w:szCs w:val="22"/>
        </w:rPr>
        <w:t>.</w:t>
      </w:r>
    </w:p>
    <w:p w14:paraId="5D4F571F" w14:textId="2903C00B" w:rsidR="007F210A" w:rsidRDefault="007F210A" w:rsidP="004E6323">
      <w:pPr>
        <w:pStyle w:val="Odstavecseseznamem"/>
        <w:numPr>
          <w:ilvl w:val="0"/>
          <w:numId w:val="21"/>
        </w:numPr>
        <w:spacing w:after="120"/>
        <w:ind w:left="284" w:hanging="284"/>
        <w:contextualSpacing w:val="0"/>
        <w:jc w:val="both"/>
        <w:rPr>
          <w:sz w:val="22"/>
          <w:szCs w:val="22"/>
        </w:rPr>
      </w:pPr>
      <w:r>
        <w:rPr>
          <w:sz w:val="22"/>
          <w:szCs w:val="22"/>
        </w:rPr>
        <w:t xml:space="preserve">Poskytovatel se zavazuje, že v souladu s touto smlouvou a rozhodnutím o akreditaci udělené </w:t>
      </w:r>
      <w:r w:rsidR="00FD4176">
        <w:rPr>
          <w:sz w:val="22"/>
          <w:szCs w:val="22"/>
        </w:rPr>
        <w:t xml:space="preserve">Poskytovateli </w:t>
      </w:r>
      <w:r>
        <w:rPr>
          <w:sz w:val="22"/>
          <w:szCs w:val="22"/>
        </w:rPr>
        <w:t xml:space="preserve">pro obor Neurologie, umožní </w:t>
      </w:r>
      <w:r w:rsidR="00FD4176" w:rsidRPr="000A3B07">
        <w:rPr>
          <w:sz w:val="22"/>
          <w:szCs w:val="22"/>
        </w:rPr>
        <w:t>zaměstnancům</w:t>
      </w:r>
      <w:r w:rsidR="000A3B07">
        <w:rPr>
          <w:sz w:val="22"/>
          <w:szCs w:val="22"/>
        </w:rPr>
        <w:t xml:space="preserve"> </w:t>
      </w:r>
      <w:r>
        <w:rPr>
          <w:sz w:val="22"/>
          <w:szCs w:val="22"/>
        </w:rPr>
        <w:t xml:space="preserve">Vysílajícího zdravotnického zařízení </w:t>
      </w:r>
      <w:r>
        <w:rPr>
          <w:sz w:val="22"/>
          <w:szCs w:val="22"/>
        </w:rPr>
        <w:lastRenderedPageBreak/>
        <w:t xml:space="preserve">(dále jen </w:t>
      </w:r>
      <w:r w:rsidR="00FD4176">
        <w:rPr>
          <w:sz w:val="22"/>
          <w:szCs w:val="22"/>
        </w:rPr>
        <w:t>„</w:t>
      </w:r>
      <w:r w:rsidR="00FD4176" w:rsidRPr="00FD4176">
        <w:rPr>
          <w:b/>
          <w:sz w:val="22"/>
          <w:szCs w:val="22"/>
        </w:rPr>
        <w:t>stážista</w:t>
      </w:r>
      <w:r w:rsidR="00FD4176">
        <w:rPr>
          <w:sz w:val="22"/>
          <w:szCs w:val="22"/>
        </w:rPr>
        <w:t xml:space="preserve">“ či </w:t>
      </w:r>
      <w:r>
        <w:rPr>
          <w:sz w:val="22"/>
          <w:szCs w:val="22"/>
        </w:rPr>
        <w:t>„</w:t>
      </w:r>
      <w:r w:rsidRPr="00FD4176">
        <w:rPr>
          <w:b/>
          <w:sz w:val="22"/>
          <w:szCs w:val="22"/>
        </w:rPr>
        <w:t>stážisté</w:t>
      </w:r>
      <w:r>
        <w:rPr>
          <w:sz w:val="22"/>
          <w:szCs w:val="22"/>
        </w:rPr>
        <w:t xml:space="preserve">“) vykonávání </w:t>
      </w:r>
      <w:r w:rsidR="00FD4176">
        <w:rPr>
          <w:sz w:val="22"/>
          <w:szCs w:val="22"/>
        </w:rPr>
        <w:t>praktické části specializačního vzdělávání v oboru Neurologie</w:t>
      </w:r>
      <w:r>
        <w:rPr>
          <w:sz w:val="22"/>
          <w:szCs w:val="22"/>
        </w:rPr>
        <w:t xml:space="preserve"> na pracovišti Poskytovatele v rozsahu požadavků vymezených vzdělávacím program</w:t>
      </w:r>
      <w:r w:rsidR="00FD4176">
        <w:rPr>
          <w:sz w:val="22"/>
          <w:szCs w:val="22"/>
        </w:rPr>
        <w:t xml:space="preserve"> v oboru N</w:t>
      </w:r>
      <w:r w:rsidR="00E6587A">
        <w:rPr>
          <w:sz w:val="22"/>
          <w:szCs w:val="22"/>
        </w:rPr>
        <w:t>eurologie (dále jen „</w:t>
      </w:r>
      <w:r w:rsidR="00E6587A" w:rsidRPr="00E6587A">
        <w:rPr>
          <w:b/>
          <w:sz w:val="22"/>
          <w:szCs w:val="22"/>
        </w:rPr>
        <w:t>stáž</w:t>
      </w:r>
      <w:r w:rsidR="00E6587A">
        <w:rPr>
          <w:sz w:val="22"/>
          <w:szCs w:val="22"/>
        </w:rPr>
        <w:t>“).</w:t>
      </w:r>
    </w:p>
    <w:p w14:paraId="259C09B8" w14:textId="77777777" w:rsidR="009C494D" w:rsidRDefault="00FD4176" w:rsidP="004E6323">
      <w:pPr>
        <w:pStyle w:val="Odstavecseseznamem"/>
        <w:numPr>
          <w:ilvl w:val="0"/>
          <w:numId w:val="21"/>
        </w:numPr>
        <w:spacing w:after="120"/>
        <w:ind w:left="284" w:hanging="284"/>
        <w:contextualSpacing w:val="0"/>
        <w:jc w:val="both"/>
        <w:rPr>
          <w:sz w:val="22"/>
          <w:szCs w:val="22"/>
        </w:rPr>
      </w:pPr>
      <w:r>
        <w:rPr>
          <w:sz w:val="22"/>
          <w:szCs w:val="22"/>
        </w:rPr>
        <w:t xml:space="preserve">Konkrétně se jedná </w:t>
      </w:r>
      <w:r w:rsidR="009C494D">
        <w:rPr>
          <w:sz w:val="22"/>
          <w:szCs w:val="22"/>
        </w:rPr>
        <w:t>o část vzdělávacího programu: Vlastní specializovaný výcvik, povinná odborná praxe v oboru neurologie</w:t>
      </w:r>
    </w:p>
    <w:p w14:paraId="4933E747" w14:textId="30F5C621" w:rsidR="009C494D" w:rsidRPr="009C494D" w:rsidRDefault="009C494D" w:rsidP="004E6323">
      <w:pPr>
        <w:pStyle w:val="Odstavecseseznamem"/>
        <w:numPr>
          <w:ilvl w:val="0"/>
          <w:numId w:val="26"/>
        </w:numPr>
        <w:spacing w:after="120"/>
        <w:ind w:left="1003" w:hanging="357"/>
        <w:jc w:val="both"/>
        <w:rPr>
          <w:sz w:val="22"/>
          <w:szCs w:val="22"/>
        </w:rPr>
      </w:pPr>
      <w:r w:rsidRPr="009C494D">
        <w:rPr>
          <w:sz w:val="22"/>
          <w:szCs w:val="22"/>
        </w:rPr>
        <w:t>povinná odborná praxe v oboru neurologie</w:t>
      </w:r>
      <w:r>
        <w:rPr>
          <w:sz w:val="22"/>
          <w:szCs w:val="22"/>
        </w:rPr>
        <w:t xml:space="preserve"> – </w:t>
      </w:r>
      <w:r w:rsidRPr="009C494D">
        <w:rPr>
          <w:b/>
          <w:sz w:val="22"/>
          <w:szCs w:val="22"/>
        </w:rPr>
        <w:t>lůžková neurologická oddělení v rozsahu 1 měsíce</w:t>
      </w:r>
    </w:p>
    <w:p w14:paraId="61559749" w14:textId="1A195838" w:rsidR="00FD4176" w:rsidRPr="009C494D" w:rsidRDefault="009C494D" w:rsidP="004E6323">
      <w:pPr>
        <w:pStyle w:val="Odstavecseseznamem"/>
        <w:numPr>
          <w:ilvl w:val="0"/>
          <w:numId w:val="26"/>
        </w:numPr>
        <w:spacing w:after="120"/>
        <w:contextualSpacing w:val="0"/>
        <w:jc w:val="both"/>
        <w:rPr>
          <w:sz w:val="22"/>
          <w:szCs w:val="22"/>
        </w:rPr>
      </w:pPr>
      <w:r w:rsidRPr="009C494D">
        <w:rPr>
          <w:sz w:val="22"/>
          <w:szCs w:val="22"/>
        </w:rPr>
        <w:t>povinná odborná praxe v oboru neurologie</w:t>
      </w:r>
      <w:r>
        <w:rPr>
          <w:sz w:val="22"/>
          <w:szCs w:val="22"/>
        </w:rPr>
        <w:t xml:space="preserve"> – </w:t>
      </w:r>
      <w:r w:rsidRPr="009C494D">
        <w:rPr>
          <w:b/>
          <w:sz w:val="22"/>
          <w:szCs w:val="22"/>
        </w:rPr>
        <w:t>elektrofyziologické laboratoře, neuroradiologie aj. v rozsahu 1 měsíce</w:t>
      </w:r>
    </w:p>
    <w:p w14:paraId="70C29A03" w14:textId="3B582CEC" w:rsidR="009C494D" w:rsidRDefault="007F210A" w:rsidP="004E6323">
      <w:pPr>
        <w:pStyle w:val="Odstavecseseznamem"/>
        <w:numPr>
          <w:ilvl w:val="0"/>
          <w:numId w:val="21"/>
        </w:numPr>
        <w:spacing w:after="240"/>
        <w:ind w:left="284" w:hanging="284"/>
        <w:contextualSpacing w:val="0"/>
        <w:jc w:val="both"/>
        <w:rPr>
          <w:sz w:val="22"/>
          <w:szCs w:val="22"/>
        </w:rPr>
      </w:pPr>
      <w:r>
        <w:rPr>
          <w:sz w:val="22"/>
          <w:szCs w:val="22"/>
        </w:rPr>
        <w:t xml:space="preserve">Cílem </w:t>
      </w:r>
      <w:r w:rsidR="00E6587A">
        <w:rPr>
          <w:sz w:val="22"/>
          <w:szCs w:val="22"/>
        </w:rPr>
        <w:t>stáže</w:t>
      </w:r>
      <w:r w:rsidR="009C494D">
        <w:rPr>
          <w:sz w:val="22"/>
          <w:szCs w:val="22"/>
        </w:rPr>
        <w:t xml:space="preserve"> je</w:t>
      </w:r>
      <w:r>
        <w:rPr>
          <w:sz w:val="22"/>
          <w:szCs w:val="22"/>
        </w:rPr>
        <w:t xml:space="preserve"> zejména získání teoretických a praktických zkušeností ve shora </w:t>
      </w:r>
      <w:r w:rsidR="00FD4176">
        <w:rPr>
          <w:sz w:val="22"/>
          <w:szCs w:val="22"/>
        </w:rPr>
        <w:t>uvedeném</w:t>
      </w:r>
      <w:r>
        <w:rPr>
          <w:sz w:val="22"/>
          <w:szCs w:val="22"/>
        </w:rPr>
        <w:t xml:space="preserve"> oboru a seznámí s provozem odborného pracoviště.</w:t>
      </w:r>
    </w:p>
    <w:p w14:paraId="0F338C61" w14:textId="5FBEAFB6" w:rsidR="009C494D" w:rsidRPr="009C494D" w:rsidRDefault="009C494D" w:rsidP="004E6323">
      <w:pPr>
        <w:jc w:val="center"/>
        <w:rPr>
          <w:b/>
          <w:sz w:val="22"/>
          <w:szCs w:val="22"/>
        </w:rPr>
      </w:pPr>
      <w:r>
        <w:rPr>
          <w:b/>
          <w:sz w:val="22"/>
          <w:szCs w:val="22"/>
        </w:rPr>
        <w:t>Čl. 3</w:t>
      </w:r>
    </w:p>
    <w:p w14:paraId="3DBAD3DB" w14:textId="2E87C735" w:rsidR="00E6587A" w:rsidRPr="00E6587A" w:rsidRDefault="00E6587A" w:rsidP="004E6323">
      <w:pPr>
        <w:spacing w:after="120"/>
        <w:jc w:val="center"/>
        <w:rPr>
          <w:b/>
          <w:sz w:val="22"/>
          <w:szCs w:val="22"/>
        </w:rPr>
      </w:pPr>
      <w:r>
        <w:rPr>
          <w:b/>
          <w:sz w:val="22"/>
          <w:szCs w:val="22"/>
        </w:rPr>
        <w:t>Podmínky spolupráce</w:t>
      </w:r>
    </w:p>
    <w:p w14:paraId="71E4527C" w14:textId="1ED21A47" w:rsidR="00E6587A" w:rsidRDefault="00E6587A" w:rsidP="004E6323">
      <w:pPr>
        <w:pStyle w:val="Odstavecseseznamem"/>
        <w:numPr>
          <w:ilvl w:val="0"/>
          <w:numId w:val="27"/>
        </w:numPr>
        <w:spacing w:after="120"/>
        <w:ind w:left="284" w:hanging="284"/>
        <w:contextualSpacing w:val="0"/>
        <w:jc w:val="both"/>
        <w:rPr>
          <w:sz w:val="22"/>
          <w:szCs w:val="22"/>
        </w:rPr>
      </w:pPr>
      <w:r>
        <w:rPr>
          <w:sz w:val="22"/>
          <w:szCs w:val="22"/>
        </w:rPr>
        <w:t>Stáž bude poskytována v souladu s kapacitními a provozními možnostmi Poskytovatele.</w:t>
      </w:r>
    </w:p>
    <w:p w14:paraId="11196C6F" w14:textId="4FBC9F92" w:rsidR="00E6587A" w:rsidRDefault="00E6587A" w:rsidP="004E6323">
      <w:pPr>
        <w:pStyle w:val="Odstavecseseznamem"/>
        <w:numPr>
          <w:ilvl w:val="0"/>
          <w:numId w:val="27"/>
        </w:numPr>
        <w:spacing w:after="120"/>
        <w:ind w:left="284" w:hanging="284"/>
        <w:contextualSpacing w:val="0"/>
        <w:jc w:val="both"/>
        <w:rPr>
          <w:sz w:val="22"/>
          <w:szCs w:val="22"/>
        </w:rPr>
      </w:pPr>
      <w:r>
        <w:rPr>
          <w:sz w:val="22"/>
          <w:szCs w:val="22"/>
        </w:rPr>
        <w:t>Stáž</w:t>
      </w:r>
      <w:r w:rsidRPr="00E6587A">
        <w:rPr>
          <w:sz w:val="22"/>
          <w:szCs w:val="22"/>
        </w:rPr>
        <w:t xml:space="preserve"> se uskuteční pod vedením odborných školitelů, na vzdělávání stážistů budou participovat další zdravotničtí pracovníci mající odbornou způsobilost k výkonu svého povolání určení školitelem. </w:t>
      </w:r>
    </w:p>
    <w:p w14:paraId="21F6B907" w14:textId="2CAC49B0" w:rsidR="00E6587A" w:rsidRDefault="00E6587A" w:rsidP="004E6323">
      <w:pPr>
        <w:pStyle w:val="Odstavecseseznamem"/>
        <w:numPr>
          <w:ilvl w:val="0"/>
          <w:numId w:val="27"/>
        </w:numPr>
        <w:spacing w:after="120"/>
        <w:ind w:left="284" w:hanging="284"/>
        <w:contextualSpacing w:val="0"/>
        <w:jc w:val="both"/>
        <w:rPr>
          <w:sz w:val="22"/>
          <w:szCs w:val="22"/>
        </w:rPr>
      </w:pPr>
      <w:r>
        <w:rPr>
          <w:sz w:val="22"/>
          <w:szCs w:val="22"/>
        </w:rPr>
        <w:t xml:space="preserve">Vysílající zdravotnické zařízení prohlašuje, že u jím vyslaného stážisty se jedná o služební cestu se všemi právy a povinnostmi, a to zejména v oblasti pracovních úrazů a nemocí z povolání. Dále prohlašuje, že jím vyslaný stážista je platně proškolen v oblasti bezpečnosti práce a ochrany zdraví při práci. Vysílající zdravotnické zařízení zajistí, aby vyslaný stážista byl očkován proti infekčním nemocem v souladu s vyhláškou č. 537/2006 Sb., o očkování proti infekčním nemocem, ve znění pozdějších předpisů, a zajistí, aby byl vyslaný stážista zdravotně a odborně způsobilý výkonu stáže a splňoval podmínky bezúhonnosti dle platných právních předpisů. </w:t>
      </w:r>
    </w:p>
    <w:p w14:paraId="1E5EBC59" w14:textId="2F937C1E" w:rsidR="00E6587A" w:rsidRDefault="00E6587A" w:rsidP="004E6323">
      <w:pPr>
        <w:pStyle w:val="Odstavecseseznamem"/>
        <w:numPr>
          <w:ilvl w:val="0"/>
          <w:numId w:val="27"/>
        </w:numPr>
        <w:spacing w:after="120"/>
        <w:ind w:left="284" w:hanging="284"/>
        <w:contextualSpacing w:val="0"/>
        <w:jc w:val="both"/>
        <w:rPr>
          <w:sz w:val="22"/>
          <w:szCs w:val="22"/>
        </w:rPr>
      </w:pPr>
      <w:r>
        <w:rPr>
          <w:sz w:val="22"/>
          <w:szCs w:val="22"/>
        </w:rPr>
        <w:t xml:space="preserve">Vysílající zdravotnické zařízení je dále povinno zajistit, aby stážista zachoval mlčenlivost o veškerých skutečnostech, o nichž se v průběhu výkonu stáže  u Poskytovatel dozví. </w:t>
      </w:r>
    </w:p>
    <w:p w14:paraId="7A64FF3F" w14:textId="5B327E31" w:rsidR="00E6587A" w:rsidRDefault="00E6587A" w:rsidP="004E6323">
      <w:pPr>
        <w:pStyle w:val="Odstavecseseznamem"/>
        <w:numPr>
          <w:ilvl w:val="0"/>
          <w:numId w:val="27"/>
        </w:numPr>
        <w:spacing w:after="120"/>
        <w:ind w:left="284" w:hanging="284"/>
        <w:contextualSpacing w:val="0"/>
        <w:jc w:val="both"/>
        <w:rPr>
          <w:sz w:val="22"/>
          <w:szCs w:val="22"/>
        </w:rPr>
      </w:pPr>
      <w:r>
        <w:rPr>
          <w:sz w:val="22"/>
          <w:szCs w:val="22"/>
        </w:rPr>
        <w:t>Vysílající zdravotnické zařízení seznámí stážistu s povinností nosit po celou dobu výkonu stáže u Poskytovatele na viditelném místě identifikační kartu s fotografií, kterou je stážista povinen si zabezpečit před zahájením praktického vzdělávání.</w:t>
      </w:r>
    </w:p>
    <w:p w14:paraId="568E6DFA" w14:textId="748A9EE7" w:rsidR="00B7219E" w:rsidRDefault="00E6587A" w:rsidP="004E6323">
      <w:pPr>
        <w:pStyle w:val="Odstavecseseznamem"/>
        <w:numPr>
          <w:ilvl w:val="0"/>
          <w:numId w:val="27"/>
        </w:numPr>
        <w:spacing w:after="120"/>
        <w:ind w:left="284" w:hanging="284"/>
        <w:contextualSpacing w:val="0"/>
        <w:jc w:val="both"/>
        <w:rPr>
          <w:sz w:val="22"/>
          <w:szCs w:val="22"/>
        </w:rPr>
      </w:pPr>
      <w:r>
        <w:rPr>
          <w:sz w:val="22"/>
          <w:szCs w:val="22"/>
        </w:rPr>
        <w:t>Vysílající zdravotnické zařízení prohlašuje, že má uzavřené pojištění odpovědnosti za škody způsobené provozovatelem zdravotnického zařízení, a že tato pojistka se vztahuje na jím vyslaného stážistu. Současně se zavazuje, že případné škody nekryté pojištěním uhradí. Vysílající zdravotnické zařízení se zavazuje, že poskytne Poskytovateli náhradu škody či imateriální újmy, kterou byl Poskytovatel povinen poskytnout</w:t>
      </w:r>
      <w:r w:rsidR="00B7219E">
        <w:rPr>
          <w:sz w:val="22"/>
          <w:szCs w:val="22"/>
        </w:rPr>
        <w:t xml:space="preserve"> stážistovi či</w:t>
      </w:r>
      <w:r>
        <w:rPr>
          <w:sz w:val="22"/>
          <w:szCs w:val="22"/>
        </w:rPr>
        <w:t xml:space="preserve"> třetím osobám v souvislosti se stáží. </w:t>
      </w:r>
    </w:p>
    <w:p w14:paraId="0378C2B9" w14:textId="7E6AB364" w:rsidR="00B7219E" w:rsidRPr="00B7219E" w:rsidRDefault="00B7219E" w:rsidP="004E6323">
      <w:pPr>
        <w:pStyle w:val="Odstavecseseznamem"/>
        <w:numPr>
          <w:ilvl w:val="0"/>
          <w:numId w:val="27"/>
        </w:numPr>
        <w:spacing w:after="120"/>
        <w:ind w:left="284" w:hanging="284"/>
        <w:contextualSpacing w:val="0"/>
        <w:jc w:val="both"/>
        <w:rPr>
          <w:sz w:val="22"/>
          <w:szCs w:val="22"/>
        </w:rPr>
      </w:pPr>
      <w:r w:rsidRPr="00B7219E">
        <w:rPr>
          <w:sz w:val="22"/>
          <w:szCs w:val="22"/>
        </w:rPr>
        <w:t>Poskytovatel má právo ukončit stáž s okamžitou účinností v případě, že stážista během výkonu stáže poruší obecně závazné právní předpisy nebo bude postupovat v rozporu s pokyny školitele či dalších zaměstnanců Poskytovatele; zaplacená úhrada za stáž se podle článku 5 této smlouvy nevrací.</w:t>
      </w:r>
    </w:p>
    <w:p w14:paraId="674DE8DA" w14:textId="24163840" w:rsidR="00E6587A" w:rsidRDefault="00E6587A" w:rsidP="004E6323">
      <w:pPr>
        <w:pStyle w:val="Odstavecseseznamem"/>
        <w:numPr>
          <w:ilvl w:val="0"/>
          <w:numId w:val="27"/>
        </w:numPr>
        <w:spacing w:after="240"/>
        <w:ind w:left="284" w:hanging="284"/>
        <w:contextualSpacing w:val="0"/>
        <w:jc w:val="both"/>
        <w:rPr>
          <w:sz w:val="22"/>
          <w:szCs w:val="22"/>
        </w:rPr>
      </w:pPr>
      <w:r>
        <w:rPr>
          <w:sz w:val="22"/>
          <w:szCs w:val="22"/>
        </w:rPr>
        <w:t xml:space="preserve">Za naplnění účelu této smlouvy budou v závislosti na potřebách Vysílajícího zdravotnického zařízení a možnostech Poskytovatele uzavírány jednotlivé dílčí smlouvy </w:t>
      </w:r>
      <w:r w:rsidR="00E421D9">
        <w:rPr>
          <w:sz w:val="22"/>
          <w:szCs w:val="22"/>
        </w:rPr>
        <w:t>v souladu s </w:t>
      </w:r>
      <w:proofErr w:type="spellStart"/>
      <w:r w:rsidR="00E421D9">
        <w:rPr>
          <w:sz w:val="22"/>
          <w:szCs w:val="22"/>
        </w:rPr>
        <w:t>ust</w:t>
      </w:r>
      <w:proofErr w:type="spellEnd"/>
      <w:r w:rsidR="00E421D9">
        <w:rPr>
          <w:sz w:val="22"/>
          <w:szCs w:val="22"/>
        </w:rPr>
        <w:t>. § 38a zákona č. 95/2004 Sb., které budou obsahovat zejména jména stážistů, druh vykonávané práce, místo výkonu a termíny jejich stáže u Poskytovatele.</w:t>
      </w:r>
    </w:p>
    <w:p w14:paraId="3D3C6A33" w14:textId="30D06621" w:rsidR="00E421D9" w:rsidRPr="00E421D9" w:rsidRDefault="00E421D9" w:rsidP="004E6323">
      <w:pPr>
        <w:jc w:val="center"/>
        <w:rPr>
          <w:b/>
          <w:sz w:val="22"/>
          <w:szCs w:val="22"/>
        </w:rPr>
      </w:pPr>
      <w:r w:rsidRPr="00E421D9">
        <w:rPr>
          <w:b/>
          <w:sz w:val="22"/>
          <w:szCs w:val="22"/>
        </w:rPr>
        <w:t xml:space="preserve">Čl. </w:t>
      </w:r>
      <w:r>
        <w:rPr>
          <w:b/>
          <w:sz w:val="22"/>
          <w:szCs w:val="22"/>
        </w:rPr>
        <w:t>4</w:t>
      </w:r>
    </w:p>
    <w:p w14:paraId="51C2EE28" w14:textId="3B8292CA" w:rsidR="00E421D9" w:rsidRDefault="00E421D9" w:rsidP="004E6323">
      <w:pPr>
        <w:spacing w:after="120"/>
        <w:jc w:val="center"/>
        <w:rPr>
          <w:b/>
          <w:sz w:val="22"/>
          <w:szCs w:val="22"/>
        </w:rPr>
      </w:pPr>
      <w:r>
        <w:rPr>
          <w:b/>
          <w:sz w:val="22"/>
          <w:szCs w:val="22"/>
        </w:rPr>
        <w:t>Trvání smlouvy</w:t>
      </w:r>
    </w:p>
    <w:p w14:paraId="1B461512" w14:textId="303B8FBA" w:rsidR="00E421D9" w:rsidRDefault="00E421D9" w:rsidP="004E6323">
      <w:pPr>
        <w:pStyle w:val="Odstavecseseznamem"/>
        <w:numPr>
          <w:ilvl w:val="0"/>
          <w:numId w:val="31"/>
        </w:numPr>
        <w:spacing w:after="120"/>
        <w:ind w:left="284" w:hanging="284"/>
        <w:contextualSpacing w:val="0"/>
        <w:jc w:val="both"/>
        <w:rPr>
          <w:sz w:val="22"/>
          <w:szCs w:val="22"/>
        </w:rPr>
      </w:pPr>
      <w:r>
        <w:rPr>
          <w:sz w:val="22"/>
          <w:szCs w:val="22"/>
        </w:rPr>
        <w:t xml:space="preserve">Tato smlouva se uzavírá na dobu </w:t>
      </w:r>
      <w:r w:rsidRPr="000A3B07">
        <w:rPr>
          <w:sz w:val="22"/>
          <w:szCs w:val="22"/>
        </w:rPr>
        <w:t>neurčitou.</w:t>
      </w:r>
    </w:p>
    <w:p w14:paraId="070CA94C" w14:textId="503C23FB" w:rsidR="00B7219E" w:rsidRDefault="00B7219E" w:rsidP="004E6323">
      <w:pPr>
        <w:pStyle w:val="Odstavecseseznamem"/>
        <w:numPr>
          <w:ilvl w:val="0"/>
          <w:numId w:val="31"/>
        </w:numPr>
        <w:spacing w:after="120"/>
        <w:ind w:left="284" w:hanging="284"/>
        <w:contextualSpacing w:val="0"/>
        <w:jc w:val="both"/>
        <w:rPr>
          <w:sz w:val="22"/>
          <w:szCs w:val="22"/>
        </w:rPr>
      </w:pPr>
      <w:r>
        <w:rPr>
          <w:sz w:val="22"/>
          <w:szCs w:val="22"/>
        </w:rPr>
        <w:t>Tato smlouva může být ukončena jedním z následujících způsobů:</w:t>
      </w:r>
    </w:p>
    <w:p w14:paraId="2E3D3870" w14:textId="32228C7F" w:rsidR="00B7219E" w:rsidRDefault="00B7219E" w:rsidP="004E6323">
      <w:pPr>
        <w:pStyle w:val="Odstavecseseznamem"/>
        <w:numPr>
          <w:ilvl w:val="1"/>
          <w:numId w:val="31"/>
        </w:numPr>
        <w:spacing w:after="120"/>
        <w:ind w:left="567" w:hanging="283"/>
        <w:contextualSpacing w:val="0"/>
        <w:jc w:val="both"/>
        <w:rPr>
          <w:sz w:val="22"/>
          <w:szCs w:val="22"/>
        </w:rPr>
      </w:pPr>
      <w:r>
        <w:rPr>
          <w:sz w:val="22"/>
          <w:szCs w:val="22"/>
        </w:rPr>
        <w:t>písemnou dohodu smluvních stran,</w:t>
      </w:r>
    </w:p>
    <w:p w14:paraId="7274A41F" w14:textId="52ABE484" w:rsidR="00B7219E" w:rsidRDefault="00B7219E" w:rsidP="004E6323">
      <w:pPr>
        <w:pStyle w:val="Odstavecseseznamem"/>
        <w:numPr>
          <w:ilvl w:val="1"/>
          <w:numId w:val="31"/>
        </w:numPr>
        <w:spacing w:after="120"/>
        <w:ind w:left="567" w:hanging="283"/>
        <w:contextualSpacing w:val="0"/>
        <w:jc w:val="both"/>
        <w:rPr>
          <w:sz w:val="22"/>
          <w:szCs w:val="22"/>
        </w:rPr>
      </w:pPr>
      <w:r>
        <w:rPr>
          <w:sz w:val="22"/>
          <w:szCs w:val="22"/>
        </w:rPr>
        <w:t>uplynutím jednoměsíční výpovědní doby, která počíná běžet 1. dnem kalendářního měsíce následujícího po měsíci, ve kterém byla písemná výpověď doručena druhé smluvní straně,</w:t>
      </w:r>
    </w:p>
    <w:p w14:paraId="5E659728" w14:textId="6167E992" w:rsidR="00C643DF" w:rsidRDefault="00B7219E" w:rsidP="004E6323">
      <w:pPr>
        <w:pStyle w:val="Odstavecseseznamem"/>
        <w:numPr>
          <w:ilvl w:val="1"/>
          <w:numId w:val="31"/>
        </w:numPr>
        <w:spacing w:after="120"/>
        <w:ind w:left="567" w:hanging="283"/>
        <w:contextualSpacing w:val="0"/>
        <w:jc w:val="both"/>
        <w:rPr>
          <w:sz w:val="22"/>
          <w:szCs w:val="22"/>
        </w:rPr>
      </w:pPr>
      <w:r>
        <w:rPr>
          <w:sz w:val="22"/>
          <w:szCs w:val="22"/>
        </w:rPr>
        <w:lastRenderedPageBreak/>
        <w:t>odstoupením od smlouvy v případě, že druhá smluvní strana podstatně poruší povinnosti stanovené touto smlouvou nebo dílčími smlouvami o zajištění stáže uzavřenými na základě této smlouvy; odstoupení musí být písemné a doručeno druhé smluvní straně.</w:t>
      </w:r>
    </w:p>
    <w:p w14:paraId="6A7877A1" w14:textId="36A77A92" w:rsidR="00C643DF" w:rsidRPr="00C643DF" w:rsidRDefault="00C643DF" w:rsidP="004E6323">
      <w:pPr>
        <w:pStyle w:val="Odstavecseseznamem"/>
        <w:numPr>
          <w:ilvl w:val="0"/>
          <w:numId w:val="31"/>
        </w:numPr>
        <w:spacing w:after="240"/>
        <w:ind w:left="284" w:hanging="284"/>
        <w:contextualSpacing w:val="0"/>
        <w:jc w:val="both"/>
        <w:rPr>
          <w:sz w:val="22"/>
          <w:szCs w:val="22"/>
        </w:rPr>
      </w:pPr>
      <w:r w:rsidRPr="009A328C">
        <w:rPr>
          <w:sz w:val="22"/>
          <w:szCs w:val="22"/>
        </w:rPr>
        <w:t xml:space="preserve">Smluvní strany se dohodly, že v dalším se odstoupení od smlouvy </w:t>
      </w:r>
      <w:r w:rsidR="007D1BB8">
        <w:rPr>
          <w:sz w:val="22"/>
          <w:szCs w:val="22"/>
        </w:rPr>
        <w:t xml:space="preserve">řídí </w:t>
      </w:r>
      <w:r w:rsidRPr="009A328C">
        <w:rPr>
          <w:sz w:val="22"/>
          <w:szCs w:val="22"/>
        </w:rPr>
        <w:t>občanským zákoníkem</w:t>
      </w:r>
      <w:r w:rsidR="007D1BB8">
        <w:rPr>
          <w:sz w:val="22"/>
          <w:szCs w:val="22"/>
        </w:rPr>
        <w:t>.</w:t>
      </w:r>
    </w:p>
    <w:p w14:paraId="648F996C" w14:textId="4DA6262F" w:rsidR="00E421D9" w:rsidRDefault="00E421D9" w:rsidP="004E6323">
      <w:pPr>
        <w:jc w:val="center"/>
        <w:rPr>
          <w:b/>
          <w:sz w:val="22"/>
          <w:szCs w:val="22"/>
        </w:rPr>
      </w:pPr>
      <w:r>
        <w:rPr>
          <w:b/>
          <w:sz w:val="22"/>
          <w:szCs w:val="22"/>
        </w:rPr>
        <w:t>Čl. 5</w:t>
      </w:r>
    </w:p>
    <w:p w14:paraId="634EFAB6" w14:textId="6B096B23" w:rsidR="00E421D9" w:rsidRDefault="00E421D9" w:rsidP="004E6323">
      <w:pPr>
        <w:spacing w:after="120"/>
        <w:jc w:val="center"/>
        <w:rPr>
          <w:b/>
          <w:sz w:val="22"/>
          <w:szCs w:val="22"/>
        </w:rPr>
      </w:pPr>
      <w:r>
        <w:rPr>
          <w:b/>
          <w:sz w:val="22"/>
          <w:szCs w:val="22"/>
        </w:rPr>
        <w:t>Platební podmínky</w:t>
      </w:r>
    </w:p>
    <w:p w14:paraId="63602136" w14:textId="2CF52345" w:rsidR="00E421D9" w:rsidRDefault="00E421D9" w:rsidP="004E6323">
      <w:pPr>
        <w:pStyle w:val="Odstavecseseznamem"/>
        <w:numPr>
          <w:ilvl w:val="0"/>
          <w:numId w:val="29"/>
        </w:numPr>
        <w:spacing w:after="120"/>
        <w:ind w:left="284" w:hanging="284"/>
        <w:contextualSpacing w:val="0"/>
        <w:jc w:val="both"/>
        <w:rPr>
          <w:sz w:val="22"/>
          <w:szCs w:val="22"/>
        </w:rPr>
      </w:pPr>
      <w:r>
        <w:rPr>
          <w:sz w:val="22"/>
          <w:szCs w:val="22"/>
        </w:rPr>
        <w:t>Vysílající zdravotnické zařízení se zavazuje uhradit Poskytovateli za zajištění odborné s</w:t>
      </w:r>
      <w:r w:rsidR="00BA752E">
        <w:rPr>
          <w:sz w:val="22"/>
          <w:szCs w:val="22"/>
        </w:rPr>
        <w:t>táže podle této smlouvy ve výši 6 000</w:t>
      </w:r>
      <w:r>
        <w:rPr>
          <w:sz w:val="22"/>
          <w:szCs w:val="22"/>
        </w:rPr>
        <w:t xml:space="preserve">,- Kč (slovy: </w:t>
      </w:r>
      <w:r w:rsidR="00594D5A" w:rsidRPr="00594D5A">
        <w:rPr>
          <w:sz w:val="22"/>
          <w:szCs w:val="22"/>
        </w:rPr>
        <w:t>šest tisíc korun českých</w:t>
      </w:r>
      <w:r w:rsidR="00BF29E4">
        <w:rPr>
          <w:sz w:val="22"/>
          <w:szCs w:val="22"/>
        </w:rPr>
        <w:t>) s</w:t>
      </w:r>
      <w:r>
        <w:rPr>
          <w:sz w:val="22"/>
          <w:szCs w:val="22"/>
        </w:rPr>
        <w:t xml:space="preserve"> DPH </w:t>
      </w:r>
      <w:r w:rsidR="00BF29E4">
        <w:rPr>
          <w:sz w:val="22"/>
          <w:szCs w:val="22"/>
        </w:rPr>
        <w:t xml:space="preserve">(0% DPH) </w:t>
      </w:r>
      <w:r>
        <w:rPr>
          <w:sz w:val="22"/>
          <w:szCs w:val="22"/>
        </w:rPr>
        <w:t xml:space="preserve">za každý započatý měsíc stáže. Ceny odborných stáží se řídí platným ceníkem Poskytovatele. </w:t>
      </w:r>
    </w:p>
    <w:p w14:paraId="37CEB634" w14:textId="1A6E544C" w:rsidR="00E421D9" w:rsidRPr="00E421D9" w:rsidRDefault="00E421D9" w:rsidP="004E6323">
      <w:pPr>
        <w:pStyle w:val="Odstavecseseznamem"/>
        <w:numPr>
          <w:ilvl w:val="0"/>
          <w:numId w:val="29"/>
        </w:numPr>
        <w:spacing w:after="240"/>
        <w:ind w:left="284" w:hanging="284"/>
        <w:contextualSpacing w:val="0"/>
        <w:jc w:val="both"/>
        <w:rPr>
          <w:sz w:val="22"/>
          <w:szCs w:val="22"/>
        </w:rPr>
      </w:pPr>
      <w:r>
        <w:rPr>
          <w:sz w:val="22"/>
          <w:szCs w:val="22"/>
        </w:rPr>
        <w:t>Úhrada bude provedena na základě daňového dokladu (faktury), vystaveného Poskytovatelem a splatného před započetím stáže. Doklad o uhrazení výše uvedené ceny je stážista povinen předložit Poskytovateli nejpozději v den nástupu na stáž.</w:t>
      </w:r>
    </w:p>
    <w:p w14:paraId="223ABAA3" w14:textId="643A6FC7" w:rsidR="00C643DF" w:rsidRPr="009A328C" w:rsidRDefault="00C643DF" w:rsidP="004E6323">
      <w:pPr>
        <w:jc w:val="center"/>
        <w:rPr>
          <w:b/>
          <w:sz w:val="22"/>
          <w:szCs w:val="22"/>
        </w:rPr>
      </w:pPr>
      <w:r w:rsidRPr="009A328C">
        <w:rPr>
          <w:b/>
          <w:sz w:val="22"/>
          <w:szCs w:val="22"/>
        </w:rPr>
        <w:t xml:space="preserve">Čl. </w:t>
      </w:r>
      <w:r>
        <w:rPr>
          <w:b/>
          <w:sz w:val="22"/>
          <w:szCs w:val="22"/>
        </w:rPr>
        <w:t>7</w:t>
      </w:r>
    </w:p>
    <w:p w14:paraId="4216B251" w14:textId="77777777" w:rsidR="00C643DF" w:rsidRPr="009A328C" w:rsidRDefault="00C643DF" w:rsidP="004E6323">
      <w:pPr>
        <w:spacing w:after="120"/>
        <w:jc w:val="center"/>
        <w:rPr>
          <w:b/>
          <w:sz w:val="22"/>
          <w:szCs w:val="22"/>
        </w:rPr>
      </w:pPr>
      <w:r w:rsidRPr="009A328C">
        <w:rPr>
          <w:b/>
          <w:sz w:val="22"/>
          <w:szCs w:val="22"/>
        </w:rPr>
        <w:t>Doručování písemností</w:t>
      </w:r>
    </w:p>
    <w:p w14:paraId="7BC3A29E" w14:textId="77777777" w:rsidR="00C643DF" w:rsidRPr="009A328C" w:rsidRDefault="00C643DF" w:rsidP="004E6323">
      <w:pPr>
        <w:pStyle w:val="Odstavecseseznamem"/>
        <w:keepLines/>
        <w:numPr>
          <w:ilvl w:val="0"/>
          <w:numId w:val="33"/>
        </w:numPr>
        <w:spacing w:after="120"/>
        <w:ind w:left="284" w:hanging="284"/>
        <w:contextualSpacing w:val="0"/>
        <w:jc w:val="both"/>
        <w:rPr>
          <w:sz w:val="22"/>
          <w:szCs w:val="20"/>
        </w:rPr>
      </w:pPr>
      <w:r w:rsidRPr="009A328C">
        <w:rPr>
          <w:sz w:val="22"/>
          <w:szCs w:val="20"/>
        </w:rPr>
        <w:t>Smluvní strany se dohodly, že pro doručování veškerých písemných zásilek souvisejících se vzájemnými vztahy dle této smlouvy platí následující ujednání.</w:t>
      </w:r>
    </w:p>
    <w:p w14:paraId="1B427565" w14:textId="77777777" w:rsidR="00C643DF" w:rsidRPr="009A328C" w:rsidRDefault="00C643DF" w:rsidP="004E6323">
      <w:pPr>
        <w:pStyle w:val="Odstavecseseznamem"/>
        <w:keepLines/>
        <w:numPr>
          <w:ilvl w:val="0"/>
          <w:numId w:val="33"/>
        </w:numPr>
        <w:spacing w:after="120"/>
        <w:ind w:left="284" w:hanging="284"/>
        <w:contextualSpacing w:val="0"/>
        <w:jc w:val="both"/>
        <w:rPr>
          <w:sz w:val="22"/>
          <w:szCs w:val="20"/>
        </w:rPr>
      </w:pPr>
      <w:r w:rsidRPr="009A328C">
        <w:rPr>
          <w:sz w:val="22"/>
          <w:szCs w:val="20"/>
        </w:rPr>
        <w:t xml:space="preserve">Smluvní strany si budou doručovat písemnosti na dohodnuté doručovací adresy. Dohodnutou doručovací adresou se rozumí adresa sídla nebo místa podnikání dotčené smluvní strany uvedená v záhlaví této smlouvy, případně jiná kontaktní adresa uvedená v záhlaví této smlouvy (včetně ID datové schránky). Doručí-li smluvní strana druhé smluvní straně písemné oznámení o změně doručovací adresy, rozumí se dohodnutou doručovací adresou dotčené smluvní strany nově sdělená adresa. </w:t>
      </w:r>
    </w:p>
    <w:p w14:paraId="5F9E700B" w14:textId="77777777" w:rsidR="00C643DF" w:rsidRPr="009A328C" w:rsidRDefault="00C643DF" w:rsidP="004E6323">
      <w:pPr>
        <w:pStyle w:val="Odstavecseseznamem"/>
        <w:keepLines/>
        <w:numPr>
          <w:ilvl w:val="0"/>
          <w:numId w:val="33"/>
        </w:numPr>
        <w:spacing w:after="120"/>
        <w:ind w:left="284" w:hanging="284"/>
        <w:contextualSpacing w:val="0"/>
        <w:jc w:val="both"/>
        <w:rPr>
          <w:sz w:val="22"/>
          <w:szCs w:val="20"/>
        </w:rPr>
      </w:pPr>
      <w:r w:rsidRPr="009A328C">
        <w:rPr>
          <w:sz w:val="22"/>
          <w:szCs w:val="20"/>
        </w:rPr>
        <w:t>Nevyzvedne-li si adresát zásilku, nebo nepodaří-li se mu zásilku doručit na dohodnutou doručovací adresu, nastávají právní účinky, které právní předpisy spojují s doručením právního úkonu, který byl obsahem zásilky.</w:t>
      </w:r>
    </w:p>
    <w:p w14:paraId="5C3D335B" w14:textId="77777777" w:rsidR="00C643DF" w:rsidRPr="009A328C" w:rsidRDefault="00C643DF" w:rsidP="004E6323">
      <w:pPr>
        <w:pStyle w:val="Odstavecseseznamem"/>
        <w:keepLines/>
        <w:numPr>
          <w:ilvl w:val="0"/>
          <w:numId w:val="33"/>
        </w:numPr>
        <w:spacing w:after="240"/>
        <w:ind w:left="284" w:hanging="284"/>
        <w:contextualSpacing w:val="0"/>
        <w:jc w:val="both"/>
        <w:rPr>
          <w:sz w:val="22"/>
          <w:szCs w:val="20"/>
        </w:rPr>
      </w:pPr>
      <w:r w:rsidRPr="009A328C">
        <w:rPr>
          <w:sz w:val="22"/>
          <w:szCs w:val="20"/>
        </w:rPr>
        <w:t xml:space="preserve">Smluvní strany jsou povinny pravidelně přebírat poštu, případně zajistit její pravidelné přebírání na své doručovací adrese. Při změně sídla podnikání smluvní strany, je tato smluvní strana povinna neprodleně písemně informovat o této skutečnosti druhou smluvní stranu a oznámit ji písemně adresu, která bude její novou doručovací adresou. </w:t>
      </w:r>
    </w:p>
    <w:p w14:paraId="1464323E" w14:textId="0FA55F1A" w:rsidR="00E421D9" w:rsidRPr="00E421D9" w:rsidRDefault="00E421D9" w:rsidP="004E6323">
      <w:pPr>
        <w:jc w:val="center"/>
        <w:rPr>
          <w:b/>
          <w:sz w:val="22"/>
          <w:szCs w:val="22"/>
        </w:rPr>
      </w:pPr>
      <w:r>
        <w:rPr>
          <w:b/>
          <w:sz w:val="22"/>
          <w:szCs w:val="22"/>
        </w:rPr>
        <w:t xml:space="preserve">Čl. </w:t>
      </w:r>
      <w:r w:rsidR="004E6323">
        <w:rPr>
          <w:b/>
          <w:sz w:val="22"/>
          <w:szCs w:val="22"/>
        </w:rPr>
        <w:t>8</w:t>
      </w:r>
    </w:p>
    <w:p w14:paraId="62E82F57" w14:textId="2826FE57" w:rsidR="00E421D9" w:rsidRDefault="00E421D9" w:rsidP="004E6323">
      <w:pPr>
        <w:spacing w:after="120"/>
        <w:jc w:val="center"/>
        <w:rPr>
          <w:b/>
          <w:sz w:val="22"/>
          <w:szCs w:val="22"/>
        </w:rPr>
      </w:pPr>
      <w:r>
        <w:rPr>
          <w:b/>
          <w:sz w:val="22"/>
          <w:szCs w:val="22"/>
        </w:rPr>
        <w:t>Závěrečná ustanovení</w:t>
      </w:r>
    </w:p>
    <w:p w14:paraId="7955A1A1" w14:textId="77777777" w:rsidR="00E421D9" w:rsidRDefault="00E421D9" w:rsidP="004E6323">
      <w:pPr>
        <w:pStyle w:val="Odstavecseseznamem"/>
        <w:numPr>
          <w:ilvl w:val="0"/>
          <w:numId w:val="30"/>
        </w:numPr>
        <w:spacing w:after="120"/>
        <w:ind w:left="284" w:hanging="284"/>
        <w:contextualSpacing w:val="0"/>
        <w:jc w:val="both"/>
        <w:rPr>
          <w:sz w:val="22"/>
          <w:szCs w:val="22"/>
        </w:rPr>
      </w:pPr>
      <w:r>
        <w:rPr>
          <w:sz w:val="22"/>
          <w:szCs w:val="22"/>
        </w:rPr>
        <w:t>Práva a povinnosti smluvních stran v této smlouvě výslovně neupravené se řídí platnými právními předpisy České republiky, zejména občanským zákoníkem.</w:t>
      </w:r>
    </w:p>
    <w:p w14:paraId="2C28087B" w14:textId="77777777" w:rsidR="00E421D9" w:rsidRDefault="00E421D9" w:rsidP="004E6323">
      <w:pPr>
        <w:pStyle w:val="Odstavecseseznamem"/>
        <w:numPr>
          <w:ilvl w:val="0"/>
          <w:numId w:val="30"/>
        </w:numPr>
        <w:spacing w:after="120"/>
        <w:ind w:left="284" w:hanging="284"/>
        <w:contextualSpacing w:val="0"/>
        <w:jc w:val="both"/>
        <w:rPr>
          <w:sz w:val="22"/>
          <w:szCs w:val="22"/>
        </w:rPr>
      </w:pPr>
      <w:r w:rsidRPr="00E421D9">
        <w:rPr>
          <w:sz w:val="22"/>
          <w:szCs w:val="22"/>
        </w:rPr>
        <w:t>Smlouva nabývá platnosti a účinnosti dnem jejího podpisu poslední ze smluvních stran, nemá-li nabýt v souladu se zákonem č. 340/2015 Sb., o zvláštních podmínkách účinnosti některých smluv, uveřejňování smluv a o registru smluv, v platném a účinném znění, účinnosti pozdější. Poskytovatel v takovém případě zajistí uveřejnění toto smlouvy v registru smluv.</w:t>
      </w:r>
    </w:p>
    <w:p w14:paraId="61C4D2B6" w14:textId="77777777" w:rsidR="00E421D9" w:rsidRDefault="00E421D9" w:rsidP="004E6323">
      <w:pPr>
        <w:pStyle w:val="Odstavecseseznamem"/>
        <w:numPr>
          <w:ilvl w:val="0"/>
          <w:numId w:val="30"/>
        </w:numPr>
        <w:spacing w:after="120"/>
        <w:ind w:left="284" w:hanging="284"/>
        <w:contextualSpacing w:val="0"/>
        <w:jc w:val="both"/>
        <w:rPr>
          <w:sz w:val="22"/>
          <w:szCs w:val="22"/>
        </w:rPr>
      </w:pPr>
      <w:r w:rsidRPr="00E421D9">
        <w:rPr>
          <w:sz w:val="22"/>
          <w:szCs w:val="22"/>
        </w:rPr>
        <w:t>Tato smlouva může být změněna či doplněna pouze písemnými a vzestupně číslovanými dodatky podep</w:t>
      </w:r>
      <w:r>
        <w:rPr>
          <w:sz w:val="22"/>
          <w:szCs w:val="22"/>
        </w:rPr>
        <w:t>saným oběma smluvními stranami.</w:t>
      </w:r>
    </w:p>
    <w:p w14:paraId="026E8AF6" w14:textId="77777777" w:rsidR="00E421D9" w:rsidRDefault="00E421D9" w:rsidP="004E6323">
      <w:pPr>
        <w:pStyle w:val="Odstavecseseznamem"/>
        <w:numPr>
          <w:ilvl w:val="0"/>
          <w:numId w:val="30"/>
        </w:numPr>
        <w:spacing w:after="120"/>
        <w:ind w:left="284" w:hanging="284"/>
        <w:contextualSpacing w:val="0"/>
        <w:jc w:val="both"/>
        <w:rPr>
          <w:sz w:val="22"/>
          <w:szCs w:val="22"/>
        </w:rPr>
      </w:pPr>
      <w:r w:rsidRPr="00E421D9">
        <w:rPr>
          <w:sz w:val="22"/>
          <w:szCs w:val="22"/>
        </w:rPr>
        <w:t>Tato smlouva je vyhotovena ve</w:t>
      </w:r>
      <w:r>
        <w:rPr>
          <w:sz w:val="22"/>
          <w:szCs w:val="22"/>
        </w:rPr>
        <w:t xml:space="preserve"> čtyřech</w:t>
      </w:r>
      <w:r w:rsidRPr="00E421D9">
        <w:rPr>
          <w:sz w:val="22"/>
          <w:szCs w:val="22"/>
        </w:rPr>
        <w:t xml:space="preserve"> (</w:t>
      </w:r>
      <w:r>
        <w:rPr>
          <w:sz w:val="22"/>
          <w:szCs w:val="22"/>
        </w:rPr>
        <w:t>4</w:t>
      </w:r>
      <w:r w:rsidRPr="00E421D9">
        <w:rPr>
          <w:sz w:val="22"/>
          <w:szCs w:val="22"/>
        </w:rPr>
        <w:t xml:space="preserve">) stejnopisech, z nichž </w:t>
      </w:r>
      <w:r>
        <w:rPr>
          <w:sz w:val="22"/>
          <w:szCs w:val="22"/>
          <w:shd w:val="clear" w:color="auto" w:fill="FFFFFF" w:themeFill="background1"/>
        </w:rPr>
        <w:t xml:space="preserve">Vysílajícímu zdravotnickému zařízení náleží dvě (2) </w:t>
      </w:r>
      <w:r w:rsidRPr="00E421D9">
        <w:rPr>
          <w:sz w:val="22"/>
          <w:szCs w:val="22"/>
        </w:rPr>
        <w:t xml:space="preserve">vyhotovení, a Poskytovateli náleží dvě (2) vyhotovení, bude-li tato smlouva uzavřena v listinné podobě. V případě, že je tato smlouva vyhotovena v elektronické podobě, jedná se o jedno (1) vyhotovení s elektronickými podpisy </w:t>
      </w:r>
      <w:r>
        <w:rPr>
          <w:sz w:val="22"/>
          <w:szCs w:val="22"/>
          <w:shd w:val="clear" w:color="auto" w:fill="FFFFFF" w:themeFill="background1"/>
        </w:rPr>
        <w:t>Vysílajícího zdravotnického zařízení</w:t>
      </w:r>
      <w:r w:rsidRPr="00E421D9">
        <w:rPr>
          <w:sz w:val="22"/>
          <w:szCs w:val="22"/>
          <w:shd w:val="clear" w:color="auto" w:fill="FFFFFF" w:themeFill="background1"/>
        </w:rPr>
        <w:t xml:space="preserve"> i Poskytovatele</w:t>
      </w:r>
      <w:r w:rsidRPr="00E421D9">
        <w:rPr>
          <w:sz w:val="22"/>
          <w:szCs w:val="22"/>
        </w:rPr>
        <w:t xml:space="preserve"> v souladu se zákonem č. 297/2016 Sb., o službách vytvářejících důvěru pro elektronické transakce, ve znění pozdějších předpisů</w:t>
      </w:r>
      <w:r>
        <w:rPr>
          <w:sz w:val="22"/>
          <w:szCs w:val="22"/>
        </w:rPr>
        <w:t>.</w:t>
      </w:r>
    </w:p>
    <w:p w14:paraId="0F3D8DA7" w14:textId="77777777" w:rsidR="00E421D9" w:rsidRDefault="00E421D9" w:rsidP="004E6323">
      <w:pPr>
        <w:pStyle w:val="Odstavecseseznamem"/>
        <w:numPr>
          <w:ilvl w:val="0"/>
          <w:numId w:val="30"/>
        </w:numPr>
        <w:spacing w:after="120"/>
        <w:ind w:left="284" w:hanging="284"/>
        <w:contextualSpacing w:val="0"/>
        <w:jc w:val="both"/>
        <w:rPr>
          <w:sz w:val="22"/>
          <w:szCs w:val="22"/>
        </w:rPr>
      </w:pPr>
      <w:r w:rsidRPr="00E421D9">
        <w:rPr>
          <w:sz w:val="22"/>
          <w:szCs w:val="22"/>
        </w:rPr>
        <w:t xml:space="preserve">Pokud některé ustanovení této smlouvy je nebo se stane neplatným či neúčinným, neplatnost či neúčinnost tohoto ustanovení nebude mít za následek neplatnost této smlouvy jako celku ani jiných ustanovení této smlouvy, jestliže je takovéto neplatné či neúčinné ustanovení oddělitelné od zbytku </w:t>
      </w:r>
      <w:r w:rsidRPr="00E421D9">
        <w:rPr>
          <w:sz w:val="22"/>
          <w:szCs w:val="22"/>
        </w:rPr>
        <w:lastRenderedPageBreak/>
        <w:t>této smlouvy. Smluvní strany se zavazují, že bez zbytečného odkladu poté, co neplatnost či neúplnost zjistí, nahradí toto neplatné či neúčinné ustanovení novým, platným a účinným ustanovením, který svým obsahem bude co nejvěrněji odpovídat podstatě a smyslu původního ustanovení.</w:t>
      </w:r>
    </w:p>
    <w:p w14:paraId="2444DC6C" w14:textId="77777777" w:rsidR="00E421D9" w:rsidRDefault="00E421D9" w:rsidP="004E6323">
      <w:pPr>
        <w:pStyle w:val="Odstavecseseznamem"/>
        <w:numPr>
          <w:ilvl w:val="0"/>
          <w:numId w:val="30"/>
        </w:numPr>
        <w:spacing w:after="120"/>
        <w:ind w:left="284" w:hanging="284"/>
        <w:contextualSpacing w:val="0"/>
        <w:jc w:val="both"/>
        <w:rPr>
          <w:sz w:val="22"/>
          <w:szCs w:val="22"/>
        </w:rPr>
      </w:pPr>
      <w:r w:rsidRPr="00E421D9">
        <w:rPr>
          <w:sz w:val="22"/>
          <w:szCs w:val="22"/>
        </w:rPr>
        <w:t xml:space="preserve">Smluvní strany se zavazují řešit veškeré spory vzniklé z této smlouvy především smírnou cestou. Pokud takové řešení nebude možné, bude spor předložen příslušnému soudu;  smluvní strany </w:t>
      </w:r>
      <w:proofErr w:type="gramStart"/>
      <w:r w:rsidRPr="00E421D9">
        <w:rPr>
          <w:sz w:val="22"/>
          <w:szCs w:val="22"/>
        </w:rPr>
        <w:t>se</w:t>
      </w:r>
      <w:proofErr w:type="gramEnd"/>
      <w:r w:rsidRPr="00E421D9">
        <w:rPr>
          <w:sz w:val="22"/>
          <w:szCs w:val="22"/>
        </w:rPr>
        <w:t xml:space="preserve"> ve smyslu </w:t>
      </w:r>
      <w:proofErr w:type="spellStart"/>
      <w:r w:rsidRPr="00E421D9">
        <w:rPr>
          <w:sz w:val="22"/>
          <w:szCs w:val="22"/>
        </w:rPr>
        <w:t>ust</w:t>
      </w:r>
      <w:proofErr w:type="spellEnd"/>
      <w:r w:rsidRPr="00E421D9">
        <w:rPr>
          <w:sz w:val="22"/>
          <w:szCs w:val="22"/>
        </w:rPr>
        <w:t>. § 89a zákona č. 99/1963 Sb., občanský soudní řád, ve znění pozdějších předpisů, dohodly, že místně příslušným soudem k projednání a rozhodnutí sporů a jiných právních věcí vyplývajících z touto smlouvou založeného právního vztahu, jakož i ze vztahů souvisejících, je v případě, že je k projednání věci věcně příslušný krajský soud, Městský soud v Praze, a v případě, že je věcně příslušný okresní soud, Obvodní soud pro Prahu 5.</w:t>
      </w:r>
    </w:p>
    <w:p w14:paraId="17B9698F" w14:textId="77777777" w:rsidR="00E421D9" w:rsidRDefault="00E421D9" w:rsidP="004E6323">
      <w:pPr>
        <w:pStyle w:val="Odstavecseseznamem"/>
        <w:numPr>
          <w:ilvl w:val="0"/>
          <w:numId w:val="30"/>
        </w:numPr>
        <w:spacing w:after="120"/>
        <w:ind w:left="284" w:hanging="284"/>
        <w:contextualSpacing w:val="0"/>
        <w:jc w:val="both"/>
        <w:rPr>
          <w:sz w:val="22"/>
          <w:szCs w:val="22"/>
        </w:rPr>
      </w:pPr>
      <w:r w:rsidRPr="00E421D9">
        <w:rPr>
          <w:sz w:val="22"/>
          <w:szCs w:val="22"/>
        </w:rPr>
        <w:t>Žádná ze smluvních stran nepostoupí práva a povinnosti vyplývající z této smlouvy bez předchozího písemného souhlasu druhé smluvní strany. Jakékoliv postoupení v rozporu s podmínkami této smlouvy bude neplatné a neúčinné.</w:t>
      </w:r>
    </w:p>
    <w:p w14:paraId="611214F7" w14:textId="77777777" w:rsidR="00C643DF" w:rsidRDefault="00E421D9" w:rsidP="004E6323">
      <w:pPr>
        <w:pStyle w:val="Odstavecseseznamem"/>
        <w:numPr>
          <w:ilvl w:val="0"/>
          <w:numId w:val="30"/>
        </w:numPr>
        <w:spacing w:after="120"/>
        <w:ind w:left="284" w:hanging="284"/>
        <w:contextualSpacing w:val="0"/>
        <w:jc w:val="both"/>
        <w:rPr>
          <w:sz w:val="22"/>
          <w:szCs w:val="22"/>
        </w:rPr>
      </w:pPr>
      <w:r w:rsidRPr="00E421D9">
        <w:rPr>
          <w:sz w:val="22"/>
          <w:szCs w:val="22"/>
        </w:rPr>
        <w:t>Smluvní strany jsou oprávněny provádět započtení pohledávek pouze na základě dohody smluvních stran.</w:t>
      </w:r>
    </w:p>
    <w:p w14:paraId="5872538B" w14:textId="558720BF" w:rsidR="00E421D9" w:rsidRDefault="00E421D9" w:rsidP="004E6323">
      <w:pPr>
        <w:pStyle w:val="Odstavecseseznamem"/>
        <w:numPr>
          <w:ilvl w:val="0"/>
          <w:numId w:val="30"/>
        </w:numPr>
        <w:spacing w:after="120"/>
        <w:ind w:left="284" w:hanging="284"/>
        <w:contextualSpacing w:val="0"/>
        <w:jc w:val="both"/>
        <w:rPr>
          <w:sz w:val="22"/>
          <w:szCs w:val="22"/>
        </w:rPr>
      </w:pPr>
      <w:r w:rsidRPr="00E421D9">
        <w:rPr>
          <w:sz w:val="22"/>
          <w:szCs w:val="22"/>
        </w:rPr>
        <w:t>Smluvní strany výslovně prohlašují, že si smlouvu přečetly a shledaly, že její obsah přesně odpovídá jejich pravé a svobodné vůli a zakládá právní následky, jejichž dosažení svým jednáním sledovaly, a proto ji níže, prosti omylu, liti a nikoliv v tísni, či za nápadně nevýhodných podmínek pro jednu stranu, na důkaz oho podepisují.</w:t>
      </w:r>
    </w:p>
    <w:p w14:paraId="0FEA4B65" w14:textId="77777777" w:rsidR="00E421D9" w:rsidRPr="00E421D9" w:rsidRDefault="00E421D9" w:rsidP="004E6323">
      <w:pPr>
        <w:spacing w:after="120"/>
        <w:jc w:val="both"/>
        <w:rPr>
          <w:sz w:val="22"/>
          <w:szCs w:val="22"/>
        </w:rPr>
      </w:pPr>
    </w:p>
    <w:tbl>
      <w:tblPr>
        <w:tblStyle w:val="Mkatabulky"/>
        <w:tblpPr w:leftFromText="141" w:rightFromText="141" w:vertAnchor="text" w:horzAnchor="margin"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7"/>
      </w:tblGrid>
      <w:tr w:rsidR="00E421D9" w14:paraId="3A769FF3" w14:textId="77777777" w:rsidTr="00C90C67">
        <w:tc>
          <w:tcPr>
            <w:tcW w:w="4815" w:type="dxa"/>
          </w:tcPr>
          <w:p w14:paraId="2BBD8B5A" w14:textId="77777777" w:rsidR="00E421D9" w:rsidRDefault="00E421D9" w:rsidP="004E6323">
            <w:pPr>
              <w:rPr>
                <w:sz w:val="22"/>
                <w:szCs w:val="22"/>
              </w:rPr>
            </w:pPr>
          </w:p>
          <w:p w14:paraId="58D7C604" w14:textId="18B325CB" w:rsidR="00E421D9" w:rsidRPr="00E421D9" w:rsidRDefault="00E421D9" w:rsidP="004E6323">
            <w:pPr>
              <w:rPr>
                <w:sz w:val="22"/>
                <w:szCs w:val="22"/>
              </w:rPr>
            </w:pPr>
            <w:r w:rsidRPr="00E421D9">
              <w:rPr>
                <w:sz w:val="22"/>
                <w:szCs w:val="22"/>
              </w:rPr>
              <w:t>V Praze dne ………………….</w:t>
            </w:r>
          </w:p>
        </w:tc>
        <w:tc>
          <w:tcPr>
            <w:tcW w:w="4247" w:type="dxa"/>
          </w:tcPr>
          <w:p w14:paraId="653904BB" w14:textId="77777777" w:rsidR="00E421D9" w:rsidRDefault="00E421D9" w:rsidP="004E6323">
            <w:pPr>
              <w:rPr>
                <w:sz w:val="22"/>
                <w:szCs w:val="22"/>
              </w:rPr>
            </w:pPr>
          </w:p>
          <w:p w14:paraId="68D47AC4" w14:textId="611B091A" w:rsidR="00E421D9" w:rsidRDefault="00E421D9" w:rsidP="004E6323">
            <w:pPr>
              <w:rPr>
                <w:sz w:val="22"/>
                <w:szCs w:val="22"/>
              </w:rPr>
            </w:pPr>
            <w:r>
              <w:rPr>
                <w:sz w:val="22"/>
                <w:szCs w:val="22"/>
              </w:rPr>
              <w:t>V Praze dne ………………….</w:t>
            </w:r>
          </w:p>
        </w:tc>
      </w:tr>
    </w:tbl>
    <w:p w14:paraId="73E2F295" w14:textId="77777777" w:rsidR="00E421D9" w:rsidRPr="00AE2336" w:rsidRDefault="00E421D9" w:rsidP="00E421D9">
      <w:pPr>
        <w:rPr>
          <w:sz w:val="22"/>
          <w:szCs w:val="22"/>
        </w:rPr>
      </w:pPr>
    </w:p>
    <w:p w14:paraId="64813F01" w14:textId="77777777" w:rsidR="00E421D9" w:rsidRDefault="00E421D9" w:rsidP="00E421D9">
      <w:pPr>
        <w:tabs>
          <w:tab w:val="left" w:pos="851"/>
        </w:tabs>
        <w:ind w:left="567" w:right="-142" w:hanging="567"/>
        <w:jc w:val="both"/>
        <w:rPr>
          <w:sz w:val="22"/>
          <w:szCs w:val="22"/>
        </w:rPr>
      </w:pPr>
    </w:p>
    <w:p w14:paraId="4D5AF363" w14:textId="77777777" w:rsidR="00E421D9" w:rsidRDefault="00E421D9" w:rsidP="00E421D9">
      <w:pPr>
        <w:tabs>
          <w:tab w:val="left" w:pos="851"/>
        </w:tabs>
        <w:ind w:left="567" w:right="-142" w:hanging="567"/>
        <w:jc w:val="both"/>
        <w:rPr>
          <w:sz w:val="22"/>
          <w:szCs w:val="22"/>
        </w:rPr>
      </w:pPr>
    </w:p>
    <w:p w14:paraId="3537F7A1" w14:textId="77777777" w:rsidR="00E421D9" w:rsidRDefault="00E421D9" w:rsidP="00E421D9">
      <w:pPr>
        <w:tabs>
          <w:tab w:val="left" w:pos="851"/>
        </w:tabs>
        <w:ind w:left="567" w:right="-142" w:hanging="567"/>
        <w:jc w:val="both"/>
        <w:rPr>
          <w:sz w:val="22"/>
          <w:szCs w:val="22"/>
        </w:rPr>
      </w:pPr>
    </w:p>
    <w:tbl>
      <w:tblPr>
        <w:tblStyle w:val="Mkatabulky"/>
        <w:tblW w:w="9557" w:type="dxa"/>
        <w:tblLook w:val="04A0" w:firstRow="1" w:lastRow="0" w:firstColumn="1" w:lastColumn="0" w:noHBand="0" w:noVBand="1"/>
      </w:tblPr>
      <w:tblGrid>
        <w:gridCol w:w="5078"/>
        <w:gridCol w:w="4479"/>
      </w:tblGrid>
      <w:tr w:rsidR="00E421D9" w14:paraId="51276FDA" w14:textId="77777777" w:rsidTr="00C90C67">
        <w:trPr>
          <w:trHeight w:hRule="exact" w:val="320"/>
        </w:trPr>
        <w:tc>
          <w:tcPr>
            <w:tcW w:w="5078" w:type="dxa"/>
            <w:tcBorders>
              <w:top w:val="nil"/>
              <w:left w:val="nil"/>
              <w:bottom w:val="nil"/>
              <w:right w:val="nil"/>
            </w:tcBorders>
          </w:tcPr>
          <w:p w14:paraId="3F23AD16" w14:textId="77777777" w:rsidR="00E421D9" w:rsidRPr="00ED029F" w:rsidRDefault="00E421D9" w:rsidP="00C90C67">
            <w:pPr>
              <w:spacing w:after="120"/>
              <w:rPr>
                <w:sz w:val="22"/>
                <w:szCs w:val="22"/>
              </w:rPr>
            </w:pPr>
            <w:r w:rsidRPr="00AE2336">
              <w:rPr>
                <w:sz w:val="22"/>
                <w:szCs w:val="22"/>
              </w:rPr>
              <w:t>…………………………………</w:t>
            </w:r>
          </w:p>
        </w:tc>
        <w:tc>
          <w:tcPr>
            <w:tcW w:w="4479" w:type="dxa"/>
            <w:tcBorders>
              <w:top w:val="nil"/>
              <w:left w:val="nil"/>
              <w:bottom w:val="nil"/>
              <w:right w:val="nil"/>
            </w:tcBorders>
          </w:tcPr>
          <w:p w14:paraId="56B3F76A" w14:textId="77777777" w:rsidR="00E421D9" w:rsidRPr="00AE2336" w:rsidRDefault="00E421D9" w:rsidP="00C90C67">
            <w:pPr>
              <w:spacing w:after="120"/>
              <w:rPr>
                <w:b/>
                <w:bCs/>
                <w:sz w:val="22"/>
                <w:szCs w:val="22"/>
              </w:rPr>
            </w:pPr>
            <w:r w:rsidRPr="00AE2336">
              <w:rPr>
                <w:sz w:val="22"/>
                <w:szCs w:val="22"/>
              </w:rPr>
              <w:t>…………………………………</w:t>
            </w:r>
          </w:p>
        </w:tc>
      </w:tr>
      <w:tr w:rsidR="00E421D9" w14:paraId="01BBC424" w14:textId="77777777" w:rsidTr="00C90C67">
        <w:trPr>
          <w:trHeight w:hRule="exact" w:val="320"/>
        </w:trPr>
        <w:tc>
          <w:tcPr>
            <w:tcW w:w="5078" w:type="dxa"/>
            <w:tcBorders>
              <w:top w:val="nil"/>
              <w:left w:val="nil"/>
              <w:bottom w:val="nil"/>
              <w:right w:val="nil"/>
            </w:tcBorders>
          </w:tcPr>
          <w:p w14:paraId="70FAEFEF" w14:textId="35C0C05B" w:rsidR="00E421D9" w:rsidRPr="00B83F69" w:rsidRDefault="00580004" w:rsidP="00C90C67">
            <w:pPr>
              <w:spacing w:after="120"/>
              <w:rPr>
                <w:sz w:val="22"/>
                <w:szCs w:val="22"/>
              </w:rPr>
            </w:pPr>
            <w:r>
              <w:rPr>
                <w:b/>
                <w:bCs/>
                <w:color w:val="000000"/>
                <w:sz w:val="22"/>
                <w:szCs w:val="22"/>
              </w:rPr>
              <w:t>za Poskytovatele</w:t>
            </w:r>
          </w:p>
        </w:tc>
        <w:tc>
          <w:tcPr>
            <w:tcW w:w="4479" w:type="dxa"/>
            <w:tcBorders>
              <w:top w:val="nil"/>
              <w:left w:val="nil"/>
              <w:bottom w:val="nil"/>
              <w:right w:val="nil"/>
            </w:tcBorders>
          </w:tcPr>
          <w:p w14:paraId="65D399AF" w14:textId="50D2B467" w:rsidR="00E421D9" w:rsidRPr="00B83F69" w:rsidRDefault="00580004" w:rsidP="00C90C67">
            <w:pPr>
              <w:spacing w:after="120"/>
              <w:rPr>
                <w:sz w:val="22"/>
                <w:szCs w:val="22"/>
              </w:rPr>
            </w:pPr>
            <w:r>
              <w:rPr>
                <w:b/>
                <w:sz w:val="22"/>
                <w:szCs w:val="22"/>
                <w:lang w:eastAsia="ar-SA"/>
              </w:rPr>
              <w:t>za Vysílající zdravotnické zařízení</w:t>
            </w:r>
          </w:p>
        </w:tc>
      </w:tr>
      <w:tr w:rsidR="00E421D9" w14:paraId="061457B3" w14:textId="77777777" w:rsidTr="00C90C67">
        <w:trPr>
          <w:trHeight w:hRule="exact" w:val="320"/>
        </w:trPr>
        <w:tc>
          <w:tcPr>
            <w:tcW w:w="5078" w:type="dxa"/>
            <w:tcBorders>
              <w:top w:val="nil"/>
              <w:left w:val="nil"/>
              <w:bottom w:val="nil"/>
              <w:right w:val="nil"/>
            </w:tcBorders>
          </w:tcPr>
          <w:p w14:paraId="1B604C55" w14:textId="742852FD" w:rsidR="00E421D9" w:rsidRDefault="00E421D9" w:rsidP="00C90C67">
            <w:pPr>
              <w:spacing w:after="120"/>
              <w:rPr>
                <w:sz w:val="22"/>
                <w:szCs w:val="22"/>
              </w:rPr>
            </w:pPr>
            <w:bookmarkStart w:id="0" w:name="_GoBack"/>
            <w:bookmarkEnd w:id="0"/>
          </w:p>
        </w:tc>
        <w:tc>
          <w:tcPr>
            <w:tcW w:w="4479" w:type="dxa"/>
            <w:tcBorders>
              <w:top w:val="nil"/>
              <w:left w:val="nil"/>
              <w:bottom w:val="nil"/>
              <w:right w:val="nil"/>
            </w:tcBorders>
          </w:tcPr>
          <w:p w14:paraId="585D15A6" w14:textId="699FF0EB" w:rsidR="00E421D9" w:rsidRPr="00B83F69" w:rsidRDefault="00E421D9" w:rsidP="00C90C67">
            <w:pPr>
              <w:spacing w:after="120"/>
              <w:rPr>
                <w:b/>
                <w:sz w:val="22"/>
                <w:szCs w:val="22"/>
              </w:rPr>
            </w:pPr>
          </w:p>
        </w:tc>
      </w:tr>
      <w:tr w:rsidR="00E421D9" w14:paraId="1F9081FF" w14:textId="77777777" w:rsidTr="00C90C67">
        <w:trPr>
          <w:trHeight w:hRule="exact" w:val="320"/>
        </w:trPr>
        <w:tc>
          <w:tcPr>
            <w:tcW w:w="5078" w:type="dxa"/>
            <w:tcBorders>
              <w:top w:val="nil"/>
              <w:left w:val="nil"/>
              <w:bottom w:val="nil"/>
              <w:right w:val="nil"/>
            </w:tcBorders>
          </w:tcPr>
          <w:p w14:paraId="55753210" w14:textId="44FF5840" w:rsidR="00E421D9" w:rsidRDefault="00E421D9" w:rsidP="00C90C67">
            <w:pPr>
              <w:spacing w:after="120"/>
              <w:rPr>
                <w:sz w:val="22"/>
                <w:szCs w:val="22"/>
              </w:rPr>
            </w:pPr>
          </w:p>
        </w:tc>
        <w:tc>
          <w:tcPr>
            <w:tcW w:w="4479" w:type="dxa"/>
            <w:tcBorders>
              <w:top w:val="nil"/>
              <w:left w:val="nil"/>
              <w:bottom w:val="nil"/>
              <w:right w:val="nil"/>
            </w:tcBorders>
          </w:tcPr>
          <w:p w14:paraId="0C0E66F5" w14:textId="627A1B13" w:rsidR="00E421D9" w:rsidRDefault="00E421D9" w:rsidP="00C90C67">
            <w:pPr>
              <w:spacing w:after="120"/>
              <w:rPr>
                <w:sz w:val="22"/>
                <w:szCs w:val="22"/>
              </w:rPr>
            </w:pPr>
          </w:p>
        </w:tc>
      </w:tr>
    </w:tbl>
    <w:p w14:paraId="570B2825" w14:textId="4784D82F" w:rsidR="00E421D9" w:rsidRPr="00E421D9" w:rsidRDefault="00E421D9" w:rsidP="00E421D9">
      <w:pPr>
        <w:tabs>
          <w:tab w:val="left" w:pos="7774"/>
        </w:tabs>
      </w:pPr>
    </w:p>
    <w:p w14:paraId="4F422182" w14:textId="77777777" w:rsidR="00E421D9" w:rsidRPr="00E421D9" w:rsidRDefault="00E421D9" w:rsidP="00E421D9">
      <w:pPr>
        <w:spacing w:after="120"/>
        <w:jc w:val="both"/>
        <w:rPr>
          <w:sz w:val="22"/>
          <w:szCs w:val="22"/>
        </w:rPr>
      </w:pPr>
    </w:p>
    <w:p w14:paraId="7EB9A684" w14:textId="77777777" w:rsidR="009C494D" w:rsidRPr="009C494D" w:rsidRDefault="009C494D" w:rsidP="009C494D">
      <w:pPr>
        <w:spacing w:after="120"/>
        <w:jc w:val="both"/>
        <w:rPr>
          <w:sz w:val="22"/>
          <w:szCs w:val="22"/>
        </w:rPr>
      </w:pPr>
    </w:p>
    <w:sectPr w:rsidR="009C494D" w:rsidRPr="009C494D" w:rsidSect="003E02F0">
      <w:headerReference w:type="default" r:id="rId8"/>
      <w:footerReference w:type="default" r:id="rId9"/>
      <w:pgSz w:w="11906" w:h="16838"/>
      <w:pgMar w:top="1135" w:right="1417" w:bottom="1135" w:left="1417" w:header="284" w:footer="40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39B7" w16cex:dateUtc="2021-02-15T17:19:00Z"/>
  <w16cex:commentExtensible w16cex:durableId="23D539BB" w16cex:dateUtc="2021-02-15T17:19:00Z"/>
  <w16cex:commentExtensible w16cex:durableId="23D53A03" w16cex:dateUtc="2021-02-15T17:20:00Z"/>
  <w16cex:commentExtensible w16cex:durableId="23D53A07" w16cex:dateUtc="2021-02-15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6B6EE0" w16cid:durableId="23D53962"/>
  <w16cid:commentId w16cid:paraId="1D5EFFE0" w16cid:durableId="23D539B7"/>
  <w16cid:commentId w16cid:paraId="22A0AC1F" w16cid:durableId="23D53963"/>
  <w16cid:commentId w16cid:paraId="585316C7" w16cid:durableId="23D539BB"/>
  <w16cid:commentId w16cid:paraId="51D0926B" w16cid:durableId="23D53964"/>
  <w16cid:commentId w16cid:paraId="0B583E14" w16cid:durableId="23D53A03"/>
  <w16cid:commentId w16cid:paraId="22C3C491" w16cid:durableId="23D53965"/>
  <w16cid:commentId w16cid:paraId="7B2F41BE" w16cid:durableId="23D53A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FFB50" w14:textId="77777777" w:rsidR="00772ABE" w:rsidRDefault="00772ABE" w:rsidP="0027326B">
      <w:r>
        <w:separator/>
      </w:r>
    </w:p>
  </w:endnote>
  <w:endnote w:type="continuationSeparator" w:id="0">
    <w:p w14:paraId="541CFF7C" w14:textId="77777777" w:rsidR="00772ABE" w:rsidRDefault="00772ABE" w:rsidP="0027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780126"/>
      <w:docPartObj>
        <w:docPartGallery w:val="Page Numbers (Bottom of Page)"/>
        <w:docPartUnique/>
      </w:docPartObj>
    </w:sdtPr>
    <w:sdtEndPr/>
    <w:sdtContent>
      <w:sdt>
        <w:sdtPr>
          <w:id w:val="-1769616900"/>
          <w:docPartObj>
            <w:docPartGallery w:val="Page Numbers (Top of Page)"/>
            <w:docPartUnique/>
          </w:docPartObj>
        </w:sdtPr>
        <w:sdtEndPr/>
        <w:sdtContent>
          <w:p w14:paraId="604A9750" w14:textId="25E8FBB6" w:rsidR="00411FE8" w:rsidRDefault="00411FE8">
            <w:pPr>
              <w:pStyle w:val="Zpat"/>
              <w:jc w:val="right"/>
            </w:pPr>
            <w:proofErr w:type="gramStart"/>
            <w:r w:rsidRPr="00AC6CB3">
              <w:rPr>
                <w:sz w:val="18"/>
                <w:szCs w:val="18"/>
              </w:rPr>
              <w:t xml:space="preserve">Stránka </w:t>
            </w:r>
            <w:proofErr w:type="gramEnd"/>
            <w:r w:rsidRPr="00AC6CB3">
              <w:rPr>
                <w:b/>
                <w:bCs/>
                <w:sz w:val="18"/>
                <w:szCs w:val="18"/>
              </w:rPr>
              <w:fldChar w:fldCharType="begin"/>
            </w:r>
            <w:r w:rsidRPr="00AC6CB3">
              <w:rPr>
                <w:b/>
                <w:bCs/>
                <w:sz w:val="18"/>
                <w:szCs w:val="18"/>
              </w:rPr>
              <w:instrText>PAGE</w:instrText>
            </w:r>
            <w:r w:rsidRPr="00AC6CB3">
              <w:rPr>
                <w:b/>
                <w:bCs/>
                <w:sz w:val="18"/>
                <w:szCs w:val="18"/>
              </w:rPr>
              <w:fldChar w:fldCharType="separate"/>
            </w:r>
            <w:r w:rsidR="00872ECD">
              <w:rPr>
                <w:b/>
                <w:bCs/>
                <w:noProof/>
                <w:sz w:val="18"/>
                <w:szCs w:val="18"/>
              </w:rPr>
              <w:t>1</w:t>
            </w:r>
            <w:r w:rsidRPr="00AC6CB3">
              <w:rPr>
                <w:b/>
                <w:bCs/>
                <w:sz w:val="18"/>
                <w:szCs w:val="18"/>
              </w:rPr>
              <w:fldChar w:fldCharType="end"/>
            </w:r>
            <w:proofErr w:type="gramStart"/>
            <w:r w:rsidRPr="00AC6CB3">
              <w:rPr>
                <w:sz w:val="18"/>
                <w:szCs w:val="18"/>
              </w:rPr>
              <w:t xml:space="preserve"> z </w:t>
            </w:r>
            <w:proofErr w:type="gramEnd"/>
            <w:r w:rsidRPr="00AC6CB3">
              <w:rPr>
                <w:b/>
                <w:bCs/>
                <w:sz w:val="18"/>
                <w:szCs w:val="18"/>
              </w:rPr>
              <w:fldChar w:fldCharType="begin"/>
            </w:r>
            <w:r w:rsidRPr="00AC6CB3">
              <w:rPr>
                <w:b/>
                <w:bCs/>
                <w:sz w:val="18"/>
                <w:szCs w:val="18"/>
              </w:rPr>
              <w:instrText>NUMPAGES</w:instrText>
            </w:r>
            <w:r w:rsidRPr="00AC6CB3">
              <w:rPr>
                <w:b/>
                <w:bCs/>
                <w:sz w:val="18"/>
                <w:szCs w:val="18"/>
              </w:rPr>
              <w:fldChar w:fldCharType="separate"/>
            </w:r>
            <w:r w:rsidR="00872ECD">
              <w:rPr>
                <w:b/>
                <w:bCs/>
                <w:noProof/>
                <w:sz w:val="18"/>
                <w:szCs w:val="18"/>
              </w:rPr>
              <w:t>4</w:t>
            </w:r>
            <w:r w:rsidRPr="00AC6CB3">
              <w:rPr>
                <w:b/>
                <w:bCs/>
                <w:sz w:val="18"/>
                <w:szCs w:val="18"/>
              </w:rPr>
              <w:fldChar w:fldCharType="end"/>
            </w:r>
          </w:p>
        </w:sdtContent>
      </w:sdt>
    </w:sdtContent>
  </w:sdt>
  <w:p w14:paraId="452A0ED1" w14:textId="77777777" w:rsidR="00411FE8" w:rsidRDefault="00411F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33B37" w14:textId="77777777" w:rsidR="00772ABE" w:rsidRDefault="00772ABE" w:rsidP="0027326B">
      <w:r>
        <w:separator/>
      </w:r>
    </w:p>
  </w:footnote>
  <w:footnote w:type="continuationSeparator" w:id="0">
    <w:p w14:paraId="72C80CD7" w14:textId="77777777" w:rsidR="00772ABE" w:rsidRDefault="00772ABE" w:rsidP="0027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63CD" w14:textId="69B4FC54" w:rsidR="00411FE8" w:rsidRPr="00761BD4" w:rsidRDefault="00411FE8" w:rsidP="00EE4222">
    <w:pPr>
      <w:spacing w:before="120"/>
      <w:ind w:left="708"/>
      <w:jc w:val="both"/>
      <w:rPr>
        <w:rFonts w:ascii="Calibri" w:hAnsi="Calibri"/>
        <w:b/>
        <w:bCs/>
        <w:iCs/>
        <w:sz w:val="16"/>
        <w:szCs w:val="16"/>
      </w:rPr>
    </w:pPr>
    <w:r w:rsidRPr="00761BD4">
      <w:rPr>
        <w:rFonts w:ascii="Calibri" w:hAnsi="Calibri"/>
        <w:b/>
        <w:noProof/>
        <w:color w:val="1B587C"/>
        <w:szCs w:val="28"/>
      </w:rPr>
      <w:drawing>
        <wp:anchor distT="0" distB="0" distL="114300" distR="114300" simplePos="0" relativeHeight="251659264" behindDoc="1" locked="0" layoutInCell="1" allowOverlap="1" wp14:anchorId="10637827" wp14:editId="530535A0">
          <wp:simplePos x="0" y="0"/>
          <wp:positionH relativeFrom="column">
            <wp:posOffset>2095</wp:posOffset>
          </wp:positionH>
          <wp:positionV relativeFrom="paragraph">
            <wp:posOffset>72299</wp:posOffset>
          </wp:positionV>
          <wp:extent cx="391795" cy="379730"/>
          <wp:effectExtent l="0" t="0" r="8255" b="127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179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BD4">
      <w:rPr>
        <w:rFonts w:ascii="Calibri" w:hAnsi="Calibri"/>
        <w:b/>
        <w:bCs/>
        <w:iCs/>
        <w:sz w:val="16"/>
        <w:szCs w:val="16"/>
      </w:rPr>
      <w:t xml:space="preserve"> Roentgenova</w:t>
    </w:r>
    <w:r>
      <w:rPr>
        <w:rFonts w:ascii="Calibri" w:hAnsi="Calibri"/>
        <w:b/>
        <w:bCs/>
        <w:iCs/>
        <w:sz w:val="16"/>
        <w:szCs w:val="16"/>
      </w:rPr>
      <w:t xml:space="preserve"> 37/</w:t>
    </w:r>
    <w:r w:rsidRPr="00761BD4">
      <w:rPr>
        <w:rFonts w:ascii="Calibri" w:hAnsi="Calibri"/>
        <w:b/>
        <w:bCs/>
        <w:iCs/>
        <w:sz w:val="16"/>
        <w:szCs w:val="16"/>
      </w:rPr>
      <w:t xml:space="preserve"> 2, 150 30 Praha 5</w:t>
    </w:r>
  </w:p>
  <w:p w14:paraId="70A39C6A" w14:textId="77777777" w:rsidR="00411FE8" w:rsidRPr="00761BD4" w:rsidRDefault="00411FE8" w:rsidP="00EE4222">
    <w:pPr>
      <w:ind w:firstLine="708"/>
      <w:jc w:val="both"/>
      <w:rPr>
        <w:rFonts w:ascii="Calibri" w:hAnsi="Calibri"/>
        <w:b/>
        <w:bCs/>
        <w:iCs/>
        <w:sz w:val="16"/>
        <w:szCs w:val="16"/>
      </w:rPr>
    </w:pPr>
    <w:r>
      <w:rPr>
        <w:rFonts w:ascii="Calibri" w:hAnsi="Calibri"/>
        <w:sz w:val="16"/>
        <w:szCs w:val="16"/>
      </w:rPr>
      <w:t xml:space="preserve"> </w:t>
    </w:r>
    <w:r w:rsidRPr="00761BD4">
      <w:rPr>
        <w:rFonts w:ascii="Calibri" w:hAnsi="Calibri"/>
        <w:sz w:val="16"/>
        <w:szCs w:val="16"/>
      </w:rPr>
      <w:t>Tel.: +420 257 271 111</w:t>
    </w:r>
    <w:r w:rsidRPr="00761BD4">
      <w:rPr>
        <w:rFonts w:ascii="Calibri" w:hAnsi="Calibri"/>
        <w:b/>
        <w:bCs/>
        <w:iCs/>
        <w:sz w:val="16"/>
        <w:szCs w:val="16"/>
      </w:rPr>
      <w:t xml:space="preserve"> </w:t>
    </w:r>
  </w:p>
  <w:p w14:paraId="4FB492E8" w14:textId="77777777" w:rsidR="00411FE8" w:rsidRPr="00761BD4" w:rsidRDefault="00411FE8" w:rsidP="00EE4222">
    <w:pPr>
      <w:pStyle w:val="Zhlav"/>
      <w:rPr>
        <w:rFonts w:ascii="Calibri" w:hAnsi="Calibri"/>
      </w:rPr>
    </w:pPr>
    <w:r w:rsidRPr="00761BD4">
      <w:rPr>
        <w:rFonts w:ascii="Calibri" w:hAnsi="Calibri"/>
        <w:sz w:val="16"/>
        <w:szCs w:val="16"/>
      </w:rPr>
      <w:t xml:space="preserve">                 </w:t>
    </w:r>
    <w:r>
      <w:rPr>
        <w:rFonts w:ascii="Calibri" w:hAnsi="Calibri"/>
        <w:sz w:val="16"/>
        <w:szCs w:val="16"/>
      </w:rPr>
      <w:t xml:space="preserve">   </w:t>
    </w:r>
    <w:r w:rsidRPr="00761BD4">
      <w:rPr>
        <w:rFonts w:ascii="Calibri" w:hAnsi="Calibri"/>
        <w:sz w:val="16"/>
        <w:szCs w:val="16"/>
      </w:rPr>
      <w:t xml:space="preserve"> IČO: 00023884</w:t>
    </w:r>
  </w:p>
  <w:p w14:paraId="5D74A69F" w14:textId="77777777" w:rsidR="00411FE8" w:rsidRPr="00AC6CB3" w:rsidRDefault="00411FE8" w:rsidP="00EE4222">
    <w:pPr>
      <w:pStyle w:val="Zhlav"/>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AFE"/>
    <w:multiLevelType w:val="hybridMultilevel"/>
    <w:tmpl w:val="0FA0E01C"/>
    <w:lvl w:ilvl="0" w:tplc="7A6ACFA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927482D"/>
    <w:multiLevelType w:val="hybridMultilevel"/>
    <w:tmpl w:val="F112C580"/>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9523478"/>
    <w:multiLevelType w:val="hybridMultilevel"/>
    <w:tmpl w:val="917CD6CE"/>
    <w:lvl w:ilvl="0" w:tplc="463CC05E">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CBD58B3"/>
    <w:multiLevelType w:val="hybridMultilevel"/>
    <w:tmpl w:val="037E3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C304CC"/>
    <w:multiLevelType w:val="hybridMultilevel"/>
    <w:tmpl w:val="50A2DA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50F80"/>
    <w:multiLevelType w:val="hybridMultilevel"/>
    <w:tmpl w:val="53321D40"/>
    <w:lvl w:ilvl="0" w:tplc="63D2D8D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3A732B8"/>
    <w:multiLevelType w:val="hybridMultilevel"/>
    <w:tmpl w:val="5172E982"/>
    <w:lvl w:ilvl="0" w:tplc="D1788842">
      <w:start w:val="1"/>
      <w:numFmt w:val="decimal"/>
      <w:lvlText w:val="%1)"/>
      <w:lvlJc w:val="left"/>
      <w:pPr>
        <w:ind w:left="1440" w:hanging="360"/>
      </w:pPr>
      <w:rPr>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65D1061"/>
    <w:multiLevelType w:val="hybridMultilevel"/>
    <w:tmpl w:val="0D527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B5CF7"/>
    <w:multiLevelType w:val="hybridMultilevel"/>
    <w:tmpl w:val="6C5C98E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D9D5650"/>
    <w:multiLevelType w:val="hybridMultilevel"/>
    <w:tmpl w:val="1DEE7834"/>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A84C22"/>
    <w:multiLevelType w:val="hybridMultilevel"/>
    <w:tmpl w:val="5DB08052"/>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5BE20CA"/>
    <w:multiLevelType w:val="hybridMultilevel"/>
    <w:tmpl w:val="8EF6D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F1E87"/>
    <w:multiLevelType w:val="hybridMultilevel"/>
    <w:tmpl w:val="985A5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8265B"/>
    <w:multiLevelType w:val="hybridMultilevel"/>
    <w:tmpl w:val="78142B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DF6C7A"/>
    <w:multiLevelType w:val="hybridMultilevel"/>
    <w:tmpl w:val="4CE2CD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4F350C"/>
    <w:multiLevelType w:val="hybridMultilevel"/>
    <w:tmpl w:val="5A249020"/>
    <w:lvl w:ilvl="0" w:tplc="987C6A1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F646ED"/>
    <w:multiLevelType w:val="hybridMultilevel"/>
    <w:tmpl w:val="7A4AF09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44662A9"/>
    <w:multiLevelType w:val="hybridMultilevel"/>
    <w:tmpl w:val="5DB08052"/>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A7F3B41"/>
    <w:multiLevelType w:val="hybridMultilevel"/>
    <w:tmpl w:val="DDE094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F02247"/>
    <w:multiLevelType w:val="hybridMultilevel"/>
    <w:tmpl w:val="50A2DA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B00AA4"/>
    <w:multiLevelType w:val="hybridMultilevel"/>
    <w:tmpl w:val="D5F491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9F6277"/>
    <w:multiLevelType w:val="hybridMultilevel"/>
    <w:tmpl w:val="8A182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370D84"/>
    <w:multiLevelType w:val="multilevel"/>
    <w:tmpl w:val="D19835D8"/>
    <w:lvl w:ilvl="0">
      <w:start w:val="1"/>
      <w:numFmt w:val="decimal"/>
      <w:lvlText w:val="%1."/>
      <w:lvlJc w:val="left"/>
      <w:pPr>
        <w:ind w:left="360" w:hanging="360"/>
      </w:pPr>
      <w:rPr>
        <w:rFonts w:ascii="Times New Roman" w:hAnsi="Times New Roman" w:cs="Times New Roman" w:hint="default"/>
        <w:sz w:val="22"/>
        <w:szCs w:val="22"/>
        <w:u w:val="none"/>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64491C"/>
    <w:multiLevelType w:val="hybridMultilevel"/>
    <w:tmpl w:val="D2C2F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9F32AF"/>
    <w:multiLevelType w:val="hybridMultilevel"/>
    <w:tmpl w:val="5322C80A"/>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5FBD1295"/>
    <w:multiLevelType w:val="hybridMultilevel"/>
    <w:tmpl w:val="1F960F9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697759A8"/>
    <w:multiLevelType w:val="hybridMultilevel"/>
    <w:tmpl w:val="80E0AD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0D2697"/>
    <w:multiLevelType w:val="hybridMultilevel"/>
    <w:tmpl w:val="66FA1D10"/>
    <w:lvl w:ilvl="0" w:tplc="AE6C0FF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45948B5"/>
    <w:multiLevelType w:val="hybridMultilevel"/>
    <w:tmpl w:val="016CFE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762F6D"/>
    <w:multiLevelType w:val="hybridMultilevel"/>
    <w:tmpl w:val="1DEE7834"/>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0" w15:restartNumberingAfterBreak="0">
    <w:nsid w:val="788712AD"/>
    <w:multiLevelType w:val="hybridMultilevel"/>
    <w:tmpl w:val="5A921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6B1A42"/>
    <w:multiLevelType w:val="hybridMultilevel"/>
    <w:tmpl w:val="0D8E4A7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DA3343E"/>
    <w:multiLevelType w:val="hybridMultilevel"/>
    <w:tmpl w:val="F0EC52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29"/>
  </w:num>
  <w:num w:numId="5">
    <w:abstractNumId w:val="14"/>
  </w:num>
  <w:num w:numId="6">
    <w:abstractNumId w:val="22"/>
  </w:num>
  <w:num w:numId="7">
    <w:abstractNumId w:val="7"/>
  </w:num>
  <w:num w:numId="8">
    <w:abstractNumId w:val="31"/>
  </w:num>
  <w:num w:numId="9">
    <w:abstractNumId w:val="16"/>
  </w:num>
  <w:num w:numId="10">
    <w:abstractNumId w:val="1"/>
  </w:num>
  <w:num w:numId="11">
    <w:abstractNumId w:val="17"/>
  </w:num>
  <w:num w:numId="12">
    <w:abstractNumId w:val="5"/>
  </w:num>
  <w:num w:numId="13">
    <w:abstractNumId w:val="10"/>
  </w:num>
  <w:num w:numId="14">
    <w:abstractNumId w:val="26"/>
  </w:num>
  <w:num w:numId="15">
    <w:abstractNumId w:val="32"/>
  </w:num>
  <w:num w:numId="16">
    <w:abstractNumId w:val="18"/>
  </w:num>
  <w:num w:numId="17">
    <w:abstractNumId w:val="13"/>
  </w:num>
  <w:num w:numId="18">
    <w:abstractNumId w:val="6"/>
  </w:num>
  <w:num w:numId="19">
    <w:abstractNumId w:val="20"/>
  </w:num>
  <w:num w:numId="20">
    <w:abstractNumId w:val="23"/>
  </w:num>
  <w:num w:numId="21">
    <w:abstractNumId w:val="4"/>
  </w:num>
  <w:num w:numId="22">
    <w:abstractNumId w:val="2"/>
  </w:num>
  <w:num w:numId="23">
    <w:abstractNumId w:val="12"/>
  </w:num>
  <w:num w:numId="24">
    <w:abstractNumId w:val="27"/>
  </w:num>
  <w:num w:numId="25">
    <w:abstractNumId w:val="0"/>
  </w:num>
  <w:num w:numId="26">
    <w:abstractNumId w:val="24"/>
  </w:num>
  <w:num w:numId="27">
    <w:abstractNumId w:val="19"/>
  </w:num>
  <w:num w:numId="28">
    <w:abstractNumId w:val="30"/>
  </w:num>
  <w:num w:numId="29">
    <w:abstractNumId w:val="25"/>
  </w:num>
  <w:num w:numId="30">
    <w:abstractNumId w:val="21"/>
  </w:num>
  <w:num w:numId="31">
    <w:abstractNumId w:val="28"/>
  </w:num>
  <w:num w:numId="32">
    <w:abstractNumId w:val="3"/>
  </w:num>
  <w:num w:numId="3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06"/>
    <w:rsid w:val="0000116F"/>
    <w:rsid w:val="00011EED"/>
    <w:rsid w:val="0001297D"/>
    <w:rsid w:val="00017F36"/>
    <w:rsid w:val="000217D3"/>
    <w:rsid w:val="00035010"/>
    <w:rsid w:val="00036BCF"/>
    <w:rsid w:val="00037C8C"/>
    <w:rsid w:val="000470C1"/>
    <w:rsid w:val="00051BD8"/>
    <w:rsid w:val="0005794E"/>
    <w:rsid w:val="00071744"/>
    <w:rsid w:val="00074110"/>
    <w:rsid w:val="0007595B"/>
    <w:rsid w:val="00080B3E"/>
    <w:rsid w:val="00080E63"/>
    <w:rsid w:val="00087305"/>
    <w:rsid w:val="00090F3D"/>
    <w:rsid w:val="0009107A"/>
    <w:rsid w:val="000975B4"/>
    <w:rsid w:val="000A3B07"/>
    <w:rsid w:val="000B4CF6"/>
    <w:rsid w:val="000C3294"/>
    <w:rsid w:val="000C5AA3"/>
    <w:rsid w:val="000E51EB"/>
    <w:rsid w:val="000F6786"/>
    <w:rsid w:val="000F75DD"/>
    <w:rsid w:val="00102FF2"/>
    <w:rsid w:val="0010354B"/>
    <w:rsid w:val="0010652E"/>
    <w:rsid w:val="0010671A"/>
    <w:rsid w:val="00112507"/>
    <w:rsid w:val="00114F9A"/>
    <w:rsid w:val="001179DC"/>
    <w:rsid w:val="00117FAD"/>
    <w:rsid w:val="00131181"/>
    <w:rsid w:val="00133B44"/>
    <w:rsid w:val="001342F9"/>
    <w:rsid w:val="00143C76"/>
    <w:rsid w:val="00146DFB"/>
    <w:rsid w:val="00147B4B"/>
    <w:rsid w:val="0015482E"/>
    <w:rsid w:val="00157746"/>
    <w:rsid w:val="0016064F"/>
    <w:rsid w:val="00190D1B"/>
    <w:rsid w:val="00197BBC"/>
    <w:rsid w:val="001A080F"/>
    <w:rsid w:val="001B042C"/>
    <w:rsid w:val="001B0ABE"/>
    <w:rsid w:val="001C5A0A"/>
    <w:rsid w:val="001D119A"/>
    <w:rsid w:val="001D1F3E"/>
    <w:rsid w:val="001E1E45"/>
    <w:rsid w:val="001E6883"/>
    <w:rsid w:val="002072B1"/>
    <w:rsid w:val="0020793C"/>
    <w:rsid w:val="00210AFD"/>
    <w:rsid w:val="00211C15"/>
    <w:rsid w:val="00212DAD"/>
    <w:rsid w:val="002216AC"/>
    <w:rsid w:val="00224BCC"/>
    <w:rsid w:val="0023197F"/>
    <w:rsid w:val="00232F1E"/>
    <w:rsid w:val="00237D36"/>
    <w:rsid w:val="00241D98"/>
    <w:rsid w:val="00244FD3"/>
    <w:rsid w:val="0025419E"/>
    <w:rsid w:val="00254477"/>
    <w:rsid w:val="00256A7D"/>
    <w:rsid w:val="002622FB"/>
    <w:rsid w:val="00264F27"/>
    <w:rsid w:val="002664C7"/>
    <w:rsid w:val="0027326B"/>
    <w:rsid w:val="00290A39"/>
    <w:rsid w:val="002974E9"/>
    <w:rsid w:val="002A27DA"/>
    <w:rsid w:val="002A57F7"/>
    <w:rsid w:val="002A7495"/>
    <w:rsid w:val="002B04B0"/>
    <w:rsid w:val="002B49DF"/>
    <w:rsid w:val="002B4DC7"/>
    <w:rsid w:val="002B58CF"/>
    <w:rsid w:val="002C4D6D"/>
    <w:rsid w:val="002D1D7C"/>
    <w:rsid w:val="002D24B4"/>
    <w:rsid w:val="002D41CD"/>
    <w:rsid w:val="002F4A19"/>
    <w:rsid w:val="002F5BA0"/>
    <w:rsid w:val="00301294"/>
    <w:rsid w:val="003030C8"/>
    <w:rsid w:val="00304C89"/>
    <w:rsid w:val="003121AA"/>
    <w:rsid w:val="00324BCE"/>
    <w:rsid w:val="0032670B"/>
    <w:rsid w:val="00340D7A"/>
    <w:rsid w:val="00350044"/>
    <w:rsid w:val="00352CA4"/>
    <w:rsid w:val="003535D2"/>
    <w:rsid w:val="00361281"/>
    <w:rsid w:val="003707C5"/>
    <w:rsid w:val="0037527D"/>
    <w:rsid w:val="00383D9C"/>
    <w:rsid w:val="00391BB9"/>
    <w:rsid w:val="003947AE"/>
    <w:rsid w:val="0039700E"/>
    <w:rsid w:val="00397D7C"/>
    <w:rsid w:val="003A3C84"/>
    <w:rsid w:val="003A5FE9"/>
    <w:rsid w:val="003A77D4"/>
    <w:rsid w:val="003B1EC0"/>
    <w:rsid w:val="003B583A"/>
    <w:rsid w:val="003B627A"/>
    <w:rsid w:val="003B7E14"/>
    <w:rsid w:val="003C3F99"/>
    <w:rsid w:val="003C584E"/>
    <w:rsid w:val="003C7BCE"/>
    <w:rsid w:val="003D10F8"/>
    <w:rsid w:val="003D32A2"/>
    <w:rsid w:val="003D74A6"/>
    <w:rsid w:val="003D77F0"/>
    <w:rsid w:val="003E02F0"/>
    <w:rsid w:val="0040323E"/>
    <w:rsid w:val="0040398A"/>
    <w:rsid w:val="00403EA8"/>
    <w:rsid w:val="00403FA9"/>
    <w:rsid w:val="004058D0"/>
    <w:rsid w:val="00411FE8"/>
    <w:rsid w:val="0041373B"/>
    <w:rsid w:val="004301CD"/>
    <w:rsid w:val="00433524"/>
    <w:rsid w:val="00440679"/>
    <w:rsid w:val="00447BD3"/>
    <w:rsid w:val="0045111F"/>
    <w:rsid w:val="004531EB"/>
    <w:rsid w:val="004613F2"/>
    <w:rsid w:val="00461554"/>
    <w:rsid w:val="004670AA"/>
    <w:rsid w:val="00471A75"/>
    <w:rsid w:val="004736A0"/>
    <w:rsid w:val="00477143"/>
    <w:rsid w:val="00485B35"/>
    <w:rsid w:val="004901C5"/>
    <w:rsid w:val="004936C7"/>
    <w:rsid w:val="00495A41"/>
    <w:rsid w:val="00497805"/>
    <w:rsid w:val="004A05A4"/>
    <w:rsid w:val="004A1870"/>
    <w:rsid w:val="004A187E"/>
    <w:rsid w:val="004B4871"/>
    <w:rsid w:val="004C16E4"/>
    <w:rsid w:val="004D619A"/>
    <w:rsid w:val="004E3D26"/>
    <w:rsid w:val="004E6323"/>
    <w:rsid w:val="004E74C1"/>
    <w:rsid w:val="004F68F0"/>
    <w:rsid w:val="005003DF"/>
    <w:rsid w:val="00504F4E"/>
    <w:rsid w:val="0051019E"/>
    <w:rsid w:val="00514300"/>
    <w:rsid w:val="0052023F"/>
    <w:rsid w:val="00531E30"/>
    <w:rsid w:val="0053478A"/>
    <w:rsid w:val="0055204A"/>
    <w:rsid w:val="00552BBE"/>
    <w:rsid w:val="00560319"/>
    <w:rsid w:val="00561353"/>
    <w:rsid w:val="00571047"/>
    <w:rsid w:val="0057400E"/>
    <w:rsid w:val="00575C4C"/>
    <w:rsid w:val="00580004"/>
    <w:rsid w:val="00583E12"/>
    <w:rsid w:val="00583F36"/>
    <w:rsid w:val="00583F4C"/>
    <w:rsid w:val="00586833"/>
    <w:rsid w:val="00586FF8"/>
    <w:rsid w:val="00587783"/>
    <w:rsid w:val="00594D5A"/>
    <w:rsid w:val="00596ED7"/>
    <w:rsid w:val="005A10DE"/>
    <w:rsid w:val="005A353B"/>
    <w:rsid w:val="005A50DF"/>
    <w:rsid w:val="005C32FA"/>
    <w:rsid w:val="005D30B4"/>
    <w:rsid w:val="005D7FED"/>
    <w:rsid w:val="005E74E5"/>
    <w:rsid w:val="005F1995"/>
    <w:rsid w:val="005F34FE"/>
    <w:rsid w:val="005F3955"/>
    <w:rsid w:val="005F6803"/>
    <w:rsid w:val="005F6C9B"/>
    <w:rsid w:val="00601028"/>
    <w:rsid w:val="00601E64"/>
    <w:rsid w:val="0060461A"/>
    <w:rsid w:val="00613ADB"/>
    <w:rsid w:val="00620108"/>
    <w:rsid w:val="00623DCA"/>
    <w:rsid w:val="00624931"/>
    <w:rsid w:val="00627D5B"/>
    <w:rsid w:val="00627E52"/>
    <w:rsid w:val="00630674"/>
    <w:rsid w:val="00635037"/>
    <w:rsid w:val="006405BE"/>
    <w:rsid w:val="006462EF"/>
    <w:rsid w:val="00651125"/>
    <w:rsid w:val="006561A3"/>
    <w:rsid w:val="00657278"/>
    <w:rsid w:val="0066403C"/>
    <w:rsid w:val="00665CE2"/>
    <w:rsid w:val="006708F1"/>
    <w:rsid w:val="00670920"/>
    <w:rsid w:val="0067674A"/>
    <w:rsid w:val="00681252"/>
    <w:rsid w:val="00683F80"/>
    <w:rsid w:val="0069310B"/>
    <w:rsid w:val="00693F7C"/>
    <w:rsid w:val="006A2787"/>
    <w:rsid w:val="006A392F"/>
    <w:rsid w:val="006A3D88"/>
    <w:rsid w:val="006C04D6"/>
    <w:rsid w:val="006C0EA3"/>
    <w:rsid w:val="006C66D3"/>
    <w:rsid w:val="006E1636"/>
    <w:rsid w:val="006F19A8"/>
    <w:rsid w:val="006F7B74"/>
    <w:rsid w:val="00726BC1"/>
    <w:rsid w:val="007274C2"/>
    <w:rsid w:val="007337D7"/>
    <w:rsid w:val="007412F8"/>
    <w:rsid w:val="007424BA"/>
    <w:rsid w:val="00751B48"/>
    <w:rsid w:val="007714C1"/>
    <w:rsid w:val="00772ABE"/>
    <w:rsid w:val="00777A6C"/>
    <w:rsid w:val="007801B5"/>
    <w:rsid w:val="0078444D"/>
    <w:rsid w:val="0079001C"/>
    <w:rsid w:val="0079745A"/>
    <w:rsid w:val="007A6A88"/>
    <w:rsid w:val="007B4D8D"/>
    <w:rsid w:val="007B4FCC"/>
    <w:rsid w:val="007B50C1"/>
    <w:rsid w:val="007B50EF"/>
    <w:rsid w:val="007D1BB8"/>
    <w:rsid w:val="007D1C14"/>
    <w:rsid w:val="007D3795"/>
    <w:rsid w:val="007F210A"/>
    <w:rsid w:val="007F3E6D"/>
    <w:rsid w:val="007F7C1D"/>
    <w:rsid w:val="008043AC"/>
    <w:rsid w:val="00817DB0"/>
    <w:rsid w:val="008258FB"/>
    <w:rsid w:val="008310CA"/>
    <w:rsid w:val="00834A4F"/>
    <w:rsid w:val="00843167"/>
    <w:rsid w:val="00843C94"/>
    <w:rsid w:val="00856233"/>
    <w:rsid w:val="00860B51"/>
    <w:rsid w:val="00862585"/>
    <w:rsid w:val="008651D1"/>
    <w:rsid w:val="00872ECD"/>
    <w:rsid w:val="0087335B"/>
    <w:rsid w:val="00883B6E"/>
    <w:rsid w:val="008A1924"/>
    <w:rsid w:val="008A4978"/>
    <w:rsid w:val="008A503A"/>
    <w:rsid w:val="008B2DA3"/>
    <w:rsid w:val="008B384D"/>
    <w:rsid w:val="008C5778"/>
    <w:rsid w:val="008C6463"/>
    <w:rsid w:val="008D0A83"/>
    <w:rsid w:val="008D7C44"/>
    <w:rsid w:val="008E0556"/>
    <w:rsid w:val="008E6345"/>
    <w:rsid w:val="008F5671"/>
    <w:rsid w:val="008F6FC8"/>
    <w:rsid w:val="00903E30"/>
    <w:rsid w:val="009061F3"/>
    <w:rsid w:val="009078A9"/>
    <w:rsid w:val="0091266B"/>
    <w:rsid w:val="00914B49"/>
    <w:rsid w:val="009318CF"/>
    <w:rsid w:val="00931AF0"/>
    <w:rsid w:val="009327AF"/>
    <w:rsid w:val="00935006"/>
    <w:rsid w:val="009371A5"/>
    <w:rsid w:val="00937CA1"/>
    <w:rsid w:val="00937D58"/>
    <w:rsid w:val="0094320F"/>
    <w:rsid w:val="00951087"/>
    <w:rsid w:val="00951752"/>
    <w:rsid w:val="00952A81"/>
    <w:rsid w:val="00953493"/>
    <w:rsid w:val="00956B90"/>
    <w:rsid w:val="0097228C"/>
    <w:rsid w:val="009737B8"/>
    <w:rsid w:val="00983F8B"/>
    <w:rsid w:val="0098554B"/>
    <w:rsid w:val="00987841"/>
    <w:rsid w:val="00993B7D"/>
    <w:rsid w:val="00996A33"/>
    <w:rsid w:val="009A4430"/>
    <w:rsid w:val="009B0080"/>
    <w:rsid w:val="009B55C0"/>
    <w:rsid w:val="009C06AE"/>
    <w:rsid w:val="009C494D"/>
    <w:rsid w:val="009D59FB"/>
    <w:rsid w:val="009E008C"/>
    <w:rsid w:val="009E0357"/>
    <w:rsid w:val="009E128B"/>
    <w:rsid w:val="009F2CC5"/>
    <w:rsid w:val="009F577E"/>
    <w:rsid w:val="00A02A89"/>
    <w:rsid w:val="00A1046C"/>
    <w:rsid w:val="00A1276A"/>
    <w:rsid w:val="00A13160"/>
    <w:rsid w:val="00A1669E"/>
    <w:rsid w:val="00A214AD"/>
    <w:rsid w:val="00A24D38"/>
    <w:rsid w:val="00A470F5"/>
    <w:rsid w:val="00A511A5"/>
    <w:rsid w:val="00A51327"/>
    <w:rsid w:val="00A533A1"/>
    <w:rsid w:val="00A56182"/>
    <w:rsid w:val="00A56998"/>
    <w:rsid w:val="00A570E5"/>
    <w:rsid w:val="00A60125"/>
    <w:rsid w:val="00A633FC"/>
    <w:rsid w:val="00A6361B"/>
    <w:rsid w:val="00A63F40"/>
    <w:rsid w:val="00A649CD"/>
    <w:rsid w:val="00A77285"/>
    <w:rsid w:val="00A772C6"/>
    <w:rsid w:val="00A862B5"/>
    <w:rsid w:val="00A86BD1"/>
    <w:rsid w:val="00A91377"/>
    <w:rsid w:val="00A92DFE"/>
    <w:rsid w:val="00A94BB0"/>
    <w:rsid w:val="00AA146C"/>
    <w:rsid w:val="00AA61CB"/>
    <w:rsid w:val="00AA6CE9"/>
    <w:rsid w:val="00AB069E"/>
    <w:rsid w:val="00AC676D"/>
    <w:rsid w:val="00AC6CB3"/>
    <w:rsid w:val="00AD1166"/>
    <w:rsid w:val="00AD5978"/>
    <w:rsid w:val="00AF0B18"/>
    <w:rsid w:val="00AF4CC6"/>
    <w:rsid w:val="00AF5ACF"/>
    <w:rsid w:val="00B00FC7"/>
    <w:rsid w:val="00B04BCB"/>
    <w:rsid w:val="00B05DDC"/>
    <w:rsid w:val="00B124E7"/>
    <w:rsid w:val="00B16167"/>
    <w:rsid w:val="00B21BF6"/>
    <w:rsid w:val="00B22EC0"/>
    <w:rsid w:val="00B26399"/>
    <w:rsid w:val="00B27C65"/>
    <w:rsid w:val="00B3032D"/>
    <w:rsid w:val="00B43789"/>
    <w:rsid w:val="00B450C9"/>
    <w:rsid w:val="00B5577C"/>
    <w:rsid w:val="00B563D1"/>
    <w:rsid w:val="00B578EC"/>
    <w:rsid w:val="00B657F0"/>
    <w:rsid w:val="00B7219E"/>
    <w:rsid w:val="00B81C97"/>
    <w:rsid w:val="00B84266"/>
    <w:rsid w:val="00B8506C"/>
    <w:rsid w:val="00B8654C"/>
    <w:rsid w:val="00B92707"/>
    <w:rsid w:val="00B92F7F"/>
    <w:rsid w:val="00B955B7"/>
    <w:rsid w:val="00B977B7"/>
    <w:rsid w:val="00BA752E"/>
    <w:rsid w:val="00BC648D"/>
    <w:rsid w:val="00BC7972"/>
    <w:rsid w:val="00BD7F01"/>
    <w:rsid w:val="00BE1950"/>
    <w:rsid w:val="00BE5BA9"/>
    <w:rsid w:val="00BF29E4"/>
    <w:rsid w:val="00C00AF3"/>
    <w:rsid w:val="00C039D3"/>
    <w:rsid w:val="00C051A1"/>
    <w:rsid w:val="00C1144B"/>
    <w:rsid w:val="00C14374"/>
    <w:rsid w:val="00C15D75"/>
    <w:rsid w:val="00C17616"/>
    <w:rsid w:val="00C17808"/>
    <w:rsid w:val="00C43E7D"/>
    <w:rsid w:val="00C55F6B"/>
    <w:rsid w:val="00C60201"/>
    <w:rsid w:val="00C643DF"/>
    <w:rsid w:val="00C72983"/>
    <w:rsid w:val="00C81AA3"/>
    <w:rsid w:val="00C84F35"/>
    <w:rsid w:val="00C97525"/>
    <w:rsid w:val="00CA39DA"/>
    <w:rsid w:val="00CA5113"/>
    <w:rsid w:val="00CA5C5E"/>
    <w:rsid w:val="00CA64FF"/>
    <w:rsid w:val="00CB2269"/>
    <w:rsid w:val="00CB4B0B"/>
    <w:rsid w:val="00CC348B"/>
    <w:rsid w:val="00CC4C2C"/>
    <w:rsid w:val="00CC5729"/>
    <w:rsid w:val="00CC694D"/>
    <w:rsid w:val="00CD039B"/>
    <w:rsid w:val="00CD0FCB"/>
    <w:rsid w:val="00CD19A7"/>
    <w:rsid w:val="00CD1C11"/>
    <w:rsid w:val="00CD55ED"/>
    <w:rsid w:val="00CF0603"/>
    <w:rsid w:val="00CF72DF"/>
    <w:rsid w:val="00D04ED9"/>
    <w:rsid w:val="00D0622B"/>
    <w:rsid w:val="00D17CDF"/>
    <w:rsid w:val="00D21300"/>
    <w:rsid w:val="00D303A9"/>
    <w:rsid w:val="00D303AE"/>
    <w:rsid w:val="00D3309F"/>
    <w:rsid w:val="00D33489"/>
    <w:rsid w:val="00D33F22"/>
    <w:rsid w:val="00D35B6E"/>
    <w:rsid w:val="00D36712"/>
    <w:rsid w:val="00D52D9A"/>
    <w:rsid w:val="00D60D99"/>
    <w:rsid w:val="00D62322"/>
    <w:rsid w:val="00D646FD"/>
    <w:rsid w:val="00D84E2F"/>
    <w:rsid w:val="00D87752"/>
    <w:rsid w:val="00D94823"/>
    <w:rsid w:val="00D9664D"/>
    <w:rsid w:val="00D96806"/>
    <w:rsid w:val="00DA3D10"/>
    <w:rsid w:val="00DA4AD4"/>
    <w:rsid w:val="00DA5F77"/>
    <w:rsid w:val="00DB0408"/>
    <w:rsid w:val="00DC2843"/>
    <w:rsid w:val="00DC30BC"/>
    <w:rsid w:val="00DC63BB"/>
    <w:rsid w:val="00DC6E38"/>
    <w:rsid w:val="00DC7A7C"/>
    <w:rsid w:val="00DE3708"/>
    <w:rsid w:val="00DF0062"/>
    <w:rsid w:val="00E00566"/>
    <w:rsid w:val="00E007BC"/>
    <w:rsid w:val="00E008CB"/>
    <w:rsid w:val="00E04BF1"/>
    <w:rsid w:val="00E11F2E"/>
    <w:rsid w:val="00E13393"/>
    <w:rsid w:val="00E14439"/>
    <w:rsid w:val="00E1461E"/>
    <w:rsid w:val="00E21AD4"/>
    <w:rsid w:val="00E24627"/>
    <w:rsid w:val="00E26AA4"/>
    <w:rsid w:val="00E33508"/>
    <w:rsid w:val="00E356F7"/>
    <w:rsid w:val="00E421D9"/>
    <w:rsid w:val="00E42A16"/>
    <w:rsid w:val="00E439C8"/>
    <w:rsid w:val="00E4598C"/>
    <w:rsid w:val="00E6587A"/>
    <w:rsid w:val="00E65CD8"/>
    <w:rsid w:val="00E83442"/>
    <w:rsid w:val="00E949BD"/>
    <w:rsid w:val="00EA1B28"/>
    <w:rsid w:val="00EA6B4A"/>
    <w:rsid w:val="00EB0F34"/>
    <w:rsid w:val="00EB345D"/>
    <w:rsid w:val="00EB7287"/>
    <w:rsid w:val="00EC5BE1"/>
    <w:rsid w:val="00ED0A82"/>
    <w:rsid w:val="00EE4222"/>
    <w:rsid w:val="00EF167F"/>
    <w:rsid w:val="00EF2021"/>
    <w:rsid w:val="00EF52E6"/>
    <w:rsid w:val="00F03516"/>
    <w:rsid w:val="00F10077"/>
    <w:rsid w:val="00F17790"/>
    <w:rsid w:val="00F23CAD"/>
    <w:rsid w:val="00F2501E"/>
    <w:rsid w:val="00F46117"/>
    <w:rsid w:val="00F60D71"/>
    <w:rsid w:val="00F674A8"/>
    <w:rsid w:val="00F72AB1"/>
    <w:rsid w:val="00F736DF"/>
    <w:rsid w:val="00F7398B"/>
    <w:rsid w:val="00F80187"/>
    <w:rsid w:val="00F842AB"/>
    <w:rsid w:val="00F90AA1"/>
    <w:rsid w:val="00F9108A"/>
    <w:rsid w:val="00F92A69"/>
    <w:rsid w:val="00F92AFF"/>
    <w:rsid w:val="00F95819"/>
    <w:rsid w:val="00F969B7"/>
    <w:rsid w:val="00FA11D2"/>
    <w:rsid w:val="00FA4674"/>
    <w:rsid w:val="00FB0D78"/>
    <w:rsid w:val="00FB248B"/>
    <w:rsid w:val="00FC09F9"/>
    <w:rsid w:val="00FC3AA7"/>
    <w:rsid w:val="00FD4176"/>
    <w:rsid w:val="00FE2645"/>
    <w:rsid w:val="00FE6445"/>
    <w:rsid w:val="00FF01E8"/>
    <w:rsid w:val="00FF2796"/>
    <w:rsid w:val="00FF5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CA030"/>
  <w15:chartTrackingRefBased/>
  <w15:docId w15:val="{C1BDE177-86AE-40D7-8015-B678134A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8CF"/>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uiPriority w:val="9"/>
    <w:unhideWhenUsed/>
    <w:qFormat/>
    <w:rsid w:val="00DC2843"/>
    <w:pPr>
      <w:keepNext/>
      <w:keepLines/>
      <w:spacing w:after="588"/>
      <w:ind w:left="24"/>
      <w:outlineLvl w:val="0"/>
    </w:pPr>
    <w:rPr>
      <w:rFonts w:ascii="Times New Roman" w:eastAsia="Times New Roman" w:hAnsi="Times New Roman" w:cs="Times New Roman"/>
      <w:color w:val="000000"/>
      <w:sz w:val="24"/>
      <w:lang w:eastAsia="cs-CZ"/>
    </w:rPr>
  </w:style>
  <w:style w:type="paragraph" w:styleId="Nadpis2">
    <w:name w:val="heading 2"/>
    <w:basedOn w:val="Normln"/>
    <w:next w:val="Normln"/>
    <w:link w:val="Nadpis2Char"/>
    <w:uiPriority w:val="9"/>
    <w:semiHidden/>
    <w:unhideWhenUsed/>
    <w:qFormat/>
    <w:rsid w:val="002F5BA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Odstavec cíl se seznamem,Odstavec se seznamem5,NAKIT List Paragraph,Odstavec 1,cp_Odstavec se seznamem,Bullet Number,Bullet List,FooterText,numbered,List Paragraph1,Paragraphe de liste1,Bulletr List Paragraph,列出段落"/>
    <w:basedOn w:val="Normln"/>
    <w:link w:val="OdstavecseseznamemChar"/>
    <w:uiPriority w:val="34"/>
    <w:qFormat/>
    <w:rsid w:val="00CA64FF"/>
    <w:pPr>
      <w:ind w:left="720"/>
      <w:contextualSpacing/>
    </w:pPr>
  </w:style>
  <w:style w:type="paragraph" w:styleId="Textbubliny">
    <w:name w:val="Balloon Text"/>
    <w:basedOn w:val="Normln"/>
    <w:link w:val="TextbublinyChar"/>
    <w:uiPriority w:val="99"/>
    <w:semiHidden/>
    <w:unhideWhenUsed/>
    <w:rsid w:val="006C66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66D3"/>
    <w:rPr>
      <w:rFonts w:ascii="Segoe UI" w:hAnsi="Segoe UI" w:cs="Segoe UI"/>
      <w:sz w:val="18"/>
      <w:szCs w:val="18"/>
    </w:rPr>
  </w:style>
  <w:style w:type="paragraph" w:styleId="Zhlav">
    <w:name w:val="header"/>
    <w:basedOn w:val="Normln"/>
    <w:link w:val="ZhlavChar"/>
    <w:unhideWhenUsed/>
    <w:rsid w:val="0027326B"/>
    <w:pPr>
      <w:tabs>
        <w:tab w:val="center" w:pos="4536"/>
        <w:tab w:val="right" w:pos="9072"/>
      </w:tabs>
    </w:pPr>
  </w:style>
  <w:style w:type="character" w:customStyle="1" w:styleId="ZhlavChar">
    <w:name w:val="Záhlaví Char"/>
    <w:basedOn w:val="Standardnpsmoodstavce"/>
    <w:link w:val="Zhlav"/>
    <w:rsid w:val="0027326B"/>
  </w:style>
  <w:style w:type="paragraph" w:styleId="Zpat">
    <w:name w:val="footer"/>
    <w:basedOn w:val="Normln"/>
    <w:link w:val="ZpatChar"/>
    <w:uiPriority w:val="99"/>
    <w:unhideWhenUsed/>
    <w:rsid w:val="0027326B"/>
    <w:pPr>
      <w:tabs>
        <w:tab w:val="center" w:pos="4536"/>
        <w:tab w:val="right" w:pos="9072"/>
      </w:tabs>
    </w:pPr>
  </w:style>
  <w:style w:type="character" w:customStyle="1" w:styleId="ZpatChar">
    <w:name w:val="Zápatí Char"/>
    <w:basedOn w:val="Standardnpsmoodstavce"/>
    <w:link w:val="Zpat"/>
    <w:uiPriority w:val="99"/>
    <w:rsid w:val="0027326B"/>
  </w:style>
  <w:style w:type="character" w:styleId="Odkaznakoment">
    <w:name w:val="annotation reference"/>
    <w:basedOn w:val="Standardnpsmoodstavce"/>
    <w:uiPriority w:val="99"/>
    <w:semiHidden/>
    <w:unhideWhenUsed/>
    <w:rsid w:val="0010671A"/>
    <w:rPr>
      <w:sz w:val="16"/>
      <w:szCs w:val="16"/>
    </w:rPr>
  </w:style>
  <w:style w:type="paragraph" w:styleId="Textkomente">
    <w:name w:val="annotation text"/>
    <w:basedOn w:val="Normln"/>
    <w:link w:val="TextkomenteChar"/>
    <w:uiPriority w:val="99"/>
    <w:semiHidden/>
    <w:unhideWhenUsed/>
    <w:rsid w:val="0010671A"/>
    <w:rPr>
      <w:sz w:val="20"/>
      <w:szCs w:val="20"/>
    </w:rPr>
  </w:style>
  <w:style w:type="character" w:customStyle="1" w:styleId="TextkomenteChar">
    <w:name w:val="Text komentáře Char"/>
    <w:basedOn w:val="Standardnpsmoodstavce"/>
    <w:link w:val="Textkomente"/>
    <w:uiPriority w:val="99"/>
    <w:semiHidden/>
    <w:rsid w:val="0010671A"/>
    <w:rPr>
      <w:sz w:val="20"/>
      <w:szCs w:val="20"/>
    </w:rPr>
  </w:style>
  <w:style w:type="paragraph" w:styleId="Pedmtkomente">
    <w:name w:val="annotation subject"/>
    <w:basedOn w:val="Textkomente"/>
    <w:next w:val="Textkomente"/>
    <w:link w:val="PedmtkomenteChar"/>
    <w:uiPriority w:val="99"/>
    <w:semiHidden/>
    <w:unhideWhenUsed/>
    <w:rsid w:val="0010671A"/>
    <w:rPr>
      <w:b/>
      <w:bCs/>
    </w:rPr>
  </w:style>
  <w:style w:type="character" w:customStyle="1" w:styleId="PedmtkomenteChar">
    <w:name w:val="Předmět komentáře Char"/>
    <w:basedOn w:val="TextkomenteChar"/>
    <w:link w:val="Pedmtkomente"/>
    <w:uiPriority w:val="99"/>
    <w:semiHidden/>
    <w:rsid w:val="0010671A"/>
    <w:rPr>
      <w:b/>
      <w:bCs/>
      <w:sz w:val="20"/>
      <w:szCs w:val="20"/>
    </w:rPr>
  </w:style>
  <w:style w:type="character" w:customStyle="1" w:styleId="normaltextrun">
    <w:name w:val="normaltextrun"/>
    <w:basedOn w:val="Standardnpsmoodstavce"/>
    <w:rsid w:val="00FF01E8"/>
  </w:style>
  <w:style w:type="character" w:customStyle="1" w:styleId="spellingerror">
    <w:name w:val="spellingerror"/>
    <w:basedOn w:val="Standardnpsmoodstavce"/>
    <w:rsid w:val="00FF01E8"/>
  </w:style>
  <w:style w:type="character" w:customStyle="1" w:styleId="eop">
    <w:name w:val="eop"/>
    <w:basedOn w:val="Standardnpsmoodstavce"/>
    <w:rsid w:val="00FF01E8"/>
  </w:style>
  <w:style w:type="table" w:styleId="Mkatabulky">
    <w:name w:val="Table Grid"/>
    <w:basedOn w:val="Normlntabulka"/>
    <w:uiPriority w:val="59"/>
    <w:rsid w:val="00A6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B7E14"/>
    <w:pPr>
      <w:spacing w:after="0" w:line="240" w:lineRule="auto"/>
    </w:pPr>
    <w:rPr>
      <w:rFonts w:eastAsiaTheme="minorEastAsia"/>
      <w:lang w:eastAsia="cs-CZ"/>
    </w:rPr>
    <w:tblPr>
      <w:tblCellMar>
        <w:top w:w="0" w:type="dxa"/>
        <w:left w:w="0" w:type="dxa"/>
        <w:bottom w:w="0" w:type="dxa"/>
        <w:right w:w="0" w:type="dxa"/>
      </w:tblCellMar>
    </w:tblPr>
  </w:style>
  <w:style w:type="paragraph" w:styleId="Bezmezer">
    <w:name w:val="No Spacing"/>
    <w:uiPriority w:val="1"/>
    <w:qFormat/>
    <w:rsid w:val="005C32FA"/>
    <w:pPr>
      <w:spacing w:after="0" w:line="240" w:lineRule="auto"/>
    </w:pPr>
  </w:style>
  <w:style w:type="character" w:styleId="Zstupntext">
    <w:name w:val="Placeholder Text"/>
    <w:basedOn w:val="Standardnpsmoodstavce"/>
    <w:uiPriority w:val="99"/>
    <w:semiHidden/>
    <w:rsid w:val="00B578EC"/>
    <w:rPr>
      <w:color w:val="808080"/>
    </w:rPr>
  </w:style>
  <w:style w:type="character" w:customStyle="1" w:styleId="OdstavecseseznamemChar">
    <w:name w:val="Odstavec se seznamem Char"/>
    <w:aliases w:val="Nad Char,Odstavec_muj Char,Odstavec cíl se seznamem Char,Odstavec se seznamem5 Char,NAKIT List Paragraph Char,Odstavec 1 Char,cp_Odstavec se seznamem Char,Bullet Number Char,Bullet List Char,FooterText Char,numbered Char"/>
    <w:link w:val="Odstavecseseznamem"/>
    <w:uiPriority w:val="34"/>
    <w:locked/>
    <w:rsid w:val="00131181"/>
    <w:rPr>
      <w:rFonts w:ascii="Times New Roman" w:eastAsia="Times New Roman" w:hAnsi="Times New Roman" w:cs="Times New Roman"/>
      <w:sz w:val="24"/>
      <w:szCs w:val="24"/>
      <w:lang w:eastAsia="cs-CZ"/>
    </w:rPr>
  </w:style>
  <w:style w:type="character" w:customStyle="1" w:styleId="platne1">
    <w:name w:val="platne1"/>
    <w:rsid w:val="00485B35"/>
  </w:style>
  <w:style w:type="character" w:styleId="Hypertextovodkaz">
    <w:name w:val="Hyperlink"/>
    <w:basedOn w:val="Standardnpsmoodstavce"/>
    <w:uiPriority w:val="99"/>
    <w:unhideWhenUsed/>
    <w:rsid w:val="00DC6E38"/>
    <w:rPr>
      <w:color w:val="0563C1" w:themeColor="hyperlink"/>
      <w:u w:val="single"/>
    </w:rPr>
  </w:style>
  <w:style w:type="paragraph" w:customStyle="1" w:styleId="BodyText21">
    <w:name w:val="Body Text 21"/>
    <w:basedOn w:val="Normln"/>
    <w:rsid w:val="0097228C"/>
    <w:pPr>
      <w:widowControl w:val="0"/>
      <w:jc w:val="both"/>
    </w:pPr>
    <w:rPr>
      <w:snapToGrid w:val="0"/>
      <w:sz w:val="22"/>
      <w:szCs w:val="20"/>
    </w:rPr>
  </w:style>
  <w:style w:type="paragraph" w:customStyle="1" w:styleId="Default">
    <w:name w:val="Default"/>
    <w:rsid w:val="0097228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CharStyle8">
    <w:name w:val="Char Style 8"/>
    <w:basedOn w:val="Standardnpsmoodstavce"/>
    <w:link w:val="Style2"/>
    <w:locked/>
    <w:rsid w:val="00391BB9"/>
    <w:rPr>
      <w:shd w:val="clear" w:color="auto" w:fill="FFFFFF"/>
    </w:rPr>
  </w:style>
  <w:style w:type="paragraph" w:customStyle="1" w:styleId="Style2">
    <w:name w:val="Style 2"/>
    <w:basedOn w:val="Normln"/>
    <w:link w:val="CharStyle8"/>
    <w:rsid w:val="00391BB9"/>
    <w:pPr>
      <w:widowControl w:val="0"/>
      <w:shd w:val="clear" w:color="auto" w:fill="FFFFFF"/>
      <w:spacing w:before="280" w:after="540" w:line="240" w:lineRule="exact"/>
      <w:ind w:hanging="620"/>
      <w:jc w:val="center"/>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rsid w:val="00DC2843"/>
    <w:rPr>
      <w:rFonts w:ascii="Times New Roman" w:eastAsia="Times New Roman" w:hAnsi="Times New Roman" w:cs="Times New Roman"/>
      <w:color w:val="000000"/>
      <w:sz w:val="24"/>
      <w:lang w:eastAsia="cs-CZ"/>
    </w:rPr>
  </w:style>
  <w:style w:type="character" w:customStyle="1" w:styleId="Nadpis2Char">
    <w:name w:val="Nadpis 2 Char"/>
    <w:basedOn w:val="Standardnpsmoodstavce"/>
    <w:link w:val="Nadpis2"/>
    <w:uiPriority w:val="9"/>
    <w:semiHidden/>
    <w:rsid w:val="002F5BA0"/>
    <w:rPr>
      <w:rFonts w:asciiTheme="majorHAnsi" w:eastAsiaTheme="majorEastAsia" w:hAnsiTheme="majorHAnsi" w:cstheme="majorBidi"/>
      <w:color w:val="2E74B5" w:themeColor="accent1" w:themeShade="BF"/>
      <w:sz w:val="26"/>
      <w:szCs w:val="26"/>
      <w:lang w:eastAsia="cs-CZ"/>
    </w:rPr>
  </w:style>
  <w:style w:type="paragraph" w:customStyle="1" w:styleId="text">
    <w:name w:val="text"/>
    <w:basedOn w:val="Normln"/>
    <w:link w:val="textChar"/>
    <w:uiPriority w:val="99"/>
    <w:rsid w:val="002F5BA0"/>
    <w:pPr>
      <w:spacing w:before="60"/>
      <w:jc w:val="both"/>
    </w:pPr>
    <w:rPr>
      <w:rFonts w:ascii="Calibri" w:hAnsi="Calibri"/>
      <w:sz w:val="22"/>
      <w:szCs w:val="20"/>
    </w:rPr>
  </w:style>
  <w:style w:type="character" w:customStyle="1" w:styleId="textChar">
    <w:name w:val="text Char"/>
    <w:link w:val="text"/>
    <w:uiPriority w:val="99"/>
    <w:locked/>
    <w:rsid w:val="002F5BA0"/>
    <w:rPr>
      <w:rFonts w:ascii="Calibri" w:eastAsia="Times New Roman" w:hAnsi="Calibri"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0212">
      <w:bodyDiv w:val="1"/>
      <w:marLeft w:val="0"/>
      <w:marRight w:val="0"/>
      <w:marTop w:val="0"/>
      <w:marBottom w:val="0"/>
      <w:divBdr>
        <w:top w:val="none" w:sz="0" w:space="0" w:color="auto"/>
        <w:left w:val="none" w:sz="0" w:space="0" w:color="auto"/>
        <w:bottom w:val="none" w:sz="0" w:space="0" w:color="auto"/>
        <w:right w:val="none" w:sz="0" w:space="0" w:color="auto"/>
      </w:divBdr>
    </w:div>
    <w:div w:id="646280192">
      <w:bodyDiv w:val="1"/>
      <w:marLeft w:val="0"/>
      <w:marRight w:val="0"/>
      <w:marTop w:val="0"/>
      <w:marBottom w:val="0"/>
      <w:divBdr>
        <w:top w:val="none" w:sz="0" w:space="0" w:color="auto"/>
        <w:left w:val="none" w:sz="0" w:space="0" w:color="auto"/>
        <w:bottom w:val="none" w:sz="0" w:space="0" w:color="auto"/>
        <w:right w:val="none" w:sz="0" w:space="0" w:color="auto"/>
      </w:divBdr>
    </w:div>
    <w:div w:id="9511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6A72B-F343-4FBF-94F9-BEB746CD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1589</Words>
  <Characters>9379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Bártová Helena</dc:creator>
  <cp:keywords/>
  <dc:description/>
  <cp:lastModifiedBy>Skočilasová Marcela</cp:lastModifiedBy>
  <cp:revision>3</cp:revision>
  <cp:lastPrinted>2022-05-10T13:57:00Z</cp:lastPrinted>
  <dcterms:created xsi:type="dcterms:W3CDTF">2024-04-09T12:23:00Z</dcterms:created>
  <dcterms:modified xsi:type="dcterms:W3CDTF">2024-04-09T12:25:00Z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stanislav.kovacik@bbraun.com</vt:lpwstr>
  </property>
  <property fmtid="{D5CDD505-2E9C-101B-9397-08002B2CF9AE}" pid="5" name="MSIP_Label_97735299-2a7d-4f7d-99cc-db352b8b5a9b_SetDate">
    <vt:lpwstr>2020-08-11T14:07:40.5351884Z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stanislav.kovacik@bbraun.com</vt:lpwstr>
  </property>
  <property fmtid="{D5CDD505-2E9C-101B-9397-08002B2CF9AE}" pid="12" name="MSIP_Label_fd058493-e43f-432e-b8cc-adb7daa46640_SetDate">
    <vt:lpwstr>2020-08-11T14:07:40.5351884Z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