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5544" w:firstLine="0"/>
        <w:spacing w:before="0" w:after="0" w:line="240" w:lineRule="auto"/>
        <w:jc w:val="left"/>
        <w:tabs>
          <w:tab w:val="right" w:leader="none" w:pos="6989"/>
          <w:tab w:val="right" w:leader="none" w:pos="8592"/>
        </w:tabs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číslo smlouvy</w:t>
      </w: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:	</w:t>
      </w: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S202407/2</w:t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000000"/>
          <w:sz w:val="28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8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SUBITON, spol. s r.o.</w:t>
      </w:r>
      <w:r>
        <w:rPr>
          <w:color w:val="#000000"/>
          <w:sz w:val="28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,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se sídlem Na Koza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čce 1103/5, Vinohrady, 120 00 Praha 2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4618"/>
        </w:tabs>
        <w:rPr>
          <w:color w:val="#000000"/>
          <w:sz w:val="24"/>
          <w:lang w:val="cs-CZ"/>
          <w:spacing w:val="-1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2"/>
          <w:w w:val="105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4"/>
          <w:lang w:val="cs-CZ"/>
          <w:spacing w:val="-12"/>
          <w:w w:val="105"/>
          <w:strike w:val="false"/>
          <w:vertAlign w:val="baseline"/>
          <w:rFonts w:ascii="Times New Roman" w:hAnsi="Times New Roman"/>
        </w:rPr>
        <w:t xml:space="preserve">Č: 170 </w:t>
      </w:r>
      <w:r>
        <w:rPr>
          <w:color w:val="#000000"/>
          <w:sz w:val="24"/>
          <w:lang w:val="cs-CZ"/>
          <w:spacing w:val="-12"/>
          <w:w w:val="105"/>
          <w:strike w:val="false"/>
          <w:vertAlign w:val="baseline"/>
          <w:rFonts w:ascii="Times New Roman" w:hAnsi="Times New Roman"/>
        </w:rPr>
        <w:t xml:space="preserve">46 521	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DIČ: CZ17046521</w:t>
      </w:r>
    </w:p>
    <w:p>
      <w:pPr>
        <w:ind w:right="1224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zapsaná v obchodním rejst</w:t>
      </w: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říku vedeném Městským soudem v Praze oddíl C, vložka 2500</w:t>
      </w: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 </w:t>
      </w:r>
      <w:hyperlink r:id="drId3">
        <w:r>
          <w:rPr>
            <w:color w:val="#0000FF"/>
            <w:sz w:val="24"/>
            <w:lang w:val="cs-CZ"/>
            <w:spacing w:val="-6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Kontakt:</w:t>
        </w:r>
      </w:hyperlink>
      <w:r>
        <w:rPr>
          <w:color w:val="#0000FF"/>
          <w:sz w:val="24"/>
          <w:lang w:val="cs-CZ"/>
          <w:spacing w:val="-6"/>
          <w:w w:val="105"/>
          <w:strike w:val="false"/>
          <w:u w:val="single"/>
          <w:vertAlign w:val="baseline"/>
          <w:rFonts w:ascii="Times New Roman" w:hAnsi="Times New Roman"/>
        </w:rPr>
        <w:t xml:space="preserve"> subiton@sveceny.cz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 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ČSOB – č.ú. 1800455323/0300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Zástupce: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Mgr.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Jaroslav Sv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ěcený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, jednatel, tel.602 353 196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(dále jen „agentura“)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na stran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ě jedné</w:t>
      </w:r>
    </w:p>
    <w:p>
      <w:pPr>
        <w:ind w:right="0" w:left="0" w:firstLine="0"/>
        <w:spacing w:before="288" w:after="0" w:line="240" w:lineRule="auto"/>
        <w:jc w:val="left"/>
        <w:rPr>
          <w:b w:val="true"/>
          <w:color w:val="#000000"/>
          <w:sz w:val="28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8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Kulturní centrum LaRitma, p</w:t>
      </w:r>
      <w:r>
        <w:rPr>
          <w:b w:val="true"/>
          <w:color w:val="#000000"/>
          <w:sz w:val="28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říspěvková organizace</w:t>
      </w:r>
      <w:r>
        <w:rPr>
          <w:b w:val="true"/>
          <w:color w:val="#000000"/>
          <w:sz w:val="28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13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s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e sídlem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Kosteln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í 43, 352 01 Aš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Č: 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71294431</w:t>
      </w:r>
    </w:p>
    <w:p>
      <w:pPr>
        <w:ind w:right="2664" w:left="0" w:firstLine="0"/>
        <w:spacing w:before="36" w:after="0" w:line="240" w:lineRule="auto"/>
        <w:jc w:val="left"/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zapsaná v obchodním rejst</w:t>
      </w: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říku vedeném Krajským soudem v </w:t>
      </w:r>
      <w:r>
        <w:rPr>
          <w:color w:val="#000000"/>
          <w:sz w:val="24"/>
          <w:lang w:val="cs-CZ"/>
          <w:spacing w:val="-9"/>
          <w:w w:val="105"/>
          <w:strike w:val="false"/>
          <w:vertAlign w:val="baseline"/>
          <w:rFonts w:ascii="Times New Roman" w:hAnsi="Times New Roman"/>
        </w:rPr>
        <w:t xml:space="preserve">Plzni Pr 954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Zástupce: Petr Všetečka, DiS, ředitel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Kontakt: </w:t>
      </w:r>
      <w:hyperlink r:id="drId4">
        <w:r>
          <w:rPr>
            <w:color w:val="#0000FF"/>
            <w:sz w:val="24"/>
            <w:lang w:val="cs-CZ"/>
            <w:spacing w:val="-4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info@laritma.cz</w:t>
        </w:r>
      </w:hyperlink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(dále jen „po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řadatel“)</w:t>
      </w:r>
    </w:p>
    <w:p>
      <w:pPr>
        <w:ind w:right="0" w:left="0" w:firstLine="0"/>
        <w:spacing w:before="36" w:after="0" w:line="204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na stran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ě druhé</w:t>
      </w:r>
    </w:p>
    <w:p>
      <w:pPr>
        <w:ind w:right="0" w:left="0" w:firstLine="0"/>
        <w:spacing w:before="288" w:after="0" w:line="208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uzav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řeli dnešního dne měsíce a roku tuto</w:t>
      </w:r>
    </w:p>
    <w:p>
      <w:pPr>
        <w:ind w:right="0" w:left="0" w:firstLine="0"/>
        <w:spacing w:before="288" w:after="0" w:line="240" w:lineRule="auto"/>
        <w:jc w:val="center"/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smlouvu o </w:t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zajišt</w:t>
        <w:br/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ění uměleckého výkonu
</w:t>
        <w:br/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(dále jen „smlouva“)</w:t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88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Čl. I.
</w:t>
        <w:br/>
      </w: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Předmět smlouvy.</w:t>
      </w: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88" w:after="0" w:line="240" w:lineRule="auto"/>
        <w:jc w:val="both"/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ředmětem této smlouvy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, je 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závazek agentury zajistit umělecký výkon (dále také „koncert“) 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dle </w:t>
      </w:r>
      <w:r>
        <w:rPr>
          <w:color w:val="#000000"/>
          <w:sz w:val="24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dispozic uvedených čl. II, oproti závazku pořadatele uhradit agentuře poplatek za zajištění 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uměleckého výkonu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 (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dále jen „odměna“) dle čl. III.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540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Čl. II.
</w:t>
        <w:br/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Práva a povinnosti stran.</w:t>
      </w:r>
    </w:p>
    <w:p>
      <w:pPr>
        <w:ind w:right="0" w:left="0" w:firstLine="0"/>
        <w:spacing w:before="288" w:after="0" w:line="240" w:lineRule="auto"/>
        <w:jc w:val="left"/>
        <w:tabs>
          <w:tab w:val="right" w:leader="none" w:pos="6989"/>
        </w:tabs>
        <w:rPr>
          <w:color w:val="#000000"/>
          <w:sz w:val="24"/>
          <w:lang w:val="cs-CZ"/>
          <w:spacing w:val="-7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78"/>
          <w:w w:val="105"/>
          <w:strike w:val="false"/>
          <w:vertAlign w:val="baseline"/>
          <w:rFonts w:ascii="Times New Roman" w:hAnsi="Times New Roman"/>
        </w:rPr>
        <w:t xml:space="preserve">1.	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Agentura je povinna zajistit koncert v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rámci festivalu Aššské jaro</w:t>
      </w:r>
    </w:p>
    <w:p>
      <w:pPr>
        <w:ind w:right="0" w:left="0" w:firstLine="0"/>
        <w:spacing w:before="324" w:after="0" w:line="199" w:lineRule="auto"/>
        <w:jc w:val="left"/>
        <w:tabs>
          <w:tab w:val="right" w:leader="none" w:pos="2371"/>
        </w:tabs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Datum:	</w:t>
      </w: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13.4.2024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6518"/>
        </w:tabs>
        <w:rPr>
          <w:color w:val="#000000"/>
          <w:sz w:val="24"/>
          <w:lang w:val="cs-CZ"/>
          <w:spacing w:val="-1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8"/>
          <w:w w:val="105"/>
          <w:strike w:val="false"/>
          <w:vertAlign w:val="baseline"/>
          <w:rFonts w:ascii="Times New Roman" w:hAnsi="Times New Roman"/>
        </w:rPr>
        <w:t xml:space="preserve">Název:	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Romantický recitál J.Sv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ěceného k Roku české hudby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6418"/>
        </w:tabs>
        <w:rPr>
          <w:color w:val="#000000"/>
          <w:sz w:val="24"/>
          <w:lang w:val="cs-CZ"/>
          <w:spacing w:val="-2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8"/>
          <w:w w:val="105"/>
          <w:strike w:val="false"/>
          <w:vertAlign w:val="baseline"/>
          <w:rFonts w:ascii="Times New Roman" w:hAnsi="Times New Roman"/>
        </w:rPr>
        <w:t xml:space="preserve">Kde:	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Kostel sv. Ka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rla Boromejského, Mok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řiny u Aše 124</w:t>
      </w:r>
    </w:p>
    <w:p>
      <w:pPr>
        <w:ind w:right="0" w:left="0" w:firstLine="0"/>
        <w:spacing w:before="0" w:after="0" w:line="264" w:lineRule="auto"/>
        <w:jc w:val="left"/>
        <w:tabs>
          <w:tab w:val="right" w:leader="none" w:pos="3826"/>
        </w:tabs>
        <w:rPr>
          <w:color w:val="#000000"/>
          <w:sz w:val="24"/>
          <w:lang w:val="cs-CZ"/>
          <w:spacing w:val="-1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4"/>
          <w:w w:val="105"/>
          <w:strike w:val="false"/>
          <w:vertAlign w:val="baseline"/>
          <w:rFonts w:ascii="Times New Roman" w:hAnsi="Times New Roman"/>
        </w:rPr>
        <w:t xml:space="preserve">Čas:	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od 19 hod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. bez přestávky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52" w:after="0" w:line="240" w:lineRule="auto"/>
        <w:jc w:val="left"/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Koncert po hudbení stránce provedou tito um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ělci: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r>
    </w:p>
    <w:p>
      <w:pPr>
        <w:ind w:right="5400" w:left="0" w:firstLine="0"/>
        <w:spacing w:before="288" w:after="0" w:line="240" w:lineRule="auto"/>
        <w:jc w:val="left"/>
        <w:rPr>
          <w:color w:val="#000000"/>
          <w:sz w:val="24"/>
          <w:lang w:val="cs-CZ"/>
          <w:spacing w:val="0"/>
          <w:w w:val="105"/>
          <w:strike w:val="false"/>
          <w:u w:val="singl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5"/>
          <w:strike w:val="false"/>
          <w:u w:val="single"/>
          <w:vertAlign w:val="baseline"/>
          <w:rFonts w:ascii="Times New Roman" w:hAnsi="Times New Roman"/>
        </w:rPr>
        <w:t xml:space="preserve">Jméno a p</w:t>
      </w:r>
      <w:r>
        <w:rPr>
          <w:color w:val="#000000"/>
          <w:sz w:val="24"/>
          <w:lang w:val="cs-CZ"/>
          <w:spacing w:val="0"/>
          <w:w w:val="105"/>
          <w:strike w:val="false"/>
          <w:u w:val="single"/>
          <w:vertAlign w:val="baseline"/>
          <w:rFonts w:ascii="Times New Roman" w:hAnsi="Times New Roman"/>
        </w:rPr>
        <w:t xml:space="preserve">říjmení, nástrojové obsazení  </w:t>
      </w:r>
      <w:r>
        <w:rPr>
          <w:b w:val="true"/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Jaroslav Svěcený – housle a průvodní slovo</w:t>
      </w:r>
      <w:r>
        <w:rPr>
          <w:b w:val="true"/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Lucie Karlová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klavír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Technické požadavky:</w:t>
      </w:r>
    </w:p>
    <w:p>
      <w:pPr>
        <w:ind w:right="4104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- uzamykatel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ná šatna s možností odpo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činku a občerstvením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parkovací místa pro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1 auto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- 1x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mikrofon pro mluvené slovo</w:t>
      </w:r>
    </w:p>
    <w:p>
      <w:pPr>
        <w:sectPr>
          <w:pgSz w:w="11918" w:h="16854" w:orient="portrait"/>
          <w:type w:val="nextPage"/>
          <w:textDirection w:val="lrTb"/>
          <w:pgMar w:bottom="468" w:top="756" w:right="993" w:left="1065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ostatní požadavky dle e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mailové komunikace s p.Sv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ěceným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1008" w:firstLine="-576"/>
        <w:spacing w:before="252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Ú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čast umělců uvedených v Čl. II. odst. 1, respektive provedeníkoncertu konkrétně těmito </w:t>
      </w:r>
      <w:r>
        <w:rPr>
          <w:color w:val="#000000"/>
          <w:sz w:val="24"/>
          <w:lang w:val="cs-CZ"/>
          <w:spacing w:val="12"/>
          <w:w w:val="105"/>
          <w:strike w:val="false"/>
          <w:vertAlign w:val="baseline"/>
          <w:rFonts w:ascii="Times New Roman" w:hAnsi="Times New Roman"/>
        </w:rPr>
        <w:t xml:space="preserve">umělci je závazné, agentura musí</w:t>
      </w:r>
      <w:r>
        <w:rPr>
          <w:color w:val="#000000"/>
          <w:sz w:val="24"/>
          <w:lang w:val="cs-CZ"/>
          <w:spacing w:val="12"/>
          <w:w w:val="105"/>
          <w:strike w:val="false"/>
          <w:vertAlign w:val="baseline"/>
          <w:rFonts w:ascii="Times New Roman" w:hAnsi="Times New Roman"/>
        </w:rPr>
        <w:t xml:space="preserve"> s </w:t>
      </w:r>
      <w:r>
        <w:rPr>
          <w:color w:val="#000000"/>
          <w:sz w:val="24"/>
          <w:lang w:val="cs-CZ"/>
          <w:spacing w:val="12"/>
          <w:w w:val="105"/>
          <w:strike w:val="false"/>
          <w:vertAlign w:val="baseline"/>
          <w:rFonts w:ascii="Times New Roman" w:hAnsi="Times New Roman"/>
        </w:rPr>
        <w:t xml:space="preserve">dostatečným předstihem případnou změnu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v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personálním obsazení koncertu oznámit pořadateli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1008" w:firstLine="-576"/>
        <w:spacing w:before="252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Po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řadatel má povinnost zajistit důstojný prostor, ve kterém bude koncert realizován (např. 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koncertní sál, koncertní místnost v kulturním domě apod.) a samostatnou uzamykatelnou 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místnost (pro účely odložení civilního oblečení a osobních věcí umělců), která bude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umělcům k dispozici minimálně 3 hodiny před začátkem koncertu.</w:t>
      </w:r>
    </w:p>
    <w:p>
      <w:pPr>
        <w:ind w:right="0" w:left="1008" w:firstLine="-576"/>
        <w:spacing w:before="288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V 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4"/>
          <w:lang w:val="cs-CZ"/>
          <w:spacing w:val="-8"/>
          <w:w w:val="105"/>
          <w:strike w:val="false"/>
          <w:vertAlign w:val="baseline"/>
          <w:rFonts w:ascii="Times New Roman" w:hAnsi="Times New Roman"/>
        </w:rPr>
        <w:t xml:space="preserve">řípadě, že je mezi stranami sjednán závazek pořadatele zajistit ubytování, má povinnost na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vlastní náklady toto ubytování umělcům zajistit (např. samostatné pokoje se sociálním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zařízením pro každého jednotlivého umělce). Shora popsaný závazek musí být sjednán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písemně, jinak je neplatný.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1008" w:firstLine="-576"/>
        <w:spacing w:before="288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Je-</w:t>
      </w:r>
      <w:r>
        <w:rPr>
          <w:color w:val="#000000"/>
          <w:sz w:val="24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li koncert realizován v exteriéru, má po</w:t>
      </w:r>
      <w:r>
        <w:rPr>
          <w:color w:val="#000000"/>
          <w:sz w:val="24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řadatel povinnost zajistit kryté pódium a </w:t>
      </w:r>
      <w:r>
        <w:rPr>
          <w:color w:val="#000000"/>
          <w:sz w:val="24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alternativní prostor pro případnou změnu místa realizace koncertu (např. z důvodu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nepříznivého počasí nebo náhlé změny počasí před začátkem koncertu).</w:t>
      </w:r>
    </w:p>
    <w:p>
      <w:pPr>
        <w:ind w:right="0" w:left="1008" w:firstLine="-576"/>
        <w:spacing w:before="288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Po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řadatel má v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 souladu s 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mezinárodní konvencí IFPI povinnost zajistit, aby během koncertu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nebyly bez souhlasu agentury pořizovány žádné zvukové, obrazové či jakékoli jiné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záznamy (dále jen „pořizování záznamů“).</w:t>
      </w:r>
    </w:p>
    <w:p>
      <w:pPr>
        <w:ind w:right="0" w:left="1008" w:firstLine="-576"/>
        <w:spacing w:before="288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Ustanovení 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Čl. II. odst. 5 se nepoužije v případě, že agentura pořadateli pořizování záznamů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povolí. Rozsah případného povolení, je otázkou vzájemné dohody stran.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1008" w:firstLine="-576"/>
        <w:spacing w:before="288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Po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řadatel má povinnost zajistit dostatečnou a včasnou propagaci koncertu, agentura je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povinna poskytnout pořadateli v rámci propagace potřebnou součinnost (</w:t>
      </w:r>
      <w:hyperlink r:id="drId6">
        <w:r>
          <w:rPr>
            <w:color w:val="#0000FF"/>
            <w:sz w:val="24"/>
            <w:lang w:val="cs-CZ"/>
            <w:spacing w:val="-5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např. ve</w:t>
        </w:r>
      </w:hyperlink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 formě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poskytn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utí propagačních materiálů, plakátů apod.).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1008" w:firstLine="-576"/>
        <w:spacing w:before="288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Bude-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li realizace koncertu znemožn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ěna, či bude koncert zrušen z důvodů tzv. vis maior,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kterými jsou zejména: různé druhy přírodních katastrof (zemětřesení, povodeň, vichřice 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apod.), epidemie, a jiných podobně závažných důvodů stojících mimo smluvní strany,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mají účastníci právo od smlouvy odstoupit bez nároku na jakákoli vzájemná plnění.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1008" w:firstLine="-576"/>
        <w:spacing w:before="252" w:after="0" w:line="240" w:lineRule="auto"/>
        <w:jc w:val="both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Mezi závažné d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ůvody stojící mimo smluvní strany (Čl. II. odst. 9) nepatří zejména: malý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zájem o vstupenky, nezajištění koncertního prostoru ze strany pořadatele, nepříznivé 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počasí apod.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1008" w:firstLine="-576"/>
        <w:spacing w:before="288" w:after="0" w:line="240" w:lineRule="auto"/>
        <w:jc w:val="left"/>
        <w:tabs>
          <w:tab w:val="clear" w:pos="360"/>
          <w:tab w:val="decimal" w:pos="792"/>
        </w:tabs>
        <w:numPr>
          <w:ilvl w:val="0"/>
          <w:numId w:val="2"/>
        </w:numP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Strany této smlouvy pro p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řípad zrušení koncertu ze strany pořadatele (s výjimkou případů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specifikovaných v ustanovení Čl. II. odst. 10) sjednávají smluvní pokutu ve výši: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6"/>
          <w:lang w:val="cs-CZ"/>
          <w:spacing w:val="4"/>
          <w:w w:val="100"/>
          <w:strike w:val="false"/>
          <w:vertAlign w:val="baseline"/>
          <w:rFonts w:ascii="Courier New" w:hAnsi="Courier New"/>
        </w:rPr>
        <w:t xml:space="preserve">- </w:t>
      </w:r>
      <w:r>
        <w:rPr>
          <w:color w:val="#000000"/>
          <w:sz w:val="24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25% poplatku, je-</w:t>
      </w:r>
      <w:r>
        <w:rPr>
          <w:color w:val="#000000"/>
          <w:sz w:val="24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li koncert zrušen 30 a méně dní před datem konání koncertu</w:t>
      </w:r>
      <w:r>
        <w:rPr>
          <w:color w:val="#000000"/>
          <w:sz w:val="24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6"/>
          <w:lang w:val="cs-CZ"/>
          <w:spacing w:val="-1"/>
          <w:w w:val="100"/>
          <w:strike w:val="false"/>
          <w:vertAlign w:val="baseline"/>
          <w:rFonts w:ascii="Courier New" w:hAnsi="Courier New"/>
        </w:rPr>
        <w:t xml:space="preserve">- 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100% poplatku, je-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li koncert zrušen 21 a méně dní před datem konání koncertu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864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Čl. III.</w:t>
      </w: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Platební podmínky.</w:t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1728" w:left="792" w:firstLine="-720"/>
        <w:spacing w:before="252" w:after="0" w:line="240" w:lineRule="auto"/>
        <w:jc w:val="left"/>
        <w:tabs>
          <w:tab w:val="clear" w:pos="72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Po</w:t>
      </w: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řadatel</w:t>
      </w: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 se zavazuje uhradit </w:t>
      </w: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agentuře</w:t>
      </w: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 za </w:t>
      </w: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zajištění koncertů odměnu ve výši</w:t>
      </w:r>
      <w:r>
        <w:rPr>
          <w:color w:val="#000000"/>
          <w:sz w:val="24"/>
          <w:lang w:val="cs-CZ"/>
          <w:spacing w:val="-10"/>
          <w:w w:val="105"/>
          <w:strike w:val="false"/>
          <w:vertAlign w:val="baseline"/>
          <w:rFonts w:ascii="Times New Roman" w:hAnsi="Times New Roman"/>
        </w:rPr>
        <w:t xml:space="preserve">: 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56.000,- 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Kč plus DPH ve výši 21% tj. 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11.760,- 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Kč, celkem 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67.760,- 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Kč</w:t>
      </w:r>
      <w:r>
        <w:rPr>
          <w:b w:val="true"/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.</w:t>
      </w:r>
    </w:p>
    <w:p>
      <w:pPr>
        <w:ind w:right="0" w:left="792" w:firstLine="-720"/>
        <w:spacing w:before="252" w:after="0" w:line="240" w:lineRule="auto"/>
        <w:jc w:val="left"/>
        <w:tabs>
          <w:tab w:val="clear" w:pos="720"/>
          <w:tab w:val="decimal" w:pos="792"/>
        </w:tabs>
        <w:numPr>
          <w:ilvl w:val="0"/>
          <w:numId w:val="3"/>
        </w:numP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Odm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ěna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specifikovan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á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v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Čl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. III. odst. 1, bude uhrazena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na základě faktury vystavené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agenturou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po realizaci koncertů se splatností do 14 dnů od vystavení.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sectPr>
          <w:pgSz w:w="11918" w:h="16854" w:orient="portrait"/>
          <w:type w:val="nextPage"/>
          <w:textDirection w:val="lrTb"/>
          <w:pgMar w:bottom="548" w:top="756" w:right="997" w:left="1061" w:header="720" w:footer="720"/>
          <w:titlePg w:val="false"/>
        </w:sectPr>
      </w:pPr>
    </w:p>
    <w:p>
      <w:pPr>
        <w:ind w:right="0" w:left="792" w:firstLine="-720"/>
        <w:spacing w:before="0" w:after="0" w:line="240" w:lineRule="auto"/>
        <w:jc w:val="left"/>
        <w:tabs>
          <w:tab w:val="clear" w:pos="720"/>
          <w:tab w:val="decimal" w:pos="792"/>
        </w:tabs>
        <w:numPr>
          <w:ilvl w:val="0"/>
          <w:numId w:val="4"/>
        </w:numP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pict>
          <v:line strokeweight="1.45pt" strokecolor="#000000" from="0pt,627.7pt" to="108.05pt,627.7pt" style="position:absolute;mso-position-horizontal-relative:text;mso-position-vertical-relative:text;">
            <v:stroke dashstyle="shortdot"/>
          </v:line>
        </w:pict>
      </w:r>
      <w:r>
        <w:pict>
          <v:line strokeweight="1.45pt" strokecolor="#000000" from="217pt,627.7pt" to="266pt,627.7pt" style="position:absolute;mso-position-horizontal-relative:text;mso-position-vertical-relative:text;">
            <v:stroke dashstyle="shortdot"/>
          </v:line>
        </w:pict>
      </w:r>
      <w:r>
        <w:pict>
          <v:line strokeweight="1.45pt" strokecolor="#000000" from="267.4pt,627.7pt" to="328.65pt,627.7pt" style="position:absolute;mso-position-horizontal-relative:text;mso-position-vertical-relative:text;">
            <v:stroke dashstyle="shortdot"/>
          </v:line>
        </w:pic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Pro p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řípad, že se strany domluví jinak (</w:t>
      </w:r>
      <w:hyperlink r:id="drId7">
        <w:r>
          <w:rPr>
            <w:color w:val="#0000FF"/>
            <w:sz w:val="24"/>
            <w:lang w:val="cs-CZ"/>
            <w:spacing w:val="-3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např. na</w:t>
        </w:r>
      </w:hyperlink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 úhradu odměny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 v hotovosti 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nebo jiným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způsobem), nepoužije se na úhradu odměny ustanovení Č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l. III. odst. 2 smlouvy.</w:t>
      </w:r>
    </w:p>
    <w:p>
      <w:pPr>
        <w:ind w:right="0" w:left="792" w:firstLine="-720"/>
        <w:spacing w:before="504" w:after="0" w:line="240" w:lineRule="auto"/>
        <w:jc w:val="both"/>
        <w:tabs>
          <w:tab w:val="clear" w:pos="720"/>
          <w:tab w:val="decimal" w:pos="792"/>
        </w:tabs>
        <w:numPr>
          <w:ilvl w:val="0"/>
          <w:numId w:val="4"/>
        </w:numPr>
        <w:rPr>
          <w:color w:val="#000000"/>
          <w:sz w:val="24"/>
          <w:lang w:val="cs-CZ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Strany této smlouvy pro p</w:t>
      </w:r>
      <w:r>
        <w:rPr>
          <w:color w:val="#000000"/>
          <w:sz w:val="24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řípad prodlení s úhradou odměny</w:t>
      </w:r>
      <w:r>
        <w:rPr>
          <w:color w:val="#000000"/>
          <w:sz w:val="24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, sjedn</w:t>
      </w:r>
      <w:r>
        <w:rPr>
          <w:color w:val="#000000"/>
          <w:sz w:val="24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ávají smluvní pokutu ve 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výši 0,2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% z 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dlužné částky za každý jednotlivý den prodlení. Toto ustanovení o smluvní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pokutě nemá vliv na případné uplatnění nároku z titulu náhrady škody.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828" w:after="0" w:line="240" w:lineRule="auto"/>
        <w:jc w:val="center"/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Čl. </w:t>
      </w:r>
      <w:r>
        <w:rPr>
          <w:b w:val="true"/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IV.
</w:t>
        <w:br/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Přechodná a závěrečná ustanovení.</w:t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792" w:firstLine="-720"/>
        <w:spacing w:before="288" w:after="0" w:line="240" w:lineRule="auto"/>
        <w:jc w:val="both"/>
        <w:tabs>
          <w:tab w:val="clear" w:pos="720"/>
          <w:tab w:val="decimal" w:pos="792"/>
        </w:tabs>
        <w:numPr>
          <w:ilvl w:val="0"/>
          <w:numId w:val="5"/>
        </w:numPr>
        <w:rPr>
          <w:color w:val="#000000"/>
          <w:sz w:val="24"/>
          <w:lang w:val="cs-CZ"/>
          <w:spacing w:val="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Tato smlouva je sepsána ve </w:t>
      </w:r>
      <w:r>
        <w:rPr>
          <w:color w:val="#000000"/>
          <w:sz w:val="24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dvou </w:t>
      </w:r>
      <w:r>
        <w:rPr>
          <w:color w:val="#000000"/>
          <w:sz w:val="24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vyhotoveních, každá s platností originálu a vstupuje 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v 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platnost a ú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činnost ke dni podpisu poslední ze stran. Jedno vyhotovení obdrží agentura,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druhé vyhotovení pořadatel.</w:t>
      </w:r>
      <w:r>
        <w:rPr>
          <w:b w:val="true"/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792" w:firstLine="-720"/>
        <w:spacing w:before="288" w:after="0" w:line="240" w:lineRule="auto"/>
        <w:jc w:val="left"/>
        <w:tabs>
          <w:tab w:val="clear" w:pos="720"/>
          <w:tab w:val="decimal" w:pos="792"/>
        </w:tabs>
        <w:numPr>
          <w:ilvl w:val="0"/>
          <w:numId w:val="5"/>
        </w:numP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Právní vztahy založené touto smlouvou se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řídí platnými předpisy českého práva, zejména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zákonem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89/2012 Sb. v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platném znění.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792" w:firstLine="-720"/>
        <w:spacing w:before="252" w:after="0" w:line="240" w:lineRule="auto"/>
        <w:jc w:val="left"/>
        <w:tabs>
          <w:tab w:val="clear" w:pos="720"/>
          <w:tab w:val="decimal" w:pos="792"/>
        </w:tabs>
        <w:numPr>
          <w:ilvl w:val="0"/>
          <w:numId w:val="5"/>
        </w:numP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Smlouva m</w:t>
      </w:r>
      <w:r>
        <w:rPr>
          <w:color w:val="#000000"/>
          <w:sz w:val="24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ůže být měněna pouze formou písemných a vzestupně číslovaných dodatků, které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musí být podepsány oběma stranami.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792" w:firstLine="-720"/>
        <w:spacing w:before="252" w:after="0" w:line="240" w:lineRule="auto"/>
        <w:jc w:val="both"/>
        <w:tabs>
          <w:tab w:val="clear" w:pos="720"/>
          <w:tab w:val="decimal" w:pos="792"/>
        </w:tabs>
        <w:numPr>
          <w:ilvl w:val="0"/>
          <w:numId w:val="5"/>
        </w:numPr>
        <w:rPr>
          <w:color w:val="#000000"/>
          <w:sz w:val="24"/>
          <w:lang w:val="cs-CZ"/>
          <w:spacing w:val="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5"/>
          <w:w w:val="105"/>
          <w:strike w:val="false"/>
          <w:vertAlign w:val="baseline"/>
          <w:rFonts w:ascii="Times New Roman" w:hAnsi="Times New Roman"/>
        </w:rPr>
        <w:t xml:space="preserve">Tato smlouva m</w:t>
      </w:r>
      <w:r>
        <w:rPr>
          <w:color w:val="#000000"/>
          <w:sz w:val="24"/>
          <w:lang w:val="cs-CZ"/>
          <w:spacing w:val="5"/>
          <w:w w:val="105"/>
          <w:strike w:val="false"/>
          <w:vertAlign w:val="baseline"/>
          <w:rFonts w:ascii="Times New Roman" w:hAnsi="Times New Roman"/>
        </w:rPr>
        <w:t xml:space="preserve">ůže být ukončena pouze dohodou stran nebo na základě taxativně </w:t>
      </w:r>
      <w:r>
        <w:rPr>
          <w:color w:val="#000000"/>
          <w:sz w:val="24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stanovených důvodů, které jsou uvedeny ve smlouvě, jednostranné odstoupení od smlouvy 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není možné.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792" w:firstLine="-720"/>
        <w:spacing w:before="576" w:after="0" w:line="240" w:lineRule="auto"/>
        <w:jc w:val="both"/>
        <w:tabs>
          <w:tab w:val="clear" w:pos="720"/>
          <w:tab w:val="decimal" w:pos="792"/>
        </w:tabs>
        <w:numPr>
          <w:ilvl w:val="0"/>
          <w:numId w:val="5"/>
        </w:numP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Pro p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řípad, že by se některé ustanovení této smlouvy ukázalo neplatným, zůstávají ostatní </w:t>
      </w:r>
      <w:r>
        <w:rPr>
          <w:color w:val="#000000"/>
          <w:sz w:val="24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ustanovení smlouvy touto skutečností nedotčena. Na místo dotyčného ustanovení pak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nastupuje ustanovení příslušného obecně závazného právního předpisu, které je svou povahou 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a účelem nejbližší zamýšlenému účelu smlouvy.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792" w:firstLine="-720"/>
        <w:spacing w:before="288" w:after="0" w:line="240" w:lineRule="auto"/>
        <w:jc w:val="left"/>
        <w:tabs>
          <w:tab w:val="clear" w:pos="720"/>
          <w:tab w:val="decimal" w:pos="792"/>
        </w:tabs>
        <w:numPr>
          <w:ilvl w:val="0"/>
          <w:numId w:val="5"/>
        </w:numP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Ú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častníci prohlašují, že měli dostatek času se s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obsahem smlouvy </w:t>
      </w:r>
      <w:r>
        <w:rPr>
          <w:color w:val="#000000"/>
          <w:sz w:val="24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podrobně seznámit a že smlouva nebyla sjednána v tísni a za nápadně nevýhodných podmínek.</w:t>
      </w:r>
    </w:p>
    <w:p>
      <w:pPr>
        <w:ind w:right="0" w:left="792" w:firstLine="-720"/>
        <w:spacing w:before="252" w:after="0" w:line="240" w:lineRule="auto"/>
        <w:jc w:val="left"/>
        <w:tabs>
          <w:tab w:val="clear" w:pos="720"/>
          <w:tab w:val="decimal" w:pos="792"/>
        </w:tabs>
        <w:numPr>
          <w:ilvl w:val="0"/>
          <w:numId w:val="5"/>
        </w:numP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Na d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ůkaz své pravé a svobodné vůle připojují účastníci níže své vlastnoruční podpisy.</w:t>
      </w:r>
      <w:r>
        <w:rPr>
          <w:color w:val="#000000"/>
          <w:sz w:val="24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540" w:after="0" w:line="204" w:lineRule="auto"/>
        <w:jc w:val="left"/>
        <w:tabs>
          <w:tab w:val="left" w:leader="none" w:pos="4316"/>
          <w:tab w:val="right" w:leader="none" w:pos="7547"/>
        </w:tabs>
        <w:rPr>
          <w:color w:val="#000000"/>
          <w:sz w:val="24"/>
          <w:lang w:val="cs-CZ"/>
          <w:spacing w:val="-1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cs-CZ"/>
          <w:spacing w:val="-12"/>
          <w:w w:val="105"/>
          <w:strike w:val="false"/>
          <w:vertAlign w:val="baseline"/>
          <w:rFonts w:ascii="Times New Roman" w:hAnsi="Times New Roman"/>
        </w:rPr>
        <w:t xml:space="preserve">V Praze dne	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V	</w:t>
      </w:r>
      <w:r>
        <w:rPr>
          <w:color w:val="#000000"/>
          <w:sz w:val="24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dne</w:t>
      </w:r>
    </w:p>
    <w:p>
      <w:pPr>
        <w:sectPr>
          <w:pgSz w:w="11918" w:h="16854" w:orient="portrait"/>
          <w:type w:val="nextPage"/>
          <w:textDirection w:val="lrTb"/>
          <w:pgMar w:bottom="2950" w:top="1036" w:right="999" w:left="1059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90pt;height:14.1pt;z-index:-1000;margin-left:52.95pt;margin-top:68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59" w:y="13696" w:w="9800" w:h="282" w:hSpace="0" w:vSpace="0" w:wrap="3"/>
                    <w:tabs>
                      <w:tab w:val="right" w:leader="none" w:pos="5142"/>
                    </w:tabs>
                    <w:rPr>
                      <w:color w:val="#000000"/>
                      <w:sz w:val="24"/>
                      <w:lang w:val="cs-CZ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cs-CZ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agentura	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po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řadatel</w:t>
                  </w:r>
                  <w:r>
                    <w:rPr>
                      <w:color w:val="#000000"/>
                      <w:sz w:val="24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</w:p>
    <w:sectPr>
      <w:pgSz w:w="11918" w:h="16854" w:orient="portrait"/>
      <w:type w:val="continuous"/>
      <w:textDirection w:val="lrTb"/>
      <w:pgMar w:bottom="2950" w:top="1036" w:right="1006" w:left="106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EE"/>
    <w:pitch w:val="fixed"/>
    <w:family w:val="moder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2"/>
      <w:lvlJc w:val="left"/>
      <w:pPr>
        <w:ind w:left="720"/>
        <w:tabs>
          <w:tab w:val="decimal" w:pos="360"/>
        </w:tabs>
      </w:pPr>
      <w:rPr>
        <w:color w:val="#000000"/>
        <w:sz w:val="24"/>
        <w:lang w:val="cs-CZ"/>
        <w:spacing w:val="-3"/>
        <w:w w:val="105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720"/>
        </w:tabs>
      </w:pPr>
      <w:rPr>
        <w:color w:val="#000000"/>
        <w:sz w:val="24"/>
        <w:lang w:val="cs-CZ"/>
        <w:spacing w:val="-10"/>
        <w:w w:val="105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decimal"/>
      <w:lvlText w:val="%1."/>
      <w:start w:val="3"/>
      <w:lvlJc w:val="left"/>
      <w:pPr>
        <w:ind w:left="720"/>
        <w:tabs>
          <w:tab w:val="decimal" w:pos="720"/>
        </w:tabs>
      </w:pPr>
      <w:rPr>
        <w:color w:val="#000000"/>
        <w:sz w:val="24"/>
        <w:lang w:val="cs-CZ"/>
        <w:spacing w:val="-3"/>
        <w:w w:val="105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decimal"/>
      <w:lvlText w:val="%1."/>
      <w:start w:val="1"/>
      <w:lvlJc w:val="left"/>
      <w:pPr>
        <w:ind w:left="720"/>
        <w:tabs>
          <w:tab w:val="decimal" w:pos="720"/>
        </w:tabs>
      </w:pPr>
      <w:rPr>
        <w:color w:val="#000000"/>
        <w:sz w:val="24"/>
        <w:lang w:val="cs-CZ"/>
        <w:spacing w:val="4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tp://Kontakt:_subiton@sveceny.cz" TargetMode="External" Id="drId3" /><Relationship Type="http://schemas.openxmlformats.org/officeDocument/2006/relationships/hyperlink" Target="mailto:info@laritma.cz" TargetMode="External" Id="drId4" /><Relationship Type="http://schemas.openxmlformats.org/officeDocument/2006/relationships/numbering" Target="/word/numbering.xml" Id="drId5" /><Relationship Type="http://schemas.openxmlformats.org/officeDocument/2006/relationships/hyperlink" Target="http://nap&#345;.ve" TargetMode="External" Id="drId6" /><Relationship Type="http://schemas.openxmlformats.org/officeDocument/2006/relationships/hyperlink" Target="http://nap&#345;.na" TargetMode="External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