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b99a4b4624b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100" w:right="990" w:bottom="1100" w:left="990" w:header="708" w:footer="708" w:gutter="0"/>
      <w:cols w:space="708"/>
      <w:docGrid w:linePitch="360"/>
      <w:footerReference w:type="default" r:id="R7e78771bc85e4316"/>
      <w:footerReference w:type="even" r:id="Rd108d2e6cd7c4bbc"/>
      <w:footerReference w:type="first" r:id="R90defc0f6ccb4bed"/>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bd4ef29c654478"/>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
                <w:rFonts w:ascii="Calibri" w:hAnsi="Calibri" w:cs="Calibri"/>
                <w:b/>
                <w:sz w:val="40"/>
                <w:szCs w:val="40"/>
              </w:rPr>
              <w:t>Objednávka 66/2024</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PETR STOLÍN ARCHITEKT s.r.o.</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Vaňurova 820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46007, Liberec</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27353265</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Architekt města</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DIČ: CZ27353265</w:t>
            </w:r>
          </w:p>
        </w:tc>
      </w:tr>
      <w:tr>
        <w:tc>
          <w:tcPr>
            <w:tcW w:w="2310" w:type="pct"/>
            <w:tcBorders>
              <w:bottom w:val="double" w:sz="2" w:space="1" w:color="FFFFFF"/>
              <w:top w:val="double" w:sz="2" w:space="1" w:color="FFFFFF"/>
              <w:left w:val="double" w:sz="2" w:space="1" w:color="FFFFFF"/>
              <w:right w:val="double" w:sz="2" w:space="1" w:color="FFFFFF"/>
            </w:tcBorders>
          </w:tcPr>
          <w:p>
            <w:pPr>
              <w:rPr>
                <w:sz w:val="24"/>
                <w:szCs w:val="24"/>
                <w:rFonts/>
              </w:rPr>
            </w:pP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
          <w:rFonts w:ascii="Calibri" w:hAnsi="Calibri" w:cs="Calibri"/>
          <w:b/>
          <w:sz w:val="24"/>
          <w:szCs w:val="24"/>
        </w:rPr>
        <w:t xml:space="preserve">Zastoupený: </w:t>
      </w:r>
      <w:r>
        <w:rPr>
          <w:lang w:val="cs"/>
          <w:rFonts w:ascii="Calibri" w:hAnsi="Calibri" w:cs="Calibri"/>
          <w:sz w:val="24"/>
          <w:szCs w:val="24"/>
        </w:rPr>
        <w:t xml:space="preserve"> XXXXXXXXXXXXXX</w:t>
      </w:r>
    </w:p>
    <w:p>
      <w:pPr/>
      <w:r>
        <w:rPr>
          <w:lang w:val="cs"/>
          <w:rFonts w:ascii="Calibri" w:hAnsi="Calibri" w:cs="Calibri"/>
          <w:sz w:val="24"/>
          <w:szCs w:val="24"/>
        </w:rPr>
        <w:t>Objednávka je zadána na základě přímého zadání</w:t>
      </w:r>
    </w:p>
    <w:p>
      <w:pPr>
        <w:pBdr>
          <w:bottom w:val="single" w:sz="6" w:space="1" w:color="auto"/>
        </w:pBdr>
      </w:pPr>
    </w:p>
    <w:p>
      <w:pPr/>
      <w:r>
        <w:rPr>
          <w:lang w:val="cs"/>
          <w:rFonts w:ascii="Calibri" w:hAnsi="Calibri" w:cs="Calibri"/>
          <w:b/>
          <w:sz w:val="24"/>
          <w:szCs w:val="24"/>
        </w:rPr>
        <w:t>Předmětem objednávky je dodávka/poskytnutí těchto služeb:</w:t>
      </w:r>
    </w:p>
    <w:p>
      <w:pPr/>
      <w:r>
        <w:rPr>
          <w:lang w:val="cs"/>
          <w:rFonts w:ascii="Calibri" w:hAnsi="Calibri" w:cs="Calibri"/>
          <w:sz w:val="24"/>
          <w:szCs w:val="24"/>
        </w:rPr>
        <w:t>Objednáváme u Vás práce spojené s funkcí porotce (nezávislého člena poroty) urbanisticko-architektonické soutěže o návrh: "Holínské Předměstí". Odměna za práci (honorář) porotce je stanovena hodinově ve výši dle schválené dohody na ustavujícím jednání poroty ze dne 11.1.2024 za čas strávený na zasedáních poroty (včetně per rollam a přípravy na jednání). Kromě tohoto honoráře dle dohody z ustavujícího zasedání porotci přísluší náhrada cestovních výdajů – jízdní výdaje a náhrada za čas strávený na cestě (k jednání poroty v Jičíně)  - ve výši poloviny dohodnuté hodinové sazby. Předpokládaná odměna včetně náhrad je do max. výše 55 000,- Kč. Honorář za provedené práce včetně náhrad bude porotcem fakturován (vystavením daňového dokladu) po ukončení soutěže na základě konečného výkazu dle skutečnosti a po odsouhlasení objednatelem.</w:t>
      </w:r>
      <w:r>
        <w:rPr>
          <w:lang w:val="cs"/>
          <w:rFonts w:ascii="Calibri" w:hAnsi="Calibri" w:cs="Calibri"/>
          <w:sz w:val="24"/>
          <w:szCs w:val="24"/>
        </w:rPr>
        <w:br/>
      </w:r>
    </w:p>
    <w:p>
      <w:pPr>
        <w:pBdr>
          <w:bottom w:val="single" w:sz="6" w:space="1" w:color="auto"/>
        </w:pBdr>
      </w:pPr>
    </w:p>
    <w:p>
      <w:pPr>
        <w:spacing w:before="120"/>
      </w:pPr>
      <w:r>
        <w:rPr>
          <w:lang w:val="cs"/>
          <w:rFonts w:ascii="Calibri" w:hAnsi="Calibri" w:cs="Calibri"/>
          <w:sz w:val="24"/>
          <w:szCs w:val="24"/>
        </w:rPr>
        <w:t>Objednatel prohlašuje, že objednávka souvisí s jeho veřejnou správou.</w:t>
      </w:r>
    </w:p>
    <w:p>
      <w:pPr/>
    </w:p>
    <w:p>
      <w:pPr/>
    </w:p>
    <w:p>
      <w:pPr/>
      <w:r>
        <w:rPr>
          <w:lang w:val="cs"/>
          <w:rFonts w:ascii="Calibri" w:hAnsi="Calibri" w:cs="Calibri"/>
          <w:b/>
          <w:sz w:val="24"/>
          <w:szCs w:val="24"/>
        </w:rPr>
        <w:t xml:space="preserve">Sazba DPH: </w:t>
      </w:r>
      <w:r>
        <w:rPr>
          <w:lang w:val="cs"/>
          <w:rFonts w:ascii="Calibri" w:hAnsi="Calibri" w:cs="Calibri"/>
          <w:sz w:val="24"/>
          <w:szCs w:val="24"/>
        </w:rPr>
        <w:t>21%</w:t>
      </w:r>
    </w:p>
    <w:p>
      <w:pPr/>
    </w:p>
    <w:tbl>
      <w:tblPr>
        <w:tblStyle w:val="TableGrid"/>
        <w:tblW w:w="10735" w:type="dxa"/>
        <w:tblLayout w:type="fixed"/>
        <w:tblLook w:val="04A0"/>
        <w:jc w:val="center"/>
      </w:tblPr>
      <w:tblGrid>
        <w:gridCol w:w="6235"/>
        <w:gridCol w:w="2000"/>
        <w:gridCol w:w="2500"/>
      </w:tblGrid>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Cena bez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55 000 Kč</w:t>
            </w:r>
          </w:p>
        </w:tc>
      </w:tr>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Výše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11 550 Kč</w:t>
            </w:r>
          </w:p>
        </w:tc>
      </w:tr>
      <w:tr>
        <w:tc>
          <w:tcPr>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Cena včetně DPH:</w:t>
            </w:r>
          </w:p>
        </w:tc>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66 550 Kč</w:t>
            </w:r>
          </w:p>
        </w:tc>
      </w:tr>
    </w:tbl>
    <w:p>
      <w:pPr>
        <w:ind w:left="3420"/>
      </w:pPr>
      <w:r>
        <w:rPr>
          <w:lang w:val="cs"/>
          <w:rFonts w:ascii="Calibri" w:hAnsi="Calibri" w:cs="Calibri"/>
          <w:sz w:val="24"/>
          <w:szCs w:val="24"/>
        </w:rPr>
        <w:t>Nejvyšší předpokládaná cena, bude fakturováno dle skutečnosti</w:t>
      </w:r>
    </w:p>
    <w:p>
      <w:pPr>
        <w:spacing w:before="120"/>
      </w:pPr>
      <w:r>
        <w:rPr>
          <w:lang w:val="cs"/>
          <w:rFonts w:ascii="Calibri" w:hAnsi="Calibri" w:cs="Calibri"/>
          <w:b/>
          <w:sz w:val="24"/>
          <w:szCs w:val="24"/>
        </w:rPr>
        <w:t xml:space="preserve">Platební podmínky: </w:t>
      </w:r>
      <w:r>
        <w:rPr>
          <w:lang w:val="cs"/>
          <w:rFonts w:ascii="Calibri" w:hAnsi="Calibri" w:cs="Calibri"/>
          <w:sz w:val="24"/>
          <w:szCs w:val="24"/>
        </w:rPr>
        <w:t>K vystavení daňového dokladu dojde po předání a převzetí díla, lhůta splatnosti je 14 dnů od jeho doručení objednateli.</w:t>
      </w:r>
    </w:p>
    <w:p>
      <w:pPr/>
    </w:p>
    <w:p>
      <w:pPr/>
      <w:r>
        <w:rPr>
          <w:lang w:val="cs"/>
          <w:rFonts w:ascii="Calibri" w:hAnsi="Calibri" w:cs="Calibri"/>
          <w:b/>
          <w:sz w:val="24"/>
          <w:szCs w:val="24"/>
        </w:rPr>
        <w:t xml:space="preserve">Plátcovství DPH: </w:t>
      </w:r>
    </w:p>
    <w:p>
      <w:pPr>
        <w:ind w:left="570"/>
      </w:pPr>
      <w:r>
        <w:rPr>
          <w:lang w:val="cs"/>
          <w:rFonts w:ascii="Calibri" w:hAnsi="Calibri" w:cs="Calibri"/>
          <w:sz w:val="24"/>
          <w:szCs w:val="24"/>
        </w:rPr>
        <w:t>Objednatel není plátcem DPH.</w:t>
      </w:r>
    </w:p>
    <w:p>
      <w:pPr>
        <w:ind w:left="570"/>
      </w:pPr>
      <w:r>
        <w:rPr>
          <w:lang w:val="cs"/>
          <w:rFonts w:ascii="Calibri" w:hAnsi="Calibri" w:cs="Calibri"/>
          <w:sz w:val="24"/>
          <w:szCs w:val="24"/>
        </w:rPr>
        <w:t>Dodavatel je plátcem DPH.</w:t>
      </w:r>
    </w:p>
    <w:p>
      <w:pPr/>
    </w:p>
    <w:p>
      <w:pPr/>
      <w:r>
        <w:rPr>
          <w:lang w:val="cs"/>
          <w:rFonts w:ascii="Calibri" w:hAnsi="Calibri" w:cs="Calibri"/>
          <w:b/>
          <w:sz w:val="24"/>
          <w:szCs w:val="24"/>
        </w:rPr>
        <w:t xml:space="preserve">Doba plnění (dodací lhůta): </w:t>
      </w:r>
      <w:r>
        <w:rPr>
          <w:lang w:val="cs"/>
          <w:rFonts w:ascii="Calibri" w:hAnsi="Calibri" w:cs="Calibri"/>
          <w:sz w:val="24"/>
          <w:szCs w:val="24"/>
        </w:rPr>
        <w:t>do 20.12.2024</w:t>
      </w:r>
    </w:p>
    <w:p>
      <w:pPr/>
    </w:p>
    <w:p>
      <w:pPr/>
      <w:r>
        <w:rPr>
          <w:lang w:val="cs"/>
          <w:rFonts w:ascii="Calibri" w:hAnsi="Calibri" w:cs="Calibri"/>
          <w:b/>
          <w:sz w:val="24"/>
          <w:szCs w:val="24"/>
        </w:rPr>
        <w:t xml:space="preserve">Místo plnění: </w:t>
      </w:r>
      <w:r>
        <w:rPr>
          <w:lang w:val="cs"/>
          <w:rFonts w:ascii="Calibri" w:hAnsi="Calibri" w:cs="Calibri"/>
          <w:sz w:val="24"/>
          <w:szCs w:val="24"/>
        </w:rPr>
        <w:t>Jičín, Žižkovo nám. 18</w:t>
      </w:r>
    </w:p>
    <w:p>
      <w:pPr/>
    </w:p>
    <w:p>
      <w:pPr/>
      <w:r>
        <w:rPr>
          <w:lang w:val="cs"/>
          <w:rFonts w:ascii="Calibri" w:hAnsi="Calibri" w:cs="Calibri"/>
          <w:b/>
          <w:sz w:val="24"/>
          <w:szCs w:val="24"/>
        </w:rPr>
        <w:t xml:space="preserve">Poskytnutí záruky na jakost: </w:t>
      </w:r>
      <w:r>
        <w:rPr>
          <w:lang w:val="cs"/>
          <w:rFonts w:ascii="Calibri" w:hAnsi="Calibri" w:cs="Calibri"/>
          <w:sz w:val="24"/>
          <w:szCs w:val="24"/>
        </w:rPr>
        <w:t>24 měsíců od předání předmětu objednávky</w:t>
      </w:r>
    </w:p>
    <w:p>
      <w:pPr/>
    </w:p>
    <w:p>
      <w:pPr>
        <w:sectPr/>
      </w:pPr>
    </w:p>
    <w:p>
      <w:pPr/>
      <w:r>
        <w:rPr>
          <w:lang w:val="cs"/>
          <w:rFonts w:ascii="Calibri" w:hAnsi="Calibri" w:cs="Calibri"/>
          <w:b/>
          <w:sz w:val="24"/>
          <w:szCs w:val="24"/>
        </w:rPr>
        <w:t>Možnosti odstoupení objednatele od objednávky:</w:t>
      </w:r>
    </w:p>
    <w:p>
      <w:pPr/>
      <w:r>
        <w:rPr>
          <w:lang w:val="cs"/>
          <w:rFonts w:ascii="Calibri" w:hAnsi="Calibri" w:cs="Calibri"/>
          <w:sz w:val="24"/>
          <w:szCs w:val="24"/>
        </w:rPr>
        <w:t>- v případě, že dojde k prodlení dodavatele s předáním díla delším než 30 dnů oproti termínu uvedeném v objednávce</w:t>
      </w:r>
    </w:p>
    <w:p>
      <w:pPr/>
      <w:r>
        <w:rPr>
          <w:lang w:val="cs"/>
          <w:rFonts w:ascii="Calibri" w:hAnsi="Calibri" w:cs="Calibri"/>
          <w:sz w:val="24"/>
          <w:szCs w:val="24"/>
        </w:rPr>
        <w:t>- v případě závažného porušení povinností dodavatele, které trvá i po upozornění na toto porušení</w:t>
      </w:r>
    </w:p>
    <w:p>
      <w:pPr/>
    </w:p>
    <w:p>
      <w:pPr>
        <w:jc w:val="right"/>
      </w:pPr>
      <w:r>
        <w:rPr>
          <w:lang w:val="cs"/>
          <w:rFonts w:ascii="Calibri" w:hAnsi="Calibri" w:cs="Calibri"/>
          <w:b/>
          <w:sz w:val="24"/>
          <w:szCs w:val="24"/>
        </w:rPr>
        <w:t xml:space="preserve">Objednávku vyhotovil: </w:t>
      </w:r>
      <w:r>
        <w:rPr>
          <w:lang w:val="cs"/>
          <w:rFonts w:ascii="Calibri" w:hAnsi="Calibri" w:cs="Calibri"/>
          <w:sz w:val="24"/>
          <w:szCs w:val="24"/>
        </w:rPr>
        <w:t>XXXXXXXXXXXXXX</w:t>
      </w:r>
    </w:p>
    <w:p>
      <w:pPr/>
      <w:r>
        <w:rPr>
          <w:lang w:val="cs"/>
          <w:rFonts w:ascii="Calibri" w:hAnsi="Calibri" w:cs="Calibri"/>
          <w:b/>
          <w:sz w:val="24"/>
          <w:szCs w:val="24"/>
        </w:rPr>
        <w:t xml:space="preserve">Úhrada z kapitoly: </w:t>
      </w:r>
      <w:r>
        <w:rPr>
          <w:lang w:val="cs"/>
          <w:rFonts w:ascii="Calibri" w:hAnsi="Calibri" w:cs="Calibri"/>
          <w:sz w:val="24"/>
          <w:szCs w:val="24"/>
        </w:rPr>
        <w:t>architekt města</w:t>
      </w:r>
    </w:p>
    <w:p>
      <w:pPr/>
    </w:p>
    <w:p>
      <w:pPr/>
      <w:r>
        <w:rPr>
          <w:lang w:val="cs"/>
          <w:rFonts w:ascii="Calibri" w:hAnsi="Calibri" w:cs="Calibri"/>
          <w:b/>
          <w:sz w:val="24"/>
          <w:szCs w:val="24"/>
        </w:rPr>
        <w:t xml:space="preserve">Datum objednání: </w:t>
      </w:r>
      <w:r>
        <w:rPr>
          <w:lang w:val="cs"/>
          <w:rFonts w:ascii="Calibri" w:hAnsi="Calibri" w:cs="Calibri"/>
          <w:sz w:val="24"/>
          <w:szCs w:val="24"/>
        </w:rPr>
        <w:t>18. 3. 2024</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 xml:space="preserve">Příkazce operace: </w:t>
            </w:r>
            <w:r>
              <w:rPr>
                <w:lang w:val="cs"/>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 xml:space="preserve">Správce rozpočtu: </w:t>
            </w:r>
            <w:r>
              <w:rPr>
                <w:lang w:val="cs"/>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Razítko a podpis objednatele:</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r>
        <w:rPr>
          <w:lang w:val="cs"/>
          <w:rFonts w:ascii="Calibri" w:hAnsi="Calibri" w:cs="Calibri"/>
          <w:b/>
          <w:sz w:val="24"/>
          <w:szCs w:val="24"/>
        </w:rPr>
        <w:t xml:space="preserve">Tímto bez výhrad </w:t>
      </w:r>
      <w:r>
        <w:rPr>
          <w:lang w:val="cs"/>
          <w:rFonts w:ascii="Calibri" w:hAnsi="Calibri" w:cs="Calibri"/>
          <w:b/>
          <w:u w:val="single" w:color="000000"/>
          <w:sz w:val="24"/>
          <w:szCs w:val="24"/>
        </w:rPr>
        <w:t>potvrzuji akceptaci výše uvedené objednávky:</w:t>
      </w:r>
    </w:p>
    <w:p>
      <w:pPr/>
    </w:p>
    <w:p>
      <w:pPr>
        <w:ind w:left="570"/>
      </w:pPr>
      <w:r>
        <w:rPr>
          <w:lang w:val="cs"/>
          <w:rFonts w:ascii="Calibri" w:hAnsi="Calibri" w:cs="Calibri"/>
          <w:b/>
          <w:sz w:val="24"/>
          <w:szCs w:val="24"/>
        </w:rPr>
        <w:t xml:space="preserve">Datum: </w:t>
      </w:r>
      <w:r>
        <w:rPr>
          <w:lang w:val="cs"/>
          <w:rFonts w:ascii="Calibri" w:hAnsi="Calibri" w:cs="Calibri"/>
          <w:sz w:val="24"/>
          <w:szCs w:val="24"/>
        </w:rPr>
        <w:t>.................................</w:t>
      </w:r>
    </w:p>
    <w:p>
      <w:pP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
                <w:rFonts w:ascii="Calibri" w:hAnsi="Calibri" w:cs="Calibri"/>
                <w:sz w:val="24"/>
                <w:szCs w:val="24"/>
              </w:rPr>
              <w:t>.................................................................</w:t>
            </w:r>
          </w:p>
        </w:tc>
      </w:tr>
    </w:tbl>
    <w:p>
      <w:pPr/>
    </w:p>
    <w:p>
      <w:pPr/>
      <w:r>
        <w:rPr>
          <w:lang w:val="cs"/>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w:t>
      </w:r>
      <w:r>
        <w:rPr>
          <w:lang w:val="cs"/>
          <w:rFonts w:ascii="Calibri" w:hAnsi="Calibri" w:cs="Calibri"/>
          <w:b/>
          <w:sz w:val="24"/>
          <w:szCs w:val="24"/>
        </w:rPr>
        <w:br/>
      </w:r>
      <w:r>
        <w:rPr>
          <w:lang w:val="cs"/>
          <w:rFonts w:ascii="Calibri" w:hAnsi="Calibri" w:cs="Calibri"/>
          <w:b/>
          <w:sz w:val="24"/>
          <w:szCs w:val="24"/>
        </w:rPr>
        <w:t>v Registru smluv zajistí Město Jičín.</w:t>
      </w:r>
    </w:p>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tbl>
    <w:tblPr>
      <w:tblStyle w:val="TableGrid"/>
      <w:tblW w:w="9900" w:type="dxa"/>
      <w:tblLayout w:type="fixed"/>
      <w:tblLook w:val="04A0"/>
      <w:jc w:val="center"/>
    </w:tblPr>
    <w:tblGrid>
      <w:gridCol w:w="3300"/>
      <w:gridCol w:w="4000"/>
      <w:gridCol w:w="1850"/>
      <w:gridCol w:w="750"/>
    </w:tblGrid>
    <w:tr>
      <w:tc>
        <w:tcPr>
          <w:tcBorders>
            <w:bottom w:val="double" w:sz="2" w:space="1" w:color="FFFFFF"/>
            <w:top w:val="double" w:sz="2" w:space="1" w:color="FFFFFF"/>
            <w:left w:val="double" w:sz="2" w:space="1" w:color="FFFFFF"/>
            <w:right w:val="double" w:sz="2" w:space="1" w:color="FFFFFF"/>
          </w:tcBorders>
        </w:tcPr>
        <w:p>
          <w:pPr/>
          <w:r>
            <w:rPr>
              <w:lang w:val="cs"/>
            </w:rPr>
            <w:t>Město Jičín, tel.: 493 545 111</w:t>
          </w:r>
        </w:p>
      </w:tc>
      <w:tc>
        <w:tcPr>
          <w:tcBorders>
            <w:bottom w:val="double" w:sz="2" w:space="1" w:color="FFFFFF"/>
            <w:top w:val="double" w:sz="2" w:space="1" w:color="FFFFFF"/>
            <w:left w:val="double" w:sz="2" w:space="1" w:color="FFFFFF"/>
            <w:right w:val="double" w:sz="2" w:space="1" w:color="FFFFFF"/>
          </w:tcBorders>
        </w:tcPr>
        <w:p>
          <w:pPr/>
          <w:r>
            <w:rPr>
              <w:lang w:val="cs"/>
            </w:rPr>
            <w:t>ID datové schránky: ztmbqug</w:t>
          </w:r>
        </w:p>
      </w:tc>
      <w:tc>
        <w:tcPr>
          <w:tcBorders>
            <w:bottom w:val="double" w:sz="2" w:space="1" w:color="FFFFFF"/>
            <w:top w:val="double" w:sz="2" w:space="1" w:color="FFFFFF"/>
            <w:left w:val="double" w:sz="2" w:space="1" w:color="FFFFFF"/>
            <w:right w:val="double" w:sz="2" w:space="1" w:color="FFFFFF"/>
          </w:tcBorders>
        </w:tcPr>
        <w:p>
          <w:pPr/>
          <w:r>
            <w:rPr>
              <w:lang w:val="cs"/>
            </w:rPr>
            <w:t>www.mujicin.cz</w:t>
          </w:r>
        </w:p>
      </w:tc>
      <w:tc>
        <w:tcPr>
          <w:tcBorders>
            <w:bottom w:val="double" w:sz="2" w:space="1" w:color="FFFFFF"/>
            <w:top w:val="double" w:sz="2" w:space="1" w:color="FFFFFF"/>
            <w:left w:val="double" w:sz="2" w:space="1" w:color="FFFFFF"/>
            <w:right w:val="double" w:sz="2" w:space="1" w:color="FFFFFF"/>
          </w:tcBorders>
        </w:tcPr>
        <w:p>
          <w:pPr/>
          <w:fldSimple w:instr=" PAGE   \* MERGEFORMAT ">
            <w:r xmlns:w="http://schemas.openxmlformats.org/wordprocessingml/2006/main" w:rsidR="001D0226">
              <w:rPr>
                <w:noProof/>
              </w:rPr>
              <w:t>1</w:t>
            </w:r>
          </w:fldSimple>
          <w:r>
            <w:rPr>
              <w:lang w:val="cs"/>
            </w:rPr>
            <w:t>/</w:t>
          </w:r>
          <w:fldSimple w:instr=" NUMPAGES   \* MERGEFORMAT ">
            <w:r xmlns:w="http://schemas.openxmlformats.org/wordprocessingml/2006/main" w:rsidR="001D0226">
              <w:rPr>
                <w:noProof/>
              </w:rPr>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8a07480b3a4334" /><Relationship Type="http://schemas.openxmlformats.org/officeDocument/2006/relationships/numbering" Target="/word/numbering.xml" Id="R88e07c2b3f2c4eac" /><Relationship Type="http://schemas.openxmlformats.org/officeDocument/2006/relationships/settings" Target="/word/settings.xml" Id="R422ce2e4c2724a00" /><Relationship Type="http://schemas.openxmlformats.org/officeDocument/2006/relationships/image" Target="/word/media/c56511c3-b016-4bf5-8237-d2d948c279ba.jpeg" Id="R3dbd4ef29c654478" /><Relationship Type="http://schemas.openxmlformats.org/officeDocument/2006/relationships/footer" Target="/word/footer1.xml" Id="R7e78771bc85e4316" /><Relationship Type="http://schemas.openxmlformats.org/officeDocument/2006/relationships/footer" Target="/word/footer2.xml" Id="Rd108d2e6cd7c4bbc" /><Relationship Type="http://schemas.openxmlformats.org/officeDocument/2006/relationships/footer" Target="/word/footer3.xml" Id="R90defc0f6ccb4bed" /></Relationships>
</file>