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7221200058</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FVE</w:t>
      </w:r>
      <w:r>
        <w:rPr>
          <w:spacing w:val="-6"/>
        </w:rPr>
        <w:t> </w:t>
      </w:r>
      <w:r>
        <w:rPr/>
        <w:t>Dělouš,</w:t>
      </w:r>
      <w:r>
        <w:rPr>
          <w:spacing w:val="-6"/>
        </w:rPr>
        <w:t> </w:t>
      </w:r>
      <w:r>
        <w:rPr>
          <w:spacing w:val="-2"/>
        </w:rPr>
        <w:t>s.r.o.</w:t>
      </w:r>
    </w:p>
    <w:p>
      <w:pPr>
        <w:pStyle w:val="BodyText"/>
        <w:ind w:left="102" w:right="3249"/>
      </w:pPr>
      <w:r>
        <w:rPr/>
        <w:t>obchodní</w:t>
      </w:r>
      <w:r>
        <w:rPr>
          <w:spacing w:val="-9"/>
        </w:rPr>
        <w:t> </w:t>
      </w:r>
      <w:r>
        <w:rPr/>
        <w:t>společnost</w:t>
      </w:r>
      <w:r>
        <w:rPr>
          <w:spacing w:val="-9"/>
        </w:rPr>
        <w:t> </w:t>
      </w:r>
      <w:r>
        <w:rPr/>
        <w:t>zapsaná</w:t>
      </w:r>
      <w:r>
        <w:rPr>
          <w:spacing w:val="-9"/>
        </w:rPr>
        <w:t> </w:t>
      </w:r>
      <w:r>
        <w:rPr/>
        <w:t>v</w:t>
      </w:r>
      <w:r>
        <w:rPr>
          <w:spacing w:val="-8"/>
        </w:rPr>
        <w:t> </w:t>
      </w:r>
      <w:r>
        <w:rPr/>
        <w:t>obchodním</w:t>
      </w:r>
      <w:r>
        <w:rPr>
          <w:spacing w:val="-7"/>
        </w:rPr>
        <w:t> </w:t>
      </w:r>
      <w:r>
        <w:rPr/>
        <w:t>rejstříku</w:t>
      </w:r>
      <w:r>
        <w:rPr>
          <w:spacing w:val="-8"/>
        </w:rPr>
        <w:t> </w:t>
      </w:r>
      <w:r>
        <w:rPr/>
        <w:t>vedeném Městským soudem v Praze, oddíl C, vložka 360482</w:t>
      </w:r>
    </w:p>
    <w:p>
      <w:pPr>
        <w:pStyle w:val="BodyText"/>
        <w:tabs>
          <w:tab w:pos="2982" w:val="left" w:leader="none"/>
        </w:tabs>
        <w:spacing w:line="265" w:lineRule="exact"/>
        <w:ind w:left="102"/>
      </w:pPr>
      <w:r>
        <w:rPr/>
        <w:t>se</w:t>
      </w:r>
      <w:r>
        <w:rPr>
          <w:spacing w:val="-5"/>
        </w:rPr>
        <w:t> </w:t>
      </w:r>
      <w:r>
        <w:rPr>
          <w:spacing w:val="-2"/>
        </w:rPr>
        <w:t>sídlem:</w:t>
      </w:r>
      <w:r>
        <w:rPr/>
        <w:tab/>
        <w:t>Purkyňova</w:t>
      </w:r>
      <w:r>
        <w:rPr>
          <w:spacing w:val="-6"/>
        </w:rPr>
        <w:t> </w:t>
      </w:r>
      <w:r>
        <w:rPr/>
        <w:t>2121/3,</w:t>
      </w:r>
      <w:r>
        <w:rPr>
          <w:spacing w:val="-6"/>
        </w:rPr>
        <w:t> </w:t>
      </w:r>
      <w:r>
        <w:rPr/>
        <w:t>Nové</w:t>
      </w:r>
      <w:r>
        <w:rPr>
          <w:spacing w:val="-7"/>
        </w:rPr>
        <w:t> </w:t>
      </w:r>
      <w:r>
        <w:rPr/>
        <w:t>Město,</w:t>
      </w:r>
      <w:r>
        <w:rPr>
          <w:spacing w:val="-6"/>
        </w:rPr>
        <w:t> </w:t>
      </w:r>
      <w:r>
        <w:rPr/>
        <w:t>110</w:t>
      </w:r>
      <w:r>
        <w:rPr>
          <w:spacing w:val="-6"/>
        </w:rPr>
        <w:t> </w:t>
      </w:r>
      <w:r>
        <w:rPr/>
        <w:t>00</w:t>
      </w:r>
      <w:r>
        <w:rPr>
          <w:spacing w:val="-5"/>
        </w:rPr>
        <w:t> </w:t>
      </w:r>
      <w:r>
        <w:rPr/>
        <w:t>Praha</w:t>
      </w:r>
      <w:r>
        <w:rPr>
          <w:spacing w:val="-2"/>
        </w:rPr>
        <w:t> </w:t>
      </w:r>
      <w:r>
        <w:rPr>
          <w:spacing w:val="-10"/>
        </w:rPr>
        <w:t>1</w:t>
      </w:r>
    </w:p>
    <w:p>
      <w:pPr>
        <w:pStyle w:val="BodyText"/>
        <w:tabs>
          <w:tab w:pos="2982" w:val="left" w:leader="none"/>
        </w:tabs>
        <w:ind w:left="102"/>
      </w:pPr>
      <w:r>
        <w:rPr>
          <w:spacing w:val="-4"/>
        </w:rPr>
        <w:t>IČO:</w:t>
      </w:r>
      <w:r>
        <w:rPr>
          <w:rFonts w:ascii="Times New Roman" w:hAnsi="Times New Roman"/>
        </w:rPr>
        <w:tab/>
      </w:r>
      <w:r>
        <w:rPr>
          <w:spacing w:val="-2"/>
        </w:rPr>
        <w:t>14092719</w:t>
      </w:r>
    </w:p>
    <w:p>
      <w:pPr>
        <w:pStyle w:val="BodyText"/>
        <w:tabs>
          <w:tab w:pos="2982" w:val="left" w:leader="none"/>
        </w:tabs>
        <w:spacing w:before="1"/>
        <w:ind w:left="102"/>
      </w:pPr>
      <w:r>
        <w:rPr>
          <w:spacing w:val="-2"/>
        </w:rPr>
        <w:t>zastoupená:</w:t>
      </w:r>
      <w:r>
        <w:rPr/>
        <w:tab/>
        <w:t>Ing.</w:t>
      </w:r>
      <w:r>
        <w:rPr>
          <w:spacing w:val="-3"/>
        </w:rPr>
        <w:t> </w:t>
      </w:r>
      <w:r>
        <w:rPr/>
        <w:t>Zdeňkem H</w:t>
      </w:r>
      <w:r>
        <w:rPr>
          <w:spacing w:val="-2"/>
        </w:rPr>
        <w:t> </w:t>
      </w:r>
      <w:r>
        <w:rPr/>
        <w:t>a</w:t>
      </w:r>
      <w:r>
        <w:rPr>
          <w:spacing w:val="-4"/>
        </w:rPr>
        <w:t> </w:t>
      </w:r>
      <w:r>
        <w:rPr/>
        <w:t>v</w:t>
      </w:r>
      <w:r>
        <w:rPr>
          <w:spacing w:val="-1"/>
        </w:rPr>
        <w:t> </w:t>
      </w:r>
      <w:r>
        <w:rPr/>
        <w:t>e</w:t>
      </w:r>
      <w:r>
        <w:rPr>
          <w:spacing w:val="-3"/>
        </w:rPr>
        <w:t> </w:t>
      </w:r>
      <w:r>
        <w:rPr/>
        <w:t>l</w:t>
      </w:r>
      <w:r>
        <w:rPr>
          <w:spacing w:val="-4"/>
        </w:rPr>
        <w:t> </w:t>
      </w:r>
      <w:r>
        <w:rPr/>
        <w:t>k</w:t>
      </w:r>
      <w:r>
        <w:rPr>
          <w:spacing w:val="-2"/>
        </w:rPr>
        <w:t> </w:t>
      </w:r>
      <w:r>
        <w:rPr/>
        <w:t>o</w:t>
      </w:r>
      <w:r>
        <w:rPr>
          <w:spacing w:val="1"/>
        </w:rPr>
        <w:t> </w:t>
      </w:r>
      <w:r>
        <w:rPr/>
        <w:t>u,</w:t>
      </w:r>
      <w:r>
        <w:rPr>
          <w:spacing w:val="-3"/>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pPr>
      <w:r>
        <w:rPr/>
        <w:t>číslo</w:t>
      </w:r>
      <w:r>
        <w:rPr>
          <w:spacing w:val="-8"/>
        </w:rPr>
        <w:t> </w:t>
      </w:r>
      <w:r>
        <w:rPr>
          <w:spacing w:val="-2"/>
        </w:rPr>
        <w:t>účtu:</w:t>
      </w:r>
      <w:r>
        <w:rPr/>
        <w:tab/>
      </w:r>
      <w:r>
        <w:rPr>
          <w:w w:val="95"/>
        </w:rPr>
        <w:t>123-</w:t>
      </w:r>
      <w:r>
        <w:rPr>
          <w:spacing w:val="-2"/>
        </w:rPr>
        <w:t>5962690287/0100</w:t>
      </w:r>
    </w:p>
    <w:p>
      <w:pPr>
        <w:pStyle w:val="BodyText"/>
      </w:pP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spacing w:before="0"/>
        <w:ind w:left="2296" w:right="2305"/>
      </w:pPr>
      <w:r>
        <w:rPr>
          <w:spacing w:val="-5"/>
        </w:rPr>
        <w:t>I.</w:t>
      </w:r>
    </w:p>
    <w:p>
      <w:pPr>
        <w:pStyle w:val="Heading2"/>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7221200058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529"/>
        <w:jc w:val="left"/>
      </w:pPr>
      <w:r>
        <w:rPr/>
        <w:t>„Dělouš:</w:t>
      </w:r>
      <w:r>
        <w:rPr>
          <w:spacing w:val="-8"/>
        </w:rPr>
        <w:t> </w:t>
      </w:r>
      <w:r>
        <w:rPr/>
        <w:t>FVE</w:t>
      </w:r>
      <w:r>
        <w:rPr>
          <w:spacing w:val="-9"/>
        </w:rPr>
        <w:t> </w:t>
      </w:r>
      <w:r>
        <w:rPr/>
        <w:t>Jedlova</w:t>
      </w:r>
      <w:r>
        <w:rPr>
          <w:spacing w:val="-8"/>
        </w:rPr>
        <w:t> </w:t>
      </w:r>
      <w:r>
        <w:rPr>
          <w:spacing w:val="-4"/>
        </w:rPr>
        <w:t>hora“</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2"/>
          <w:sz w:val="20"/>
        </w:rPr>
        <w:t> </w:t>
      </w:r>
      <w:r>
        <w:rPr>
          <w:sz w:val="20"/>
        </w:rPr>
        <w:t>je</w:t>
      </w:r>
      <w:r>
        <w:rPr>
          <w:spacing w:val="-3"/>
          <w:sz w:val="20"/>
        </w:rPr>
        <w:t> </w:t>
      </w:r>
      <w:r>
        <w:rPr>
          <w:sz w:val="20"/>
        </w:rPr>
        <w:t>poskytována</w:t>
      </w:r>
      <w:r>
        <w:rPr>
          <w:spacing w:val="-2"/>
          <w:sz w:val="20"/>
        </w:rPr>
        <w:t> </w:t>
      </w:r>
      <w:r>
        <w:rPr>
          <w:sz w:val="20"/>
        </w:rPr>
        <w:t>v</w:t>
      </w:r>
      <w:r>
        <w:rPr>
          <w:spacing w:val="-1"/>
          <w:sz w:val="20"/>
        </w:rPr>
        <w:t> </w:t>
      </w:r>
      <w:r>
        <w:rPr>
          <w:sz w:val="20"/>
        </w:rPr>
        <w:t>souladu</w:t>
      </w:r>
      <w:r>
        <w:rPr>
          <w:spacing w:val="-2"/>
          <w:sz w:val="20"/>
        </w:rPr>
        <w:t> </w:t>
      </w:r>
      <w:r>
        <w:rPr>
          <w:sz w:val="20"/>
        </w:rPr>
        <w:t>s</w:t>
      </w:r>
      <w:r>
        <w:rPr>
          <w:spacing w:val="-2"/>
          <w:sz w:val="20"/>
        </w:rPr>
        <w:t> </w:t>
      </w:r>
      <w:r>
        <w:rPr>
          <w:sz w:val="20"/>
        </w:rPr>
        <w:t>Nařízením</w:t>
      </w:r>
      <w:r>
        <w:rPr>
          <w:spacing w:val="-1"/>
          <w:sz w:val="20"/>
        </w:rPr>
        <w:t> </w:t>
      </w:r>
      <w:r>
        <w:rPr>
          <w:sz w:val="20"/>
        </w:rPr>
        <w:t>Komise (EU)</w:t>
      </w:r>
      <w:r>
        <w:rPr>
          <w:spacing w:val="-2"/>
          <w:sz w:val="20"/>
        </w:rPr>
        <w:t> </w:t>
      </w:r>
      <w:r>
        <w:rPr>
          <w:sz w:val="20"/>
        </w:rPr>
        <w:t>č.</w:t>
      </w:r>
      <w:r>
        <w:rPr>
          <w:spacing w:val="-2"/>
          <w:sz w:val="20"/>
        </w:rPr>
        <w:t> </w:t>
      </w:r>
      <w:r>
        <w:rPr>
          <w:sz w:val="20"/>
        </w:rPr>
        <w:t>651/2014</w:t>
      </w:r>
      <w:r>
        <w:rPr>
          <w:spacing w:val="-2"/>
          <w:sz w:val="20"/>
        </w:rPr>
        <w:t> </w:t>
      </w:r>
      <w:r>
        <w:rPr>
          <w:sz w:val="20"/>
        </w:rPr>
        <w:t>ze</w:t>
      </w:r>
      <w:r>
        <w:rPr>
          <w:spacing w:val="-3"/>
          <w:sz w:val="20"/>
        </w:rPr>
        <w:t> </w:t>
      </w:r>
      <w:r>
        <w:rPr>
          <w:sz w:val="20"/>
        </w:rPr>
        <w:t>dne</w:t>
      </w:r>
      <w:r>
        <w:rPr>
          <w:spacing w:val="-2"/>
          <w:sz w:val="20"/>
        </w:rPr>
        <w:t> </w:t>
      </w:r>
      <w:r>
        <w:rPr>
          <w:sz w:val="20"/>
        </w:rPr>
        <w:t>17.</w:t>
      </w:r>
      <w:r>
        <w:rPr>
          <w:spacing w:val="-4"/>
          <w:sz w:val="20"/>
        </w:rPr>
        <w:t> </w:t>
      </w:r>
      <w:r>
        <w:rPr>
          <w:sz w:val="20"/>
        </w:rPr>
        <w:t>června</w:t>
      </w:r>
      <w:r>
        <w:rPr>
          <w:spacing w:val="-2"/>
          <w:sz w:val="20"/>
        </w:rPr>
        <w:t> </w:t>
      </w:r>
      <w:r>
        <w:rPr>
          <w:sz w:val="20"/>
        </w:rPr>
        <w:t>2014,</w:t>
      </w:r>
      <w:r>
        <w:rPr>
          <w:spacing w:val="-2"/>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right="703"/>
      </w:pPr>
      <w:r>
        <w:rPr>
          <w:spacing w:val="-5"/>
        </w:rPr>
        <w:t>II.</w:t>
      </w:r>
    </w:p>
    <w:p>
      <w:pPr>
        <w:pStyle w:val="Heading2"/>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26</w:t>
      </w:r>
      <w:r>
        <w:rPr>
          <w:b/>
          <w:spacing w:val="-2"/>
          <w:sz w:val="20"/>
        </w:rPr>
        <w:t> </w:t>
      </w:r>
      <w:r>
        <w:rPr>
          <w:b/>
          <w:sz w:val="20"/>
        </w:rPr>
        <w:t>995</w:t>
      </w:r>
      <w:r>
        <w:rPr>
          <w:b/>
          <w:spacing w:val="-1"/>
          <w:sz w:val="20"/>
        </w:rPr>
        <w:t> </w:t>
      </w:r>
      <w:r>
        <w:rPr>
          <w:b/>
          <w:sz w:val="20"/>
        </w:rPr>
        <w:t>800,00 Kč </w:t>
      </w:r>
      <w:r>
        <w:rPr>
          <w:sz w:val="20"/>
        </w:rPr>
        <w:t>(slovy: dvacet šest milionů devět set devadesát pět tisíc osm set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133 119 725,00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1"/>
          <w:sz w:val="20"/>
        </w:rPr>
        <w:t> </w:t>
      </w:r>
      <w:r>
        <w:rPr>
          <w:sz w:val="20"/>
        </w:rPr>
        <w:t>účel</w:t>
      </w:r>
      <w:r>
        <w:rPr>
          <w:spacing w:val="-1"/>
          <w:sz w:val="20"/>
        </w:rPr>
        <w:t> </w:t>
      </w:r>
      <w:r>
        <w:rPr>
          <w:sz w:val="20"/>
        </w:rPr>
        <w:t>akce</w:t>
      </w:r>
      <w:r>
        <w:rPr>
          <w:spacing w:val="-2"/>
          <w:sz w:val="20"/>
        </w:rPr>
        <w:t> </w:t>
      </w:r>
      <w:r>
        <w:rPr>
          <w:sz w:val="20"/>
        </w:rPr>
        <w:t>„Dělouš:</w:t>
      </w:r>
      <w:r>
        <w:rPr>
          <w:spacing w:val="-1"/>
          <w:sz w:val="20"/>
        </w:rPr>
        <w:t> </w:t>
      </w:r>
      <w:r>
        <w:rPr>
          <w:sz w:val="20"/>
        </w:rPr>
        <w:t>FVE</w:t>
      </w:r>
      <w:r>
        <w:rPr>
          <w:spacing w:val="-1"/>
          <w:sz w:val="20"/>
        </w:rPr>
        <w:t> </w:t>
      </w:r>
      <w:r>
        <w:rPr>
          <w:sz w:val="20"/>
        </w:rPr>
        <w:t>Jedlova</w:t>
      </w:r>
      <w:r>
        <w:rPr>
          <w:spacing w:val="-1"/>
          <w:sz w:val="20"/>
        </w:rPr>
        <w:t> </w:t>
      </w:r>
      <w:r>
        <w:rPr>
          <w:sz w:val="20"/>
        </w:rPr>
        <w:t>hora“</w:t>
      </w:r>
      <w:r>
        <w:rPr>
          <w:spacing w:val="-2"/>
          <w:sz w:val="20"/>
        </w:rPr>
        <w:t> </w:t>
      </w:r>
      <w:r>
        <w:rPr>
          <w:sz w:val="20"/>
        </w:rPr>
        <w:t>tím,</w:t>
      </w:r>
      <w:r>
        <w:rPr>
          <w:spacing w:val="-1"/>
          <w:sz w:val="20"/>
        </w:rPr>
        <w:t> </w:t>
      </w:r>
      <w:r>
        <w:rPr>
          <w:sz w:val="20"/>
        </w:rPr>
        <w:t>že</w:t>
      </w:r>
      <w:r>
        <w:rPr>
          <w:spacing w:val="-2"/>
          <w:sz w:val="20"/>
        </w:rPr>
        <w:t> </w:t>
      </w:r>
      <w:r>
        <w:rPr>
          <w:sz w:val="20"/>
        </w:rPr>
        <w:t>akce</w:t>
      </w:r>
      <w:r>
        <w:rPr>
          <w:spacing w:val="-2"/>
          <w:sz w:val="20"/>
        </w:rPr>
        <w:t> </w:t>
      </w:r>
      <w:r>
        <w:rPr>
          <w:sz w:val="20"/>
        </w:rPr>
        <w:t>bude</w:t>
      </w:r>
      <w:r>
        <w:rPr>
          <w:spacing w:val="-2"/>
          <w:sz w:val="20"/>
        </w:rPr>
        <w:t> </w:t>
      </w:r>
      <w:r>
        <w:rPr>
          <w:sz w:val="20"/>
        </w:rPr>
        <w:t>provedena</w:t>
      </w:r>
      <w:r>
        <w:rPr>
          <w:spacing w:val="-1"/>
          <w:sz w:val="20"/>
        </w:rPr>
        <w:t> </w:t>
      </w:r>
      <w:r>
        <w:rPr>
          <w:sz w:val="20"/>
        </w:rPr>
        <w:t>v souladu s</w:t>
      </w:r>
      <w:r>
        <w:rPr>
          <w:spacing w:val="-2"/>
          <w:sz w:val="20"/>
        </w:rPr>
        <w:t> </w:t>
      </w:r>
      <w:r>
        <w:rPr>
          <w:sz w:val="20"/>
        </w:rPr>
        <w:t>Výzvou,</w:t>
      </w:r>
      <w:r>
        <w:rPr>
          <w:spacing w:val="-1"/>
          <w:sz w:val="20"/>
        </w:rPr>
        <w:t> </w:t>
      </w:r>
      <w:r>
        <w:rPr>
          <w:sz w:val="20"/>
        </w:rPr>
        <w:t>žádostí o podporu a jejími přílohami a touto Smlouvou,</w:t>
      </w:r>
    </w:p>
    <w:p>
      <w:pPr>
        <w:pStyle w:val="ListParagraph"/>
        <w:numPr>
          <w:ilvl w:val="1"/>
          <w:numId w:val="4"/>
        </w:numPr>
        <w:tabs>
          <w:tab w:pos="746" w:val="left" w:leader="none"/>
          <w:tab w:pos="1678" w:val="left" w:leader="none"/>
          <w:tab w:pos="2644" w:val="left" w:leader="none"/>
          <w:tab w:pos="3380" w:val="left" w:leader="none"/>
          <w:tab w:pos="4530" w:val="left" w:leader="none"/>
          <w:tab w:pos="5190" w:val="left" w:leader="none"/>
          <w:tab w:pos="6557" w:val="left" w:leader="none"/>
          <w:tab w:pos="7663" w:val="left" w:leader="none"/>
          <w:tab w:pos="8801" w:val="left" w:leader="none"/>
        </w:tabs>
        <w:spacing w:line="240" w:lineRule="auto" w:before="1" w:after="0"/>
        <w:ind w:left="745" w:right="111"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t>s pozemní</w:t>
        <w:tab/>
      </w:r>
      <w:r>
        <w:rPr>
          <w:spacing w:val="-2"/>
          <w:sz w:val="20"/>
        </w:rPr>
        <w:t>instalací</w:t>
      </w:r>
      <w:r>
        <w:rPr>
          <w:spacing w:val="-2"/>
          <w:sz w:val="20"/>
        </w:rPr>
        <w:t> </w:t>
      </w:r>
      <w:r>
        <w:rPr>
          <w:sz w:val="20"/>
        </w:rPr>
        <w:t>s předpokládaným výkonem 6922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1673"/>
        <w:gridCol w:w="1688"/>
        <w:gridCol w:w="1779"/>
      </w:tblGrid>
      <w:tr>
        <w:trPr>
          <w:trHeight w:val="772" w:hRule="atLeast"/>
        </w:trPr>
        <w:tc>
          <w:tcPr>
            <w:tcW w:w="3689" w:type="dxa"/>
          </w:tcPr>
          <w:p>
            <w:pPr>
              <w:pStyle w:val="TableParagraph"/>
              <w:spacing w:before="120"/>
              <w:ind w:left="105"/>
              <w:rPr>
                <w:b/>
                <w:sz w:val="20"/>
              </w:rPr>
            </w:pPr>
            <w:r>
              <w:rPr>
                <w:b/>
                <w:spacing w:val="-2"/>
                <w:sz w:val="20"/>
              </w:rPr>
              <w:t>Indikátor</w:t>
            </w:r>
          </w:p>
        </w:tc>
        <w:tc>
          <w:tcPr>
            <w:tcW w:w="1673" w:type="dxa"/>
          </w:tcPr>
          <w:p>
            <w:pPr>
              <w:pStyle w:val="TableParagraph"/>
              <w:spacing w:before="120"/>
              <w:ind w:left="108"/>
              <w:rPr>
                <w:b/>
                <w:sz w:val="20"/>
              </w:rPr>
            </w:pPr>
            <w:r>
              <w:rPr>
                <w:b/>
                <w:spacing w:val="-2"/>
                <w:sz w:val="20"/>
              </w:rPr>
              <w:t>Jednotka</w:t>
            </w:r>
          </w:p>
        </w:tc>
        <w:tc>
          <w:tcPr>
            <w:tcW w:w="1688" w:type="dxa"/>
          </w:tcPr>
          <w:p>
            <w:pPr>
              <w:pStyle w:val="TableParagraph"/>
              <w:spacing w:before="120"/>
              <w:ind w:left="106"/>
              <w:rPr>
                <w:b/>
                <w:sz w:val="20"/>
              </w:rPr>
            </w:pPr>
            <w:r>
              <w:rPr>
                <w:b/>
                <w:spacing w:val="-2"/>
                <w:sz w:val="20"/>
              </w:rPr>
              <w:t>Výchozí</w:t>
            </w:r>
          </w:p>
          <w:p>
            <w:pPr>
              <w:pStyle w:val="TableParagraph"/>
              <w:ind w:left="106"/>
              <w:rPr>
                <w:b/>
                <w:sz w:val="20"/>
              </w:rPr>
            </w:pPr>
            <w:r>
              <w:rPr>
                <w:b/>
                <w:spacing w:val="-2"/>
                <w:sz w:val="20"/>
              </w:rPr>
              <w:t>hodnota</w:t>
            </w:r>
          </w:p>
        </w:tc>
        <w:tc>
          <w:tcPr>
            <w:tcW w:w="1779"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689"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3" w:type="dxa"/>
          </w:tcPr>
          <w:p>
            <w:pPr>
              <w:pStyle w:val="TableParagraph"/>
              <w:spacing w:before="120"/>
              <w:ind w:left="391"/>
              <w:rPr>
                <w:sz w:val="20"/>
              </w:rPr>
            </w:pPr>
            <w:r>
              <w:rPr>
                <w:spacing w:val="-5"/>
                <w:sz w:val="20"/>
              </w:rPr>
              <w:t>kWp</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391"/>
              <w:rPr>
                <w:sz w:val="20"/>
              </w:rPr>
            </w:pPr>
            <w:r>
              <w:rPr>
                <w:spacing w:val="-4"/>
                <w:sz w:val="20"/>
              </w:rPr>
              <w:t>6922</w:t>
            </w:r>
          </w:p>
        </w:tc>
      </w:tr>
      <w:tr>
        <w:trPr>
          <w:trHeight w:val="506" w:hRule="atLeast"/>
        </w:trPr>
        <w:tc>
          <w:tcPr>
            <w:tcW w:w="368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3" w:type="dxa"/>
          </w:tcPr>
          <w:p>
            <w:pPr>
              <w:pStyle w:val="TableParagraph"/>
              <w:spacing w:before="120"/>
              <w:ind w:left="0" w:right="402"/>
              <w:jc w:val="right"/>
              <w:rPr>
                <w:sz w:val="20"/>
              </w:rPr>
            </w:pPr>
            <w:r>
              <w:rPr>
                <w:sz w:val="20"/>
              </w:rPr>
              <w:t>t</w:t>
            </w:r>
            <w:r>
              <w:rPr>
                <w:spacing w:val="-2"/>
                <w:sz w:val="20"/>
              </w:rPr>
              <w:t> CO2/rok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391"/>
              <w:rPr>
                <w:sz w:val="20"/>
              </w:rPr>
            </w:pPr>
            <w:r>
              <w:rPr>
                <w:spacing w:val="-2"/>
                <w:sz w:val="20"/>
              </w:rPr>
              <w:t>6397.54</w:t>
            </w:r>
          </w:p>
        </w:tc>
      </w:tr>
      <w:tr>
        <w:trPr>
          <w:trHeight w:val="532" w:hRule="atLeast"/>
        </w:trPr>
        <w:tc>
          <w:tcPr>
            <w:tcW w:w="3689"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3" w:type="dxa"/>
          </w:tcPr>
          <w:p>
            <w:pPr>
              <w:pStyle w:val="TableParagraph"/>
              <w:spacing w:before="120"/>
              <w:ind w:left="0" w:right="426"/>
              <w:jc w:val="right"/>
              <w:rPr>
                <w:sz w:val="20"/>
              </w:rPr>
            </w:pPr>
            <w:r>
              <w:rPr>
                <w:spacing w:val="-2"/>
                <w:sz w:val="20"/>
              </w:rPr>
              <w:t>MWh/rok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391"/>
              <w:rPr>
                <w:sz w:val="20"/>
              </w:rPr>
            </w:pPr>
            <w:r>
              <w:rPr>
                <w:spacing w:val="-2"/>
                <w:sz w:val="20"/>
              </w:rPr>
              <w:t>19341.40</w:t>
            </w:r>
          </w:p>
        </w:tc>
      </w:tr>
      <w:tr>
        <w:trPr>
          <w:trHeight w:val="505" w:hRule="atLeast"/>
        </w:trPr>
        <w:tc>
          <w:tcPr>
            <w:tcW w:w="3689"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3" w:type="dxa"/>
          </w:tcPr>
          <w:p>
            <w:pPr>
              <w:pStyle w:val="TableParagraph"/>
              <w:spacing w:before="120"/>
              <w:ind w:left="0" w:right="426"/>
              <w:jc w:val="right"/>
              <w:rPr>
                <w:sz w:val="20"/>
              </w:rPr>
            </w:pPr>
            <w:r>
              <w:rPr>
                <w:spacing w:val="-2"/>
                <w:sz w:val="20"/>
              </w:rPr>
              <w:t>MWh/rok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391"/>
              <w:rPr>
                <w:sz w:val="20"/>
              </w:rPr>
            </w:pPr>
            <w:r>
              <w:rPr>
                <w:spacing w:val="-4"/>
                <w:sz w:val="20"/>
              </w:rPr>
              <w:t>7439</w:t>
            </w:r>
          </w:p>
        </w:tc>
      </w:tr>
    </w:tbl>
    <w:p>
      <w:pPr>
        <w:pStyle w:val="BodyText"/>
        <w:spacing w:before="4"/>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7"/>
          <w:sz w:val="20"/>
        </w:rPr>
        <w:t> </w:t>
      </w:r>
      <w:r>
        <w:rPr>
          <w:sz w:val="20"/>
        </w:rPr>
        <w:t>termín</w:t>
      </w:r>
      <w:r>
        <w:rPr>
          <w:spacing w:val="27"/>
          <w:sz w:val="20"/>
        </w:rPr>
        <w:t> </w:t>
      </w:r>
      <w:r>
        <w:rPr>
          <w:sz w:val="20"/>
        </w:rPr>
        <w:t>ukončení</w:t>
      </w:r>
      <w:r>
        <w:rPr>
          <w:spacing w:val="27"/>
          <w:sz w:val="20"/>
        </w:rPr>
        <w:t> </w:t>
      </w:r>
      <w:r>
        <w:rPr>
          <w:sz w:val="20"/>
        </w:rPr>
        <w:t>akce</w:t>
      </w:r>
      <w:r>
        <w:rPr>
          <w:spacing w:val="26"/>
          <w:sz w:val="20"/>
        </w:rPr>
        <w:t> </w:t>
      </w:r>
      <w:r>
        <w:rPr>
          <w:sz w:val="20"/>
        </w:rPr>
        <w:t>se</w:t>
      </w:r>
      <w:r>
        <w:rPr>
          <w:spacing w:val="26"/>
          <w:sz w:val="20"/>
        </w:rPr>
        <w:t> </w:t>
      </w:r>
      <w:r>
        <w:rPr>
          <w:sz w:val="20"/>
        </w:rPr>
        <w:t>považuje</w:t>
      </w:r>
      <w:r>
        <w:rPr>
          <w:spacing w:val="26"/>
          <w:sz w:val="20"/>
        </w:rPr>
        <w:t> </w:t>
      </w:r>
      <w:r>
        <w:rPr>
          <w:sz w:val="20"/>
        </w:rPr>
        <w:t>datum</w:t>
      </w:r>
      <w:r>
        <w:rPr>
          <w:spacing w:val="28"/>
          <w:sz w:val="20"/>
        </w:rPr>
        <w:t> </w:t>
      </w:r>
      <w:r>
        <w:rPr>
          <w:sz w:val="20"/>
        </w:rPr>
        <w:t>vydání</w:t>
      </w:r>
      <w:r>
        <w:rPr>
          <w:spacing w:val="29"/>
          <w:sz w:val="20"/>
        </w:rPr>
        <w:t> </w:t>
      </w:r>
      <w:r>
        <w:rPr>
          <w:sz w:val="20"/>
        </w:rPr>
        <w:t>Kolaudačního</w:t>
      </w:r>
      <w:r>
        <w:rPr>
          <w:spacing w:val="30"/>
          <w:sz w:val="20"/>
        </w:rPr>
        <w:t> </w:t>
      </w:r>
      <w:r>
        <w:rPr>
          <w:sz w:val="20"/>
        </w:rPr>
        <w:t>souhlasu,</w:t>
      </w:r>
      <w:r>
        <w:rPr>
          <w:spacing w:val="27"/>
          <w:sz w:val="20"/>
        </w:rPr>
        <w:t> </w:t>
      </w:r>
      <w:r>
        <w:rPr>
          <w:sz w:val="20"/>
        </w:rPr>
        <w:t>oznámení</w:t>
      </w:r>
      <w:r>
        <w:rPr>
          <w:spacing w:val="27"/>
          <w:sz w:val="20"/>
        </w:rPr>
        <w:t> </w:t>
      </w:r>
      <w:r>
        <w:rPr>
          <w:sz w:val="20"/>
        </w:rPr>
        <w:t>o</w:t>
      </w:r>
      <w:r>
        <w:rPr>
          <w:spacing w:val="28"/>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podle příslušných ustanovení zákona č. 183/2006 Sb.,o</w:t>
      </w:r>
      <w:r>
        <w:rPr>
          <w:spacing w:val="-1"/>
        </w:rPr>
        <w:t> </w:t>
      </w:r>
      <w:r>
        <w:rPr/>
        <w:t>územním plánování a stavebním řádu (stavební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8"/>
        </w:rPr>
        <w:t> </w:t>
      </w:r>
      <w:r>
        <w:rPr/>
        <w:t>nebo</w:t>
      </w:r>
      <w:r>
        <w:rPr>
          <w:spacing w:val="-9"/>
        </w:rPr>
        <w:t> </w:t>
      </w:r>
      <w:r>
        <w:rPr/>
        <w:t>termín</w:t>
      </w:r>
      <w:r>
        <w:rPr>
          <w:spacing w:val="-11"/>
        </w:rPr>
        <w:t> </w:t>
      </w:r>
      <w:r>
        <w:rPr/>
        <w:t>schválení</w:t>
      </w:r>
      <w:r>
        <w:rPr>
          <w:spacing w:val="-10"/>
        </w:rPr>
        <w:t> </w:t>
      </w:r>
      <w:r>
        <w:rPr/>
        <w:t>protokolu</w:t>
      </w:r>
      <w:r>
        <w:rPr>
          <w:spacing w:val="-8"/>
        </w:rPr>
        <w:t> </w:t>
      </w:r>
      <w:r>
        <w:rPr/>
        <w:t>o</w:t>
      </w:r>
      <w:r>
        <w:rPr>
          <w:spacing w:val="-8"/>
        </w:rPr>
        <w:t> </w:t>
      </w:r>
      <w:r>
        <w:rPr/>
        <w:t>předání</w:t>
      </w:r>
      <w:r>
        <w:rPr>
          <w:spacing w:val="-8"/>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5"/>
        </w:rPr>
        <w:t> </w:t>
      </w:r>
      <w:r>
        <w:rPr/>
        <w:t>stavění</w:t>
      </w:r>
      <w:r>
        <w:rPr>
          <w:spacing w:val="-6"/>
        </w:rPr>
        <w:t> </w:t>
      </w:r>
      <w:r>
        <w:rPr/>
        <w:t>běhu</w:t>
      </w:r>
      <w:r>
        <w:rPr>
          <w:spacing w:val="-4"/>
        </w:rPr>
        <w:t> </w:t>
      </w:r>
      <w:r>
        <w:rPr/>
        <w:t>lhůty</w:t>
      </w:r>
      <w:r>
        <w:rPr>
          <w:spacing w:val="-6"/>
        </w:rPr>
        <w:t> </w:t>
      </w:r>
      <w:r>
        <w:rPr/>
        <w:t>došlo</w:t>
      </w:r>
      <w:r>
        <w:rPr>
          <w:spacing w:val="-4"/>
        </w:rPr>
        <w:t> </w:t>
      </w:r>
      <w:r>
        <w:rPr/>
        <w:t>k</w:t>
      </w:r>
      <w:r>
        <w:rPr>
          <w:spacing w:val="-5"/>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6"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right="1059"/>
      </w:pPr>
      <w:r>
        <w:rPr/>
        <w:t>Porušení</w:t>
      </w:r>
      <w:r>
        <w:rPr>
          <w:spacing w:val="-6"/>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6"/>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7"/>
          <w:sz w:val="20"/>
        </w:rPr>
        <w:t> </w:t>
      </w:r>
      <w:r>
        <w:rPr>
          <w:sz w:val="20"/>
        </w:rPr>
        <w:t>ve</w:t>
      </w:r>
      <w:r>
        <w:rPr>
          <w:spacing w:val="36"/>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pPr>
    </w:p>
    <w:p>
      <w:pPr>
        <w:pStyle w:val="Heading1"/>
        <w:spacing w:line="265" w:lineRule="exact"/>
      </w:pPr>
      <w:r>
        <w:rPr>
          <w:spacing w:val="-5"/>
        </w:rPr>
        <w:t>VI.</w:t>
      </w:r>
    </w:p>
    <w:p>
      <w:pPr>
        <w:pStyle w:val="Heading2"/>
        <w:spacing w:line="265" w:lineRule="exact"/>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1"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 Smlouvy,</w:t>
      </w:r>
      <w:r>
        <w:rPr>
          <w:spacing w:val="-6"/>
        </w:rPr>
        <w:t> </w:t>
      </w:r>
      <w:r>
        <w:rPr/>
        <w:t>a</w:t>
      </w:r>
      <w:r>
        <w:rPr>
          <w:spacing w:val="-6"/>
        </w:rPr>
        <w:t> </w:t>
      </w:r>
      <w:r>
        <w:rPr/>
        <w:t>to</w:t>
      </w:r>
      <w:r>
        <w:rPr>
          <w:spacing w:val="-5"/>
        </w:rPr>
        <w:t> </w:t>
      </w:r>
      <w:r>
        <w:rPr/>
        <w:t>již</w:t>
      </w:r>
      <w:r>
        <w:rPr>
          <w:spacing w:val="-5"/>
        </w:rPr>
        <w:t> </w:t>
      </w:r>
      <w:r>
        <w:rPr/>
        <w:t>v</w:t>
      </w:r>
      <w:r>
        <w:rPr>
          <w:spacing w:val="-5"/>
        </w:rPr>
        <w:t> </w:t>
      </w:r>
      <w:r>
        <w:rPr/>
        <w:t>označení</w:t>
      </w:r>
      <w:r>
        <w:rPr>
          <w:spacing w:val="-5"/>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569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3027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2024-04-10T09:02:26Z</dcterms:created>
  <dcterms:modified xsi:type="dcterms:W3CDTF">2024-04-10T09:02:26Z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pro Microsoft 365</vt:lpwstr>
  </property>
  <property fmtid="{D5CDD505-2E9C-101B-9397-08002B2CF9AE}" pid="4" name="LastSaved">
    <vt:filetime>2024-04-10T00:00:00Z</vt:filetime>
  </property>
</Properties>
</file>