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3C91" w14:textId="77777777" w:rsidR="008F0751" w:rsidRDefault="00B44920">
      <w:pPr>
        <w:pStyle w:val="Standard"/>
        <w:tabs>
          <w:tab w:val="left" w:pos="0"/>
        </w:tabs>
        <w:spacing w:after="0" w:line="240" w:lineRule="auto"/>
        <w:jc w:val="center"/>
        <w:outlineLvl w:val="4"/>
        <w:rPr>
          <w:rFonts w:ascii="Arial" w:eastAsia="Times New Roman" w:hAnsi="Arial" w:cs="Times New Roman"/>
          <w:b/>
          <w:bCs/>
          <w:kern w:val="3"/>
          <w:sz w:val="28"/>
          <w:szCs w:val="20"/>
        </w:rPr>
      </w:pPr>
      <w:r>
        <w:rPr>
          <w:rFonts w:ascii="Arial" w:eastAsia="Times New Roman" w:hAnsi="Arial" w:cs="Times New Roman"/>
          <w:b/>
          <w:bCs/>
          <w:kern w:val="3"/>
          <w:sz w:val="28"/>
          <w:szCs w:val="20"/>
        </w:rPr>
        <w:t>Smlouva o poskytování servisních a provozních dat</w:t>
      </w:r>
    </w:p>
    <w:p w14:paraId="2ABD61F1" w14:textId="77777777" w:rsidR="008F0751" w:rsidRDefault="00B44920">
      <w:pPr>
        <w:pStyle w:val="Standard"/>
        <w:spacing w:after="0" w:line="240" w:lineRule="auto"/>
        <w:jc w:val="center"/>
        <w:rPr>
          <w:rFonts w:ascii="Arial" w:eastAsia="Times New Roman" w:hAnsi="Arial" w:cs="Times New Roman"/>
          <w:i/>
          <w:sz w:val="18"/>
          <w:szCs w:val="20"/>
        </w:rPr>
      </w:pPr>
      <w:r>
        <w:rPr>
          <w:rFonts w:ascii="Arial" w:eastAsia="Times New Roman" w:hAnsi="Arial" w:cs="Times New Roman"/>
          <w:i/>
          <w:sz w:val="18"/>
          <w:szCs w:val="20"/>
        </w:rPr>
        <w:t>uzavřená níže uvedeného dne, měsíce a roku podle § 1746 odst. 2 a násl. zákona č. 89/2012 Sb., občanský zákoník, ve znění pozdějších předpisů (dále jen „smlouva“) mezi následujícími smluvními stranami:</w:t>
      </w:r>
    </w:p>
    <w:p w14:paraId="3E63172B" w14:textId="77777777" w:rsidR="008F0751" w:rsidRDefault="008F0751">
      <w:pPr>
        <w:pStyle w:val="Standard"/>
        <w:tabs>
          <w:tab w:val="left" w:pos="0"/>
        </w:tabs>
        <w:spacing w:after="0" w:line="240" w:lineRule="auto"/>
        <w:jc w:val="center"/>
        <w:outlineLvl w:val="4"/>
        <w:rPr>
          <w:rFonts w:ascii="Arial" w:eastAsia="Times New Roman" w:hAnsi="Arial" w:cs="Times New Roman"/>
          <w:b/>
          <w:bCs/>
          <w:kern w:val="3"/>
          <w:szCs w:val="20"/>
        </w:rPr>
      </w:pPr>
    </w:p>
    <w:p w14:paraId="38DB5FF5" w14:textId="7F1172C2" w:rsidR="00A540AF" w:rsidRPr="003E5CB5" w:rsidRDefault="00A540AF" w:rsidP="00F137B9">
      <w:pPr>
        <w:pStyle w:val="Standard"/>
        <w:tabs>
          <w:tab w:val="left" w:pos="0"/>
        </w:tabs>
        <w:spacing w:after="0" w:line="240" w:lineRule="auto"/>
        <w:outlineLvl w:val="4"/>
        <w:rPr>
          <w:rFonts w:ascii="Arial" w:eastAsia="Times New Roman" w:hAnsi="Arial" w:cs="Arial"/>
          <w:b/>
          <w:szCs w:val="20"/>
          <w:shd w:val="clear" w:color="auto" w:fill="FFFF00"/>
        </w:rPr>
      </w:pPr>
      <w:bookmarkStart w:id="0" w:name="DDE_LINK2"/>
      <w:bookmarkEnd w:id="0"/>
    </w:p>
    <w:p w14:paraId="6D81BF2A" w14:textId="36968C5D" w:rsidR="003E5CB5" w:rsidRPr="003E5CB5" w:rsidRDefault="003E5CB5" w:rsidP="00F137B9">
      <w:pPr>
        <w:pStyle w:val="Standard"/>
        <w:tabs>
          <w:tab w:val="left" w:pos="0"/>
        </w:tabs>
        <w:spacing w:after="0" w:line="240" w:lineRule="auto"/>
        <w:outlineLvl w:val="4"/>
        <w:rPr>
          <w:rFonts w:ascii="Arial" w:eastAsia="Times New Roman" w:hAnsi="Arial" w:cs="Arial"/>
          <w:b/>
          <w:bCs/>
          <w:szCs w:val="20"/>
        </w:rPr>
      </w:pPr>
      <w:r w:rsidRPr="003E5CB5">
        <w:rPr>
          <w:rFonts w:ascii="Arial" w:eastAsia="Times New Roman" w:hAnsi="Arial" w:cs="Arial"/>
          <w:b/>
          <w:bCs/>
          <w:szCs w:val="20"/>
        </w:rPr>
        <w:t>Česká republika – Úřad průmyslového vlastnictví</w:t>
      </w:r>
    </w:p>
    <w:p w14:paraId="1F3C6821" w14:textId="5B6C86F1" w:rsidR="00F137B9" w:rsidRPr="003E5CB5" w:rsidRDefault="00F137B9" w:rsidP="00F137B9">
      <w:pPr>
        <w:pStyle w:val="Standard"/>
        <w:tabs>
          <w:tab w:val="left" w:pos="0"/>
        </w:tabs>
        <w:spacing w:after="0" w:line="240" w:lineRule="auto"/>
        <w:outlineLvl w:val="4"/>
        <w:rPr>
          <w:rFonts w:ascii="Arial" w:eastAsia="Times New Roman" w:hAnsi="Arial" w:cs="Arial"/>
          <w:szCs w:val="20"/>
        </w:rPr>
      </w:pPr>
      <w:r w:rsidRPr="003E5CB5">
        <w:rPr>
          <w:rFonts w:ascii="Arial" w:eastAsia="Times New Roman" w:hAnsi="Arial" w:cs="Arial"/>
          <w:szCs w:val="20"/>
        </w:rPr>
        <w:t xml:space="preserve">se </w:t>
      </w:r>
      <w:r w:rsidR="00B44920" w:rsidRPr="003E5CB5">
        <w:rPr>
          <w:rFonts w:ascii="Arial" w:eastAsia="Times New Roman" w:hAnsi="Arial" w:cs="Arial"/>
          <w:szCs w:val="20"/>
        </w:rPr>
        <w:t xml:space="preserve">sídlem: </w:t>
      </w:r>
      <w:r w:rsidR="001E0D40" w:rsidRPr="003E5CB5">
        <w:rPr>
          <w:rFonts w:ascii="Arial" w:eastAsia="Times New Roman" w:hAnsi="Arial" w:cs="Arial"/>
          <w:szCs w:val="20"/>
        </w:rPr>
        <w:t>Antonína Čermáka 1057/</w:t>
      </w:r>
      <w:proofErr w:type="gramStart"/>
      <w:r w:rsidR="001E0D40" w:rsidRPr="003E5CB5">
        <w:rPr>
          <w:rFonts w:ascii="Arial" w:eastAsia="Times New Roman" w:hAnsi="Arial" w:cs="Arial"/>
          <w:szCs w:val="20"/>
        </w:rPr>
        <w:t>2a</w:t>
      </w:r>
      <w:proofErr w:type="gramEnd"/>
      <w:r w:rsidR="001E0D40" w:rsidRPr="003E5CB5">
        <w:rPr>
          <w:rFonts w:ascii="Arial" w:eastAsia="Times New Roman" w:hAnsi="Arial" w:cs="Arial"/>
          <w:szCs w:val="20"/>
        </w:rPr>
        <w:t>, Bubeneč, 160 68 Praha 6</w:t>
      </w:r>
    </w:p>
    <w:p w14:paraId="45B57219" w14:textId="710DE988" w:rsidR="002E0E83" w:rsidRPr="003E5CB5" w:rsidRDefault="002E0E83" w:rsidP="00F137B9">
      <w:pPr>
        <w:pStyle w:val="Standard"/>
        <w:tabs>
          <w:tab w:val="left" w:pos="0"/>
        </w:tabs>
        <w:spacing w:after="0" w:line="240" w:lineRule="auto"/>
        <w:outlineLvl w:val="4"/>
      </w:pPr>
      <w:r w:rsidRPr="003E5CB5">
        <w:rPr>
          <w:rFonts w:ascii="Arial" w:eastAsia="Times New Roman" w:hAnsi="Arial" w:cs="Arial"/>
          <w:szCs w:val="20"/>
        </w:rPr>
        <w:t>právní forma: 325 – organizační složka státu</w:t>
      </w:r>
    </w:p>
    <w:p w14:paraId="6B738510" w14:textId="67BA71D2" w:rsidR="00F137B9" w:rsidRPr="003E5CB5" w:rsidRDefault="00F137B9" w:rsidP="00F137B9">
      <w:pPr>
        <w:pStyle w:val="Standard"/>
        <w:tabs>
          <w:tab w:val="left" w:pos="0"/>
        </w:tabs>
        <w:spacing w:after="0" w:line="240" w:lineRule="auto"/>
        <w:outlineLvl w:val="4"/>
      </w:pPr>
      <w:r w:rsidRPr="003E5CB5">
        <w:rPr>
          <w:rFonts w:ascii="Arial" w:eastAsia="Times New Roman" w:hAnsi="Arial" w:cs="Arial"/>
          <w:szCs w:val="20"/>
        </w:rPr>
        <w:t>IČO</w:t>
      </w:r>
      <w:r w:rsidR="003E5CB5">
        <w:rPr>
          <w:rFonts w:ascii="Arial" w:eastAsia="Times New Roman" w:hAnsi="Arial" w:cs="Arial"/>
          <w:szCs w:val="20"/>
        </w:rPr>
        <w:t>: 481 35 097</w:t>
      </w:r>
    </w:p>
    <w:p w14:paraId="49C4B72A" w14:textId="11AB5278" w:rsidR="00F137B9" w:rsidRPr="003E5CB5" w:rsidRDefault="00F137B9" w:rsidP="003E5CB5">
      <w:pPr>
        <w:pStyle w:val="Standard"/>
        <w:tabs>
          <w:tab w:val="left" w:pos="0"/>
        </w:tabs>
        <w:spacing w:after="0" w:line="240" w:lineRule="auto"/>
        <w:ind w:left="5664" w:hanging="5664"/>
        <w:outlineLvl w:val="4"/>
      </w:pPr>
      <w:r w:rsidRPr="003E5CB5">
        <w:rPr>
          <w:rFonts w:ascii="Arial" w:eastAsia="Times New Roman" w:hAnsi="Arial" w:cs="Arial"/>
          <w:szCs w:val="20"/>
        </w:rPr>
        <w:t>DIČ:</w:t>
      </w:r>
      <w:r w:rsidR="003E5CB5">
        <w:rPr>
          <w:rFonts w:ascii="Arial" w:eastAsia="Times New Roman" w:hAnsi="Arial" w:cs="Arial"/>
          <w:szCs w:val="20"/>
        </w:rPr>
        <w:t xml:space="preserve"> CZ48135097 (nejsme plátci DPH)</w:t>
      </w:r>
    </w:p>
    <w:p w14:paraId="78F1E6AA" w14:textId="510058EA" w:rsidR="00F137B9" w:rsidRDefault="00F137B9" w:rsidP="00F137B9">
      <w:pPr>
        <w:pStyle w:val="Standard"/>
        <w:tabs>
          <w:tab w:val="left" w:pos="0"/>
        </w:tabs>
        <w:spacing w:after="0" w:line="240" w:lineRule="auto"/>
        <w:outlineLvl w:val="4"/>
      </w:pPr>
      <w:r w:rsidRPr="003E5CB5">
        <w:rPr>
          <w:rFonts w:ascii="Arial" w:eastAsia="Times New Roman" w:hAnsi="Arial" w:cs="Arial"/>
          <w:szCs w:val="20"/>
        </w:rPr>
        <w:t xml:space="preserve">zastoupená: </w:t>
      </w:r>
      <w:r w:rsidR="001E0D40" w:rsidRPr="003E5CB5">
        <w:rPr>
          <w:rFonts w:ascii="Arial" w:eastAsia="Times New Roman" w:hAnsi="Arial" w:cs="Arial"/>
          <w:szCs w:val="20"/>
        </w:rPr>
        <w:t>Ing. Luďkem Churáčkem, ředitelem</w:t>
      </w:r>
      <w:r w:rsidR="001E0D40">
        <w:rPr>
          <w:rFonts w:ascii="Arial" w:eastAsia="Times New Roman" w:hAnsi="Arial" w:cs="Arial"/>
          <w:szCs w:val="20"/>
        </w:rPr>
        <w:t xml:space="preserve"> ekonomického odboru</w:t>
      </w:r>
    </w:p>
    <w:p w14:paraId="732AF8F9" w14:textId="6433D732" w:rsidR="00F137B9" w:rsidRDefault="00F137B9" w:rsidP="00F137B9">
      <w:pPr>
        <w:pStyle w:val="Standard"/>
        <w:spacing w:after="0" w:line="240" w:lineRule="auto"/>
        <w:rPr>
          <w:rFonts w:ascii="Arial" w:eastAsia="Times New Roman" w:hAnsi="Arial" w:cs="Arial"/>
          <w:szCs w:val="20"/>
        </w:rPr>
      </w:pPr>
      <w:r>
        <w:rPr>
          <w:rFonts w:ascii="Arial" w:eastAsia="Times New Roman" w:hAnsi="Arial" w:cs="Arial"/>
          <w:szCs w:val="20"/>
        </w:rPr>
        <w:t>bankovní spojení:</w:t>
      </w:r>
      <w:r w:rsidR="001E0D40">
        <w:rPr>
          <w:rFonts w:ascii="Arial" w:eastAsia="Times New Roman" w:hAnsi="Arial" w:cs="Arial"/>
          <w:szCs w:val="20"/>
        </w:rPr>
        <w:t xml:space="preserve"> Česká národní banka</w:t>
      </w:r>
      <w:r>
        <w:rPr>
          <w:rFonts w:ascii="Arial" w:eastAsia="Times New Roman" w:hAnsi="Arial" w:cs="Arial"/>
          <w:szCs w:val="20"/>
        </w:rPr>
        <w:t xml:space="preserve"> </w:t>
      </w:r>
      <w:r>
        <w:rPr>
          <w:rFonts w:ascii="Arial" w:eastAsia="Times New Roman" w:hAnsi="Arial" w:cs="Arial"/>
          <w:szCs w:val="20"/>
        </w:rPr>
        <w:br/>
        <w:t xml:space="preserve">číslo účtu: </w:t>
      </w:r>
      <w:r w:rsidR="001E0D40">
        <w:rPr>
          <w:rFonts w:ascii="Arial" w:eastAsia="Times New Roman" w:hAnsi="Arial" w:cs="Arial"/>
          <w:szCs w:val="20"/>
        </w:rPr>
        <w:t>21526001/0710</w:t>
      </w:r>
    </w:p>
    <w:p w14:paraId="635CBBC3" w14:textId="4A77EC69" w:rsidR="003E5CB5" w:rsidRDefault="003E5CB5" w:rsidP="00F137B9">
      <w:pPr>
        <w:pStyle w:val="Standard"/>
        <w:spacing w:after="0" w:line="240" w:lineRule="auto"/>
      </w:pPr>
      <w:r>
        <w:rPr>
          <w:rFonts w:ascii="Arial" w:eastAsia="Times New Roman" w:hAnsi="Arial" w:cs="Arial"/>
          <w:szCs w:val="20"/>
        </w:rPr>
        <w:t xml:space="preserve">e-mail: </w:t>
      </w:r>
      <w:r w:rsidR="003F2141">
        <w:rPr>
          <w:rFonts w:ascii="Arial" w:eastAsia="Times New Roman" w:hAnsi="Arial" w:cs="Arial"/>
          <w:szCs w:val="20"/>
        </w:rPr>
        <w:t>XXXXXXXXXX</w:t>
      </w:r>
    </w:p>
    <w:p w14:paraId="529E53FA" w14:textId="29DE6F78" w:rsidR="00F137B9" w:rsidRDefault="00F137B9" w:rsidP="00F137B9">
      <w:pPr>
        <w:pStyle w:val="Standard"/>
        <w:tabs>
          <w:tab w:val="left" w:pos="0"/>
        </w:tabs>
        <w:spacing w:after="0" w:line="240" w:lineRule="auto"/>
        <w:outlineLvl w:val="4"/>
      </w:pPr>
      <w:r>
        <w:rPr>
          <w:rFonts w:ascii="Arial" w:eastAsia="Times New Roman" w:hAnsi="Arial" w:cs="Arial"/>
          <w:szCs w:val="20"/>
        </w:rPr>
        <w:t>(dále „</w:t>
      </w:r>
      <w:r>
        <w:rPr>
          <w:rFonts w:ascii="Arial" w:eastAsia="Times New Roman" w:hAnsi="Arial" w:cs="Arial"/>
          <w:b/>
          <w:szCs w:val="20"/>
        </w:rPr>
        <w:t>klient</w:t>
      </w:r>
      <w:r>
        <w:rPr>
          <w:rFonts w:ascii="Arial" w:eastAsia="Times New Roman" w:hAnsi="Arial" w:cs="Arial"/>
          <w:szCs w:val="20"/>
        </w:rPr>
        <w:t>“)</w:t>
      </w:r>
    </w:p>
    <w:p w14:paraId="7D4B181F" w14:textId="77777777" w:rsidR="008F0751" w:rsidRDefault="008F0751">
      <w:pPr>
        <w:pStyle w:val="Standard"/>
        <w:tabs>
          <w:tab w:val="left" w:pos="0"/>
        </w:tabs>
        <w:spacing w:after="0" w:line="240" w:lineRule="auto"/>
        <w:outlineLvl w:val="4"/>
        <w:rPr>
          <w:rFonts w:ascii="Arial" w:eastAsia="Times New Roman" w:hAnsi="Arial" w:cs="Arial"/>
          <w:szCs w:val="20"/>
        </w:rPr>
      </w:pPr>
    </w:p>
    <w:p w14:paraId="44E958E5" w14:textId="77777777" w:rsidR="008F0751" w:rsidRDefault="00B44920">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a</w:t>
      </w:r>
    </w:p>
    <w:p w14:paraId="470417F1" w14:textId="77777777" w:rsidR="008F0751" w:rsidRDefault="008F0751">
      <w:pPr>
        <w:pStyle w:val="Standard"/>
        <w:tabs>
          <w:tab w:val="left" w:pos="0"/>
        </w:tabs>
        <w:spacing w:after="0" w:line="240" w:lineRule="auto"/>
        <w:outlineLvl w:val="4"/>
        <w:rPr>
          <w:rFonts w:ascii="Arial" w:eastAsia="Times New Roman" w:hAnsi="Arial" w:cs="Arial"/>
          <w:szCs w:val="20"/>
        </w:rPr>
      </w:pPr>
    </w:p>
    <w:p w14:paraId="03174EB9" w14:textId="77777777" w:rsidR="008F0751" w:rsidRDefault="00B44920">
      <w:pPr>
        <w:pStyle w:val="Standard"/>
        <w:tabs>
          <w:tab w:val="left" w:pos="0"/>
        </w:tabs>
        <w:spacing w:after="0" w:line="240" w:lineRule="auto"/>
        <w:outlineLvl w:val="4"/>
        <w:rPr>
          <w:rFonts w:ascii="Arial" w:eastAsia="Times New Roman" w:hAnsi="Arial" w:cs="Arial"/>
          <w:b/>
          <w:szCs w:val="20"/>
        </w:rPr>
      </w:pPr>
      <w:r>
        <w:rPr>
          <w:rFonts w:ascii="Arial" w:eastAsia="Times New Roman" w:hAnsi="Arial" w:cs="Arial"/>
          <w:b/>
          <w:szCs w:val="20"/>
        </w:rPr>
        <w:t>Olife Energy, a.s.</w:t>
      </w:r>
    </w:p>
    <w:p w14:paraId="3033BE57" w14:textId="77777777" w:rsidR="008F0751" w:rsidRDefault="00B44920">
      <w:pPr>
        <w:pStyle w:val="Standard"/>
        <w:tabs>
          <w:tab w:val="left" w:pos="0"/>
        </w:tabs>
        <w:spacing w:after="0" w:line="240" w:lineRule="auto"/>
        <w:outlineLvl w:val="4"/>
        <w:rPr>
          <w:rFonts w:ascii="Arial" w:eastAsia="Times New Roman" w:hAnsi="Arial" w:cs="Arial"/>
          <w:szCs w:val="20"/>
        </w:rPr>
      </w:pPr>
      <w:r>
        <w:rPr>
          <w:rFonts w:ascii="Arial" w:eastAsia="Times New Roman" w:hAnsi="Arial" w:cs="Arial"/>
          <w:szCs w:val="20"/>
        </w:rPr>
        <w:t>se sídlem: Lazarská 11/6, Nové Město, 120 00 Praha 2</w:t>
      </w:r>
    </w:p>
    <w:p w14:paraId="4C19CCC0" w14:textId="77777777" w:rsidR="008F0751" w:rsidRDefault="00B44920">
      <w:pPr>
        <w:pStyle w:val="Standard"/>
        <w:shd w:val="clear" w:color="auto" w:fill="FFFFFF"/>
        <w:spacing w:after="0" w:line="240" w:lineRule="auto"/>
        <w:rPr>
          <w:rFonts w:ascii="Arial" w:eastAsia="Times New Roman" w:hAnsi="Arial" w:cs="Arial"/>
          <w:szCs w:val="20"/>
        </w:rPr>
      </w:pPr>
      <w:r>
        <w:rPr>
          <w:rFonts w:ascii="Arial" w:eastAsia="Times New Roman" w:hAnsi="Arial" w:cs="Arial"/>
          <w:szCs w:val="20"/>
        </w:rPr>
        <w:t>IČO: 080 44 589</w:t>
      </w:r>
    </w:p>
    <w:p w14:paraId="14D0B4A0" w14:textId="77777777" w:rsidR="008F0751" w:rsidRDefault="00B44920">
      <w:pPr>
        <w:pStyle w:val="Standard"/>
        <w:shd w:val="clear" w:color="auto" w:fill="FFFFFF"/>
        <w:spacing w:after="0" w:line="240" w:lineRule="auto"/>
        <w:rPr>
          <w:rFonts w:ascii="Arial" w:eastAsia="Times New Roman" w:hAnsi="Arial" w:cs="Arial"/>
          <w:szCs w:val="20"/>
        </w:rPr>
      </w:pPr>
      <w:r>
        <w:rPr>
          <w:rFonts w:ascii="Arial" w:eastAsia="Times New Roman" w:hAnsi="Arial" w:cs="Arial"/>
          <w:szCs w:val="20"/>
        </w:rPr>
        <w:t>DIČ: CZ08044589</w:t>
      </w:r>
    </w:p>
    <w:p w14:paraId="25AE0D8E" w14:textId="77777777" w:rsidR="008F0751" w:rsidRDefault="00B44920">
      <w:pPr>
        <w:pStyle w:val="Standard"/>
        <w:shd w:val="clear" w:color="auto" w:fill="FFFFFF"/>
        <w:spacing w:after="0" w:line="240" w:lineRule="auto"/>
      </w:pPr>
      <w:proofErr w:type="spellStart"/>
      <w:r>
        <w:rPr>
          <w:rFonts w:ascii="Arial" w:eastAsia="Times New Roman" w:hAnsi="Arial" w:cs="Arial"/>
          <w:szCs w:val="20"/>
        </w:rPr>
        <w:t>sp</w:t>
      </w:r>
      <w:proofErr w:type="spellEnd"/>
      <w:r>
        <w:rPr>
          <w:rFonts w:ascii="Arial" w:eastAsia="Times New Roman" w:hAnsi="Arial" w:cs="Arial"/>
          <w:szCs w:val="20"/>
        </w:rPr>
        <w:t xml:space="preserve">. zn. </w:t>
      </w:r>
      <w:r>
        <w:rPr>
          <w:rFonts w:ascii="Arial" w:eastAsia="Times New Roman" w:hAnsi="Arial" w:cs="Arial"/>
          <w:szCs w:val="20"/>
          <w:lang w:val="es-PE"/>
        </w:rPr>
        <w:t>B 24324 vedená u Městského soudu v Praze</w:t>
      </w:r>
    </w:p>
    <w:p w14:paraId="214AD99A" w14:textId="31F8F7DF" w:rsidR="008F0751" w:rsidRDefault="00B44920">
      <w:pPr>
        <w:pStyle w:val="Standard"/>
        <w:tabs>
          <w:tab w:val="left" w:pos="0"/>
        </w:tabs>
        <w:spacing w:after="0" w:line="240" w:lineRule="auto"/>
        <w:outlineLvl w:val="4"/>
        <w:rPr>
          <w:rFonts w:ascii="Arial" w:eastAsia="Times New Roman" w:hAnsi="Arial" w:cs="Arial"/>
          <w:szCs w:val="20"/>
          <w:lang w:val="es-PE"/>
        </w:rPr>
      </w:pPr>
      <w:r>
        <w:rPr>
          <w:rFonts w:ascii="Arial" w:eastAsia="Times New Roman" w:hAnsi="Arial" w:cs="Arial"/>
          <w:szCs w:val="20"/>
          <w:lang w:val="es-PE"/>
        </w:rPr>
        <w:t xml:space="preserve">zastoupená: </w:t>
      </w:r>
      <w:r w:rsidR="003F2141">
        <w:rPr>
          <w:rFonts w:ascii="Arial" w:eastAsia="Times New Roman" w:hAnsi="Arial" w:cs="Arial"/>
          <w:szCs w:val="20"/>
        </w:rPr>
        <w:t>XXXXXXXXXX</w:t>
      </w:r>
      <w:r>
        <w:rPr>
          <w:rFonts w:ascii="Arial" w:eastAsia="Times New Roman" w:hAnsi="Arial" w:cs="Arial"/>
          <w:szCs w:val="20"/>
          <w:lang w:val="es-PE"/>
        </w:rPr>
        <w:t>, předsedou představenstva</w:t>
      </w:r>
    </w:p>
    <w:p w14:paraId="4F8ABAB1" w14:textId="77777777" w:rsidR="008F0751" w:rsidRDefault="00B44920">
      <w:pPr>
        <w:pStyle w:val="Standard"/>
        <w:spacing w:after="0" w:line="240" w:lineRule="auto"/>
        <w:jc w:val="both"/>
      </w:pPr>
      <w:r>
        <w:rPr>
          <w:rFonts w:ascii="Arial" w:eastAsia="Times New Roman" w:hAnsi="Arial" w:cs="Times New Roman"/>
          <w:szCs w:val="20"/>
          <w:lang w:val="es-PE"/>
        </w:rPr>
        <w:t>bankovní spojení:</w:t>
      </w:r>
      <w:r>
        <w:rPr>
          <w:rFonts w:ascii="Times New Roman" w:eastAsia="Times New Roman" w:hAnsi="Times New Roman" w:cs="Times New Roman"/>
          <w:b/>
          <w:kern w:val="3"/>
          <w:sz w:val="24"/>
          <w:szCs w:val="20"/>
          <w:lang w:val="es-PE" w:eastAsia="cs-CZ"/>
        </w:rPr>
        <w:t xml:space="preserve"> </w:t>
      </w:r>
      <w:r>
        <w:rPr>
          <w:rFonts w:ascii="Arial" w:eastAsia="Times New Roman" w:hAnsi="Arial" w:cs="Arial"/>
          <w:szCs w:val="20"/>
        </w:rPr>
        <w:t>UniCredit Bank Czech Republic and Slovakia a.s.</w:t>
      </w:r>
    </w:p>
    <w:p w14:paraId="1828F8A9" w14:textId="70906D2D" w:rsidR="008F0751" w:rsidRDefault="00B44920">
      <w:pPr>
        <w:pStyle w:val="Standard"/>
        <w:spacing w:after="0" w:line="240" w:lineRule="auto"/>
        <w:jc w:val="both"/>
      </w:pPr>
      <w:r>
        <w:rPr>
          <w:rFonts w:ascii="Arial" w:eastAsia="Times New Roman" w:hAnsi="Arial" w:cs="Times New Roman"/>
          <w:szCs w:val="20"/>
          <w:lang w:val="es-PE"/>
        </w:rPr>
        <w:t>číslo účtu:</w:t>
      </w:r>
      <w:r>
        <w:rPr>
          <w:rFonts w:ascii="Arial" w:eastAsia="Times New Roman" w:hAnsi="Arial" w:cs="Arial"/>
          <w:b/>
          <w:bCs/>
          <w:sz w:val="20"/>
          <w:szCs w:val="20"/>
        </w:rPr>
        <w:t xml:space="preserve"> </w:t>
      </w:r>
      <w:r w:rsidR="003F2141">
        <w:rPr>
          <w:rFonts w:ascii="Arial" w:eastAsia="Times New Roman" w:hAnsi="Arial" w:cs="Arial"/>
          <w:szCs w:val="20"/>
        </w:rPr>
        <w:t>XXXXXXXXXX</w:t>
      </w:r>
    </w:p>
    <w:p w14:paraId="76D8357F" w14:textId="77777777" w:rsidR="008F0751" w:rsidRDefault="00B44920">
      <w:pPr>
        <w:pStyle w:val="Standard"/>
        <w:tabs>
          <w:tab w:val="left" w:pos="0"/>
        </w:tabs>
        <w:spacing w:after="0" w:line="240" w:lineRule="auto"/>
        <w:outlineLvl w:val="4"/>
      </w:pPr>
      <w:r>
        <w:rPr>
          <w:rFonts w:ascii="Arial" w:eastAsia="Times New Roman" w:hAnsi="Arial" w:cs="Arial"/>
          <w:szCs w:val="20"/>
        </w:rPr>
        <w:t>(dále „</w:t>
      </w:r>
      <w:r>
        <w:rPr>
          <w:rFonts w:ascii="Arial" w:eastAsia="Times New Roman" w:hAnsi="Arial" w:cs="Arial"/>
          <w:b/>
          <w:szCs w:val="20"/>
        </w:rPr>
        <w:t>Olife Energy</w:t>
      </w:r>
      <w:r>
        <w:rPr>
          <w:rFonts w:ascii="Arial" w:eastAsia="Times New Roman" w:hAnsi="Arial" w:cs="Arial"/>
          <w:szCs w:val="20"/>
        </w:rPr>
        <w:t>“ nebo „</w:t>
      </w:r>
      <w:r>
        <w:rPr>
          <w:rFonts w:ascii="Arial" w:eastAsia="Times New Roman" w:hAnsi="Arial" w:cs="Arial"/>
          <w:b/>
          <w:bCs/>
          <w:szCs w:val="20"/>
        </w:rPr>
        <w:t>OE</w:t>
      </w:r>
      <w:r>
        <w:rPr>
          <w:rFonts w:ascii="Arial" w:eastAsia="Times New Roman" w:hAnsi="Arial" w:cs="Arial"/>
          <w:szCs w:val="20"/>
        </w:rPr>
        <w:t>“)</w:t>
      </w:r>
    </w:p>
    <w:p w14:paraId="5F893BA0" w14:textId="77777777" w:rsidR="008F0751" w:rsidRDefault="008F0751">
      <w:pPr>
        <w:pStyle w:val="Standard"/>
        <w:spacing w:after="0" w:line="240" w:lineRule="auto"/>
        <w:jc w:val="both"/>
        <w:rPr>
          <w:rFonts w:ascii="Arial" w:eastAsia="Times New Roman" w:hAnsi="Arial" w:cs="Times New Roman"/>
          <w:szCs w:val="20"/>
        </w:rPr>
      </w:pPr>
    </w:p>
    <w:p w14:paraId="2EC157F2" w14:textId="77777777" w:rsidR="008F0751" w:rsidRDefault="00B44920">
      <w:pPr>
        <w:pStyle w:val="Standard"/>
        <w:spacing w:after="0" w:line="240" w:lineRule="auto"/>
        <w:jc w:val="both"/>
      </w:pPr>
      <w:r>
        <w:rPr>
          <w:rFonts w:ascii="Arial" w:eastAsia="Times New Roman" w:hAnsi="Arial" w:cs="Times New Roman"/>
          <w:szCs w:val="20"/>
        </w:rPr>
        <w:t xml:space="preserve">(Olife Energy a </w:t>
      </w:r>
      <w:r>
        <w:rPr>
          <w:rFonts w:ascii="Arial" w:eastAsia="Times New Roman" w:hAnsi="Arial" w:cs="Arial"/>
          <w:b/>
          <w:szCs w:val="20"/>
        </w:rPr>
        <w:t>klient</w:t>
      </w:r>
      <w:r>
        <w:rPr>
          <w:rFonts w:ascii="Arial" w:eastAsia="Times New Roman" w:hAnsi="Arial" w:cs="Times New Roman"/>
          <w:szCs w:val="20"/>
        </w:rPr>
        <w:t xml:space="preserve"> dále společně též jako „</w:t>
      </w:r>
      <w:r>
        <w:rPr>
          <w:rFonts w:ascii="Arial" w:eastAsia="Times New Roman" w:hAnsi="Arial" w:cs="Times New Roman"/>
          <w:b/>
          <w:szCs w:val="20"/>
        </w:rPr>
        <w:t>smluvní strany</w:t>
      </w:r>
      <w:r>
        <w:rPr>
          <w:rFonts w:ascii="Arial" w:eastAsia="Times New Roman" w:hAnsi="Arial" w:cs="Times New Roman"/>
          <w:szCs w:val="20"/>
        </w:rPr>
        <w:t>“ nebo jednotlivě jako „</w:t>
      </w:r>
      <w:r>
        <w:rPr>
          <w:rFonts w:ascii="Arial" w:eastAsia="Times New Roman" w:hAnsi="Arial" w:cs="Times New Roman"/>
          <w:b/>
          <w:szCs w:val="20"/>
        </w:rPr>
        <w:t>smluvní strana</w:t>
      </w:r>
      <w:r>
        <w:rPr>
          <w:rFonts w:ascii="Arial" w:eastAsia="Times New Roman" w:hAnsi="Arial" w:cs="Times New Roman"/>
          <w:szCs w:val="20"/>
        </w:rPr>
        <w:t>“)</w:t>
      </w:r>
    </w:p>
    <w:p w14:paraId="4A57AB31" w14:textId="77777777" w:rsidR="008F0751" w:rsidRDefault="008F0751">
      <w:pPr>
        <w:pStyle w:val="Standard"/>
        <w:tabs>
          <w:tab w:val="left" w:pos="0"/>
        </w:tabs>
        <w:spacing w:after="0" w:line="240" w:lineRule="auto"/>
        <w:outlineLvl w:val="4"/>
        <w:rPr>
          <w:rFonts w:ascii="Arial" w:eastAsia="Times New Roman" w:hAnsi="Arial" w:cs="Arial"/>
          <w:b/>
          <w:szCs w:val="20"/>
        </w:rPr>
      </w:pPr>
    </w:p>
    <w:p w14:paraId="204F4D32" w14:textId="77777777"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1.</w:t>
      </w:r>
    </w:p>
    <w:p w14:paraId="1D513B34" w14:textId="77777777"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Předmět smlouvy</w:t>
      </w:r>
    </w:p>
    <w:p w14:paraId="5058EAAB" w14:textId="77777777" w:rsidR="008F0751" w:rsidRDefault="00B44920">
      <w:pPr>
        <w:pStyle w:val="Standard"/>
        <w:numPr>
          <w:ilvl w:val="0"/>
          <w:numId w:val="8"/>
        </w:numPr>
        <w:spacing w:after="0" w:line="240" w:lineRule="auto"/>
        <w:jc w:val="both"/>
        <w:rPr>
          <w:rFonts w:ascii="Arial" w:eastAsia="Times New Roman" w:hAnsi="Arial" w:cs="Arial"/>
          <w:szCs w:val="20"/>
        </w:rPr>
      </w:pPr>
      <w:r>
        <w:rPr>
          <w:rFonts w:ascii="Arial" w:eastAsia="Times New Roman" w:hAnsi="Arial" w:cs="Arial"/>
          <w:szCs w:val="20"/>
        </w:rPr>
        <w:t>Předmětem této smlouvy je:</w:t>
      </w:r>
    </w:p>
    <w:p w14:paraId="7E2F8579" w14:textId="77777777" w:rsidR="008F0751" w:rsidRDefault="00B44920">
      <w:pPr>
        <w:pStyle w:val="Standard"/>
        <w:numPr>
          <w:ilvl w:val="0"/>
          <w:numId w:val="9"/>
        </w:numPr>
        <w:spacing w:after="0" w:line="240" w:lineRule="auto"/>
        <w:jc w:val="both"/>
      </w:pPr>
      <w:r>
        <w:rPr>
          <w:rFonts w:ascii="Arial" w:eastAsia="Times New Roman" w:hAnsi="Arial" w:cs="Arial"/>
        </w:rPr>
        <w:t xml:space="preserve">závazek Olife Energy poskytovat </w:t>
      </w:r>
      <w:r>
        <w:rPr>
          <w:rFonts w:ascii="Arial" w:eastAsia="Times New Roman" w:hAnsi="Arial" w:cs="Arial"/>
          <w:b/>
          <w:bCs/>
        </w:rPr>
        <w:t xml:space="preserve">klientovi </w:t>
      </w:r>
      <w:r>
        <w:rPr>
          <w:rFonts w:ascii="Arial" w:eastAsia="Times New Roman" w:hAnsi="Arial" w:cs="Arial"/>
        </w:rPr>
        <w:t xml:space="preserve">dle jeho požadavků a/nebo v souladu s touto smlouvou servisní a provozní data spojená s provozem dobíjecích stanic </w:t>
      </w:r>
      <w:r>
        <w:rPr>
          <w:rFonts w:ascii="Arial" w:eastAsia="Times New Roman" w:hAnsi="Arial" w:cs="Arial"/>
          <w:b/>
          <w:bCs/>
        </w:rPr>
        <w:t>klienta</w:t>
      </w:r>
      <w:r>
        <w:rPr>
          <w:rFonts w:ascii="Arial" w:eastAsia="Times New Roman" w:hAnsi="Arial" w:cs="Arial"/>
        </w:rPr>
        <w:t xml:space="preserve"> pro elektromobily na území České republiky;</w:t>
      </w:r>
    </w:p>
    <w:p w14:paraId="00206D9E" w14:textId="77777777" w:rsidR="008F0751" w:rsidRDefault="00B44920">
      <w:pPr>
        <w:pStyle w:val="Standard"/>
        <w:numPr>
          <w:ilvl w:val="0"/>
          <w:numId w:val="9"/>
        </w:numPr>
        <w:spacing w:after="0" w:line="240" w:lineRule="auto"/>
        <w:jc w:val="both"/>
      </w:pPr>
      <w:r>
        <w:rPr>
          <w:rFonts w:ascii="Arial" w:eastAsia="Times New Roman" w:hAnsi="Arial" w:cs="Times New Roman"/>
        </w:rPr>
        <w:t xml:space="preserve">závazek Olife Energy poskytovat </w:t>
      </w:r>
      <w:r>
        <w:rPr>
          <w:rFonts w:ascii="Arial" w:eastAsia="Times New Roman" w:hAnsi="Arial" w:cs="Times New Roman"/>
          <w:b/>
          <w:bCs/>
        </w:rPr>
        <w:t>klientovi</w:t>
      </w:r>
      <w:r>
        <w:rPr>
          <w:rFonts w:ascii="Arial" w:eastAsia="Times New Roman" w:hAnsi="Arial" w:cs="Times New Roman"/>
        </w:rPr>
        <w:t xml:space="preserve"> dle jejich požadavků a v souladu s touto smlouvou služby servisního technika pro dobíjecí stanice. Tato služba bude poskytována pouze na základě výzvy </w:t>
      </w:r>
      <w:r>
        <w:rPr>
          <w:rFonts w:ascii="Arial" w:eastAsia="Times New Roman" w:hAnsi="Arial" w:cs="Arial"/>
          <w:b/>
          <w:bCs/>
        </w:rPr>
        <w:t>klienta</w:t>
      </w:r>
      <w:r>
        <w:rPr>
          <w:rFonts w:ascii="Arial" w:eastAsia="Times New Roman" w:hAnsi="Arial" w:cs="Times New Roman"/>
        </w:rPr>
        <w:t>.</w:t>
      </w:r>
    </w:p>
    <w:p w14:paraId="771A0735" w14:textId="77777777" w:rsidR="008F0751" w:rsidRDefault="00B44920">
      <w:pPr>
        <w:pStyle w:val="Standard"/>
        <w:numPr>
          <w:ilvl w:val="0"/>
          <w:numId w:val="9"/>
        </w:numPr>
        <w:spacing w:after="0" w:line="240" w:lineRule="auto"/>
        <w:jc w:val="both"/>
      </w:pPr>
      <w:r>
        <w:rPr>
          <w:rFonts w:ascii="Arial" w:eastAsia="Times New Roman" w:hAnsi="Arial" w:cs="Arial"/>
          <w:szCs w:val="20"/>
        </w:rPr>
        <w:t xml:space="preserve">závazek </w:t>
      </w:r>
      <w:r>
        <w:rPr>
          <w:rFonts w:ascii="Arial" w:eastAsia="Times New Roman" w:hAnsi="Arial" w:cs="Arial"/>
          <w:b/>
          <w:szCs w:val="20"/>
        </w:rPr>
        <w:t>klienta</w:t>
      </w:r>
      <w:r>
        <w:rPr>
          <w:rFonts w:ascii="Arial" w:eastAsia="Times New Roman" w:hAnsi="Arial" w:cs="Arial"/>
          <w:szCs w:val="20"/>
        </w:rPr>
        <w:t xml:space="preserve"> za takto poskytnutá servisní a provozní data a služby zaplatit Olife Energy paušální částku či odměnu stanovenou v této smlouvě.</w:t>
      </w:r>
    </w:p>
    <w:p w14:paraId="3C938107" w14:textId="77777777" w:rsidR="008F0751" w:rsidRDefault="00B44920">
      <w:pPr>
        <w:pStyle w:val="Standard"/>
        <w:numPr>
          <w:ilvl w:val="0"/>
          <w:numId w:val="8"/>
        </w:numPr>
        <w:spacing w:after="0" w:line="240" w:lineRule="auto"/>
        <w:jc w:val="both"/>
        <w:rPr>
          <w:rFonts w:ascii="Arial" w:eastAsia="Times New Roman" w:hAnsi="Arial" w:cs="Arial"/>
          <w:szCs w:val="20"/>
        </w:rPr>
      </w:pPr>
      <w:r>
        <w:rPr>
          <w:rFonts w:ascii="Arial" w:eastAsia="Times New Roman" w:hAnsi="Arial" w:cs="Arial"/>
          <w:szCs w:val="20"/>
        </w:rPr>
        <w:t>Smluvní strany se dohodly, že v rámci zajištění srozumitelnosti a určitosti pojmů, které jsou použity v této smlouvě, budou užívat tyto definice:</w:t>
      </w:r>
    </w:p>
    <w:p w14:paraId="01C9CCAD" w14:textId="77777777" w:rsidR="008F0751" w:rsidRDefault="00B44920">
      <w:pPr>
        <w:pStyle w:val="Standard"/>
        <w:numPr>
          <w:ilvl w:val="0"/>
          <w:numId w:val="10"/>
        </w:numPr>
        <w:spacing w:after="0" w:line="240" w:lineRule="auto"/>
        <w:ind w:left="1276" w:hanging="709"/>
        <w:jc w:val="both"/>
      </w:pPr>
      <w:r>
        <w:rPr>
          <w:rFonts w:ascii="Arial" w:eastAsia="Times New Roman" w:hAnsi="Arial" w:cs="Arial"/>
          <w:b/>
          <w:color w:val="000000"/>
          <w:szCs w:val="20"/>
        </w:rPr>
        <w:t>aplikace Olife Energy</w:t>
      </w:r>
      <w:r>
        <w:rPr>
          <w:rFonts w:ascii="Arial" w:eastAsia="Times New Roman" w:hAnsi="Arial" w:cs="Arial"/>
          <w:color w:val="000000"/>
          <w:szCs w:val="20"/>
        </w:rPr>
        <w:t xml:space="preserve"> – je plně hostovaná webová aplikace dostupná na </w:t>
      </w:r>
      <w:r>
        <w:rPr>
          <w:rFonts w:ascii="Arial" w:eastAsia="Times New Roman" w:hAnsi="Arial" w:cs="Arial"/>
          <w:b/>
          <w:bCs/>
          <w:color w:val="000000"/>
          <w:szCs w:val="20"/>
        </w:rPr>
        <w:t>net.olife-energy.com</w:t>
      </w:r>
      <w:r>
        <w:rPr>
          <w:rFonts w:ascii="Arial" w:eastAsia="Times New Roman" w:hAnsi="Arial" w:cs="Arial"/>
          <w:color w:val="000000"/>
          <w:szCs w:val="20"/>
        </w:rPr>
        <w:t xml:space="preserve">, vlastněná, vyvíjená a spravovaná Olife Energy. Aplikace Olife Energy je </w:t>
      </w:r>
      <w:r>
        <w:rPr>
          <w:rFonts w:ascii="Arial" w:eastAsia="Times New Roman" w:hAnsi="Arial" w:cs="Arial"/>
          <w:szCs w:val="20"/>
        </w:rPr>
        <w:t>souhrnem technických a programových prostředků a k nim příslušných služeb, určených pro monitoring, kontrolu a řízení dobíjecích stanic.</w:t>
      </w:r>
    </w:p>
    <w:p w14:paraId="35BDC83D" w14:textId="77777777" w:rsidR="008F0751" w:rsidRDefault="00B44920">
      <w:pPr>
        <w:pStyle w:val="Standard"/>
        <w:numPr>
          <w:ilvl w:val="0"/>
          <w:numId w:val="10"/>
        </w:numPr>
        <w:spacing w:after="0" w:line="240" w:lineRule="auto"/>
        <w:ind w:left="1276" w:hanging="709"/>
        <w:jc w:val="both"/>
      </w:pPr>
      <w:r>
        <w:rPr>
          <w:rFonts w:ascii="Arial" w:eastAsia="Times New Roman" w:hAnsi="Arial" w:cs="Times New Roman"/>
          <w:b/>
          <w:szCs w:val="20"/>
          <w:lang w:eastAsia="cs-CZ"/>
        </w:rPr>
        <w:t>dobíjecí stanice</w:t>
      </w:r>
      <w:r>
        <w:rPr>
          <w:rFonts w:ascii="Arial" w:eastAsia="Times New Roman" w:hAnsi="Arial" w:cs="Times New Roman"/>
          <w:szCs w:val="20"/>
          <w:lang w:eastAsia="cs-CZ"/>
        </w:rPr>
        <w:t xml:space="preserve"> – jeden nebo více dobíjecích bodů, přičemž dobíjecí bod představuje zařízení, které umožňuje dobíjet v určitém okamžiku jedno elektrické vozidlo, a jehož hlavním účelem je dobíjení elektrického vozidla.</w:t>
      </w:r>
    </w:p>
    <w:p w14:paraId="4CB79943" w14:textId="2F11AA87" w:rsidR="008F0751" w:rsidRDefault="00D3086B">
      <w:pPr>
        <w:pStyle w:val="Standard"/>
        <w:numPr>
          <w:ilvl w:val="0"/>
          <w:numId w:val="10"/>
        </w:numPr>
        <w:spacing w:after="0" w:line="240" w:lineRule="auto"/>
        <w:ind w:left="1276" w:hanging="709"/>
        <w:jc w:val="both"/>
      </w:pPr>
      <w:r>
        <w:rPr>
          <w:rFonts w:ascii="Arial" w:eastAsia="Times New Roman" w:hAnsi="Arial" w:cs="Arial"/>
          <w:b/>
          <w:szCs w:val="20"/>
        </w:rPr>
        <w:t>jednotka</w:t>
      </w:r>
      <w:r>
        <w:rPr>
          <w:rFonts w:ascii="Arial" w:eastAsia="Times New Roman" w:hAnsi="Arial" w:cs="Arial"/>
          <w:szCs w:val="20"/>
        </w:rPr>
        <w:t xml:space="preserve"> – je zařízení s rozhraním pro připojení do internetu (modem, Ethernet), které načítá a průběžně odesílá servisní a provozní data z/do aplikace Olife Energy. Tato data Olife Energy s pomocí vlastního technologického centra a programových prostředků přijímá, zpracovává, ukládá a ve vztahu ke konkrétnímu zákazníkovi, v rozsahu nabízených služeb, poskytuje svým zákazníkům;</w:t>
      </w:r>
    </w:p>
    <w:p w14:paraId="3A7F8CA9" w14:textId="77777777" w:rsidR="008F0751" w:rsidRDefault="00B44920">
      <w:pPr>
        <w:pStyle w:val="Standard"/>
        <w:numPr>
          <w:ilvl w:val="0"/>
          <w:numId w:val="10"/>
        </w:numPr>
        <w:spacing w:after="0" w:line="240" w:lineRule="auto"/>
        <w:ind w:left="1276" w:hanging="709"/>
        <w:jc w:val="both"/>
      </w:pPr>
      <w:r>
        <w:rPr>
          <w:rFonts w:ascii="Arial" w:eastAsia="Times New Roman" w:hAnsi="Arial" w:cs="Arial"/>
          <w:b/>
          <w:szCs w:val="20"/>
        </w:rPr>
        <w:lastRenderedPageBreak/>
        <w:t>helpdesk</w:t>
      </w:r>
      <w:r>
        <w:rPr>
          <w:rFonts w:ascii="Arial" w:eastAsia="Times New Roman" w:hAnsi="Arial" w:cs="Arial"/>
          <w:szCs w:val="20"/>
        </w:rPr>
        <w:t xml:space="preserve"> – je provozován Olife Energy na telefonním čísle: +420 724 196 587, které slouží k předávání požadavků týkajících se dobíjecích stanic;</w:t>
      </w:r>
    </w:p>
    <w:p w14:paraId="4A4409C2" w14:textId="33D37C72" w:rsidR="008F0751" w:rsidRDefault="00B44920">
      <w:pPr>
        <w:pStyle w:val="Standard"/>
        <w:numPr>
          <w:ilvl w:val="0"/>
          <w:numId w:val="10"/>
        </w:numPr>
        <w:spacing w:after="0" w:line="240" w:lineRule="auto"/>
        <w:ind w:left="1276" w:hanging="709"/>
        <w:jc w:val="both"/>
      </w:pPr>
      <w:r>
        <w:rPr>
          <w:rFonts w:ascii="Arial" w:eastAsia="Times New Roman" w:hAnsi="Arial" w:cs="Times New Roman"/>
          <w:b/>
          <w:bCs/>
        </w:rPr>
        <w:t>poskytování servisních,</w:t>
      </w:r>
      <w:r w:rsidR="005759F6">
        <w:rPr>
          <w:rFonts w:ascii="Arial" w:eastAsia="Times New Roman" w:hAnsi="Arial" w:cs="Times New Roman"/>
          <w:b/>
          <w:bCs/>
        </w:rPr>
        <w:t xml:space="preserve"> </w:t>
      </w:r>
      <w:r>
        <w:rPr>
          <w:rFonts w:ascii="Arial" w:eastAsia="Times New Roman" w:hAnsi="Arial" w:cs="Times New Roman"/>
          <w:b/>
          <w:bCs/>
        </w:rPr>
        <w:t>provozních dat a služeb</w:t>
      </w:r>
      <w:r>
        <w:rPr>
          <w:rFonts w:ascii="Arial" w:eastAsia="Times New Roman" w:hAnsi="Arial" w:cs="Times New Roman"/>
        </w:rPr>
        <w:t xml:space="preserve"> – je předáním servisních a provozních dat </w:t>
      </w:r>
      <w:r>
        <w:rPr>
          <w:rFonts w:ascii="Arial" w:eastAsia="Times New Roman" w:hAnsi="Arial" w:cs="Arial"/>
          <w:b/>
          <w:bCs/>
        </w:rPr>
        <w:t>klienta</w:t>
      </w:r>
      <w:r>
        <w:rPr>
          <w:rFonts w:ascii="Arial" w:eastAsia="Times New Roman" w:hAnsi="Arial" w:cs="Times New Roman"/>
        </w:rPr>
        <w:t xml:space="preserve"> za podmínek stanovených v této smlouvě a obecně závaznými právními předpisy nebo umožnění vstupu </w:t>
      </w:r>
      <w:r>
        <w:rPr>
          <w:rFonts w:ascii="Arial" w:eastAsia="Times New Roman" w:hAnsi="Arial" w:cs="Times New Roman"/>
          <w:b/>
          <w:bCs/>
        </w:rPr>
        <w:t xml:space="preserve">klienta </w:t>
      </w:r>
      <w:r>
        <w:rPr>
          <w:rFonts w:ascii="Arial" w:eastAsia="Times New Roman" w:hAnsi="Arial" w:cs="Times New Roman"/>
        </w:rPr>
        <w:t xml:space="preserve">do aplikace Olife Energy s možností nastavování, změny či zrušení jednotlivých funkcí dobíjecí stanice a sledování jejího provozu a poskytovaných funkcionalit formou služeb </w:t>
      </w:r>
      <w:proofErr w:type="spellStart"/>
      <w:r>
        <w:rPr>
          <w:rFonts w:ascii="Arial" w:eastAsia="Times New Roman" w:hAnsi="Arial" w:cs="Times New Roman"/>
        </w:rPr>
        <w:t>Olife</w:t>
      </w:r>
      <w:proofErr w:type="spellEnd"/>
      <w:r>
        <w:rPr>
          <w:rFonts w:ascii="Arial" w:eastAsia="Times New Roman" w:hAnsi="Arial" w:cs="Times New Roman"/>
        </w:rPr>
        <w:t xml:space="preserve"> </w:t>
      </w:r>
      <w:proofErr w:type="spellStart"/>
      <w:r>
        <w:rPr>
          <w:rFonts w:ascii="Arial" w:eastAsia="Times New Roman" w:hAnsi="Arial" w:cs="Times New Roman"/>
        </w:rPr>
        <w:t>Energy</w:t>
      </w:r>
      <w:proofErr w:type="spellEnd"/>
      <w:r>
        <w:rPr>
          <w:rFonts w:ascii="Arial" w:eastAsia="Times New Roman" w:hAnsi="Arial" w:cs="Times New Roman"/>
        </w:rPr>
        <w:t xml:space="preserve"> definovaných v </w:t>
      </w:r>
      <w:r w:rsidR="00E01A6F">
        <w:rPr>
          <w:rFonts w:ascii="Arial" w:eastAsia="Times New Roman" w:hAnsi="Arial" w:cs="Times New Roman"/>
        </w:rPr>
        <w:t xml:space="preserve">článku </w:t>
      </w:r>
      <w:r>
        <w:rPr>
          <w:rFonts w:ascii="Arial" w:eastAsia="Times New Roman" w:hAnsi="Arial" w:cs="Times New Roman"/>
        </w:rPr>
        <w:t>2. této smlouvy;</w:t>
      </w:r>
    </w:p>
    <w:p w14:paraId="2F373391" w14:textId="5C4470F5" w:rsidR="008F0751" w:rsidRDefault="00B44920">
      <w:pPr>
        <w:pStyle w:val="Standard"/>
        <w:numPr>
          <w:ilvl w:val="0"/>
          <w:numId w:val="10"/>
        </w:numPr>
        <w:spacing w:after="0" w:line="240" w:lineRule="auto"/>
        <w:ind w:left="1276" w:hanging="709"/>
        <w:jc w:val="both"/>
      </w:pPr>
      <w:r>
        <w:rPr>
          <w:rFonts w:ascii="Arial" w:eastAsia="Times New Roman" w:hAnsi="Arial" w:cs="Arial"/>
          <w:b/>
          <w:szCs w:val="20"/>
        </w:rPr>
        <w:t xml:space="preserve">práva duševního </w:t>
      </w:r>
      <w:r w:rsidR="00D3086B">
        <w:rPr>
          <w:rFonts w:ascii="Arial" w:eastAsia="Times New Roman" w:hAnsi="Arial" w:cs="Arial"/>
          <w:b/>
          <w:szCs w:val="20"/>
        </w:rPr>
        <w:t>vlastnictví</w:t>
      </w:r>
      <w:r w:rsidR="00D3086B">
        <w:rPr>
          <w:rFonts w:ascii="Arial" w:eastAsia="Times New Roman" w:hAnsi="Arial" w:cs="Arial"/>
          <w:szCs w:val="20"/>
        </w:rPr>
        <w:t xml:space="preserve"> – znamená</w:t>
      </w:r>
      <w:r>
        <w:rPr>
          <w:rFonts w:ascii="Arial" w:eastAsia="Times New Roman" w:hAnsi="Arial" w:cs="Arial"/>
          <w:szCs w:val="20"/>
        </w:rPr>
        <w:t xml:space="preserve"> ochranné známky (včetně ochranných známek, které vzniknou v budoucnosti), autorská práva (včetně autorských práv, které vzniknou v budoucnosti), práva k databázím, webovým aplikacím, patenty (včetně patentů, které vzniknou v budoucnosti), užitné vzory a ostatní průmyslová práva (včetně průmyslových práv, které vzniknou v budoucnosti);</w:t>
      </w:r>
    </w:p>
    <w:p w14:paraId="73C1FE37" w14:textId="78F1581C" w:rsidR="008F0751" w:rsidRDefault="00B44920">
      <w:pPr>
        <w:pStyle w:val="Standard"/>
        <w:numPr>
          <w:ilvl w:val="0"/>
          <w:numId w:val="10"/>
        </w:numPr>
        <w:spacing w:after="0" w:line="240" w:lineRule="auto"/>
        <w:ind w:left="1276" w:hanging="709"/>
        <w:jc w:val="both"/>
      </w:pPr>
      <w:r>
        <w:rPr>
          <w:rFonts w:ascii="Arial" w:eastAsia="Times New Roman" w:hAnsi="Arial" w:cs="Arial"/>
          <w:b/>
          <w:szCs w:val="20"/>
        </w:rPr>
        <w:t xml:space="preserve">servisní a provozní </w:t>
      </w:r>
      <w:r w:rsidR="00D3086B">
        <w:rPr>
          <w:rFonts w:ascii="Arial" w:eastAsia="Times New Roman" w:hAnsi="Arial" w:cs="Arial"/>
          <w:b/>
          <w:szCs w:val="20"/>
        </w:rPr>
        <w:t xml:space="preserve">data </w:t>
      </w:r>
      <w:r w:rsidR="00D3086B">
        <w:rPr>
          <w:rFonts w:ascii="Arial" w:eastAsia="Times New Roman" w:hAnsi="Arial" w:cs="Arial"/>
          <w:szCs w:val="20"/>
        </w:rPr>
        <w:t>– jsou</w:t>
      </w:r>
      <w:r>
        <w:rPr>
          <w:rFonts w:ascii="Arial" w:eastAsia="Times New Roman" w:hAnsi="Arial" w:cs="Arial"/>
          <w:szCs w:val="20"/>
        </w:rPr>
        <w:t xml:space="preserve"> souborem aktuálních dat získaných z jednotky umístěné v dobíjecí stanici a slouží primárně k monitoringu provozu dobíjecí stanice. Tato data jsou podskupinou dat načítaných a odesílaných jednotkou;</w:t>
      </w:r>
    </w:p>
    <w:p w14:paraId="74427B30" w14:textId="77777777" w:rsidR="008F0751" w:rsidRDefault="00B44920">
      <w:pPr>
        <w:pStyle w:val="Standard"/>
        <w:numPr>
          <w:ilvl w:val="0"/>
          <w:numId w:val="10"/>
        </w:numPr>
        <w:spacing w:after="0" w:line="240" w:lineRule="auto"/>
        <w:ind w:left="1276" w:hanging="709"/>
        <w:jc w:val="both"/>
      </w:pPr>
      <w:r>
        <w:rPr>
          <w:rFonts w:ascii="Arial" w:eastAsia="Times New Roman" w:hAnsi="Arial" w:cs="Arial"/>
          <w:b/>
          <w:szCs w:val="20"/>
        </w:rPr>
        <w:t xml:space="preserve">Služba servisního technika </w:t>
      </w:r>
      <w:r>
        <w:rPr>
          <w:rFonts w:ascii="Arial" w:eastAsia="Times New Roman" w:hAnsi="Arial" w:cs="Times New Roman"/>
          <w:szCs w:val="20"/>
        </w:rPr>
        <w:t xml:space="preserve">– je činnost fyzické osoby vykonávající práce pro Olife Energy, která zahrnuje veškeré servisní či jiné činnosti související s bezproblémovým provozem dobíjecí stanice. Nástup servisního technika je 5 pracovních dní od vznesení požadavku </w:t>
      </w:r>
      <w:r>
        <w:rPr>
          <w:rFonts w:ascii="Arial" w:eastAsia="Times New Roman" w:hAnsi="Arial" w:cs="Arial"/>
          <w:b/>
          <w:szCs w:val="20"/>
        </w:rPr>
        <w:t>klienta</w:t>
      </w:r>
      <w:r>
        <w:rPr>
          <w:rFonts w:ascii="Arial" w:eastAsia="Times New Roman" w:hAnsi="Arial" w:cs="Times New Roman"/>
          <w:szCs w:val="20"/>
        </w:rPr>
        <w:t>;</w:t>
      </w:r>
    </w:p>
    <w:p w14:paraId="357CE057" w14:textId="77777777" w:rsidR="008F0751" w:rsidRDefault="00B44920">
      <w:pPr>
        <w:pStyle w:val="Standard"/>
        <w:numPr>
          <w:ilvl w:val="0"/>
          <w:numId w:val="10"/>
        </w:numPr>
        <w:spacing w:after="0" w:line="240" w:lineRule="auto"/>
        <w:ind w:left="1276" w:hanging="709"/>
        <w:jc w:val="both"/>
      </w:pPr>
      <w:r>
        <w:rPr>
          <w:rFonts w:ascii="Arial" w:eastAsia="Times New Roman" w:hAnsi="Arial" w:cs="Arial"/>
          <w:b/>
          <w:szCs w:val="20"/>
        </w:rPr>
        <w:t xml:space="preserve">Platební brána </w:t>
      </w:r>
      <w:r>
        <w:rPr>
          <w:rFonts w:ascii="Arial" w:eastAsia="Times New Roman" w:hAnsi="Arial" w:cs="Times New Roman"/>
          <w:szCs w:val="20"/>
        </w:rPr>
        <w:t>– je programový modul, který je součástí aplikace Olife Energy a umožňuje zákazníkům provádět platbu za nabíjení na dobíjecí stanici v aplikaci.</w:t>
      </w:r>
    </w:p>
    <w:p w14:paraId="12B745D8" w14:textId="77777777" w:rsidR="008F0751" w:rsidRDefault="008F0751">
      <w:pPr>
        <w:pStyle w:val="Standard"/>
        <w:tabs>
          <w:tab w:val="left" w:pos="0"/>
        </w:tabs>
        <w:spacing w:after="0" w:line="240" w:lineRule="auto"/>
        <w:outlineLvl w:val="4"/>
        <w:rPr>
          <w:rFonts w:ascii="Arial" w:eastAsia="Times New Roman" w:hAnsi="Arial" w:cs="Arial"/>
          <w:szCs w:val="20"/>
        </w:rPr>
      </w:pPr>
    </w:p>
    <w:p w14:paraId="5C236E0E" w14:textId="77777777" w:rsidR="009D3A70" w:rsidRDefault="009D3A70">
      <w:pPr>
        <w:pStyle w:val="Standard"/>
        <w:tabs>
          <w:tab w:val="left" w:pos="0"/>
        </w:tabs>
        <w:spacing w:after="0" w:line="240" w:lineRule="auto"/>
        <w:outlineLvl w:val="4"/>
        <w:rPr>
          <w:rFonts w:ascii="Arial" w:eastAsia="Times New Roman" w:hAnsi="Arial" w:cs="Arial"/>
          <w:szCs w:val="20"/>
        </w:rPr>
      </w:pPr>
    </w:p>
    <w:p w14:paraId="1BFF39F3" w14:textId="77777777"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2.</w:t>
      </w:r>
    </w:p>
    <w:p w14:paraId="295EE7E2" w14:textId="77777777"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Rozsah poskytovaných servisních, provozních dat a služeb</w:t>
      </w:r>
    </w:p>
    <w:p w14:paraId="38F2A351" w14:textId="0089BC2C" w:rsidR="008F0751" w:rsidRDefault="00B44920">
      <w:pPr>
        <w:pStyle w:val="Standard"/>
        <w:numPr>
          <w:ilvl w:val="0"/>
          <w:numId w:val="20"/>
        </w:numPr>
        <w:spacing w:after="0" w:line="240" w:lineRule="auto"/>
        <w:ind w:left="567" w:hanging="567"/>
        <w:contextualSpacing/>
        <w:jc w:val="both"/>
      </w:pP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xml:space="preserve"> </w:t>
      </w:r>
      <w:r w:rsidR="00116F4E">
        <w:rPr>
          <w:rFonts w:ascii="Arial" w:eastAsia="Times New Roman" w:hAnsi="Arial" w:cs="Arial"/>
          <w:szCs w:val="20"/>
        </w:rPr>
        <w:t xml:space="preserve">poskytuje </w:t>
      </w:r>
      <w:r>
        <w:rPr>
          <w:rFonts w:ascii="Arial" w:eastAsia="Times New Roman" w:hAnsi="Arial" w:cs="Arial"/>
          <w:b/>
          <w:szCs w:val="20"/>
        </w:rPr>
        <w:t>klientovi</w:t>
      </w:r>
      <w:r>
        <w:rPr>
          <w:rFonts w:ascii="Arial" w:eastAsia="Times New Roman" w:hAnsi="Arial" w:cs="Arial"/>
          <w:szCs w:val="20"/>
        </w:rPr>
        <w:t xml:space="preserve"> následující rozsah servisních</w:t>
      </w:r>
      <w:r w:rsidR="00116F4E">
        <w:rPr>
          <w:rFonts w:ascii="Arial" w:eastAsia="Times New Roman" w:hAnsi="Arial" w:cs="Arial"/>
          <w:szCs w:val="20"/>
        </w:rPr>
        <w:t xml:space="preserve"> a </w:t>
      </w:r>
      <w:r>
        <w:rPr>
          <w:rFonts w:ascii="Arial" w:eastAsia="Times New Roman" w:hAnsi="Arial" w:cs="Arial"/>
          <w:szCs w:val="20"/>
        </w:rPr>
        <w:t>provozních dat a služeb:</w:t>
      </w:r>
    </w:p>
    <w:p w14:paraId="4F702893" w14:textId="77777777" w:rsidR="008F0751" w:rsidRDefault="00B44920">
      <w:pPr>
        <w:pStyle w:val="Standard"/>
        <w:numPr>
          <w:ilvl w:val="0"/>
          <w:numId w:val="21"/>
        </w:numPr>
        <w:spacing w:after="0" w:line="240" w:lineRule="auto"/>
        <w:contextualSpacing/>
        <w:jc w:val="both"/>
      </w:pPr>
      <w:r>
        <w:rPr>
          <w:rFonts w:ascii="Arial" w:eastAsia="Times New Roman" w:hAnsi="Arial" w:cs="Arial"/>
          <w:szCs w:val="20"/>
          <w:u w:val="single"/>
        </w:rPr>
        <w:t>Vzdálený monitoring</w:t>
      </w:r>
      <w:r>
        <w:rPr>
          <w:rFonts w:ascii="Arial" w:eastAsia="Times New Roman" w:hAnsi="Arial" w:cs="Arial"/>
          <w:szCs w:val="20"/>
        </w:rPr>
        <w:t xml:space="preserve"> – je základní službou, která umožňuje vzdálenou komunikaci s dobíjecí stanicí. Olife Energy Net má přehled o stavu dobíjecí stanice, aktuální a celkové vydané energii s možností zdarma zveřejnit dobíjecí stanici v mobilní a webové aplikaci Olife Energy pro dobíjení.</w:t>
      </w:r>
    </w:p>
    <w:p w14:paraId="1CD17A8D" w14:textId="77777777" w:rsidR="008F0751" w:rsidRDefault="00B44920">
      <w:pPr>
        <w:pStyle w:val="Standard"/>
        <w:numPr>
          <w:ilvl w:val="0"/>
          <w:numId w:val="12"/>
        </w:numPr>
        <w:spacing w:after="0" w:line="240" w:lineRule="auto"/>
        <w:contextualSpacing/>
        <w:jc w:val="both"/>
      </w:pPr>
      <w:r>
        <w:rPr>
          <w:rFonts w:ascii="Arial" w:eastAsia="Times New Roman" w:hAnsi="Arial" w:cs="Arial"/>
          <w:szCs w:val="20"/>
          <w:u w:val="single"/>
        </w:rPr>
        <w:t>Správa přístupu</w:t>
      </w:r>
      <w:r>
        <w:rPr>
          <w:rFonts w:ascii="Arial" w:eastAsia="Times New Roman" w:hAnsi="Arial" w:cs="Arial"/>
          <w:szCs w:val="20"/>
        </w:rPr>
        <w:t xml:space="preserve"> – je službou určenou pro správu přístupu uživatelů k dobíjecí stanici pomocí </w:t>
      </w:r>
      <w:proofErr w:type="spellStart"/>
      <w:r>
        <w:rPr>
          <w:rFonts w:ascii="Arial" w:eastAsia="Times New Roman" w:hAnsi="Arial" w:cs="Arial"/>
          <w:szCs w:val="20"/>
        </w:rPr>
        <w:t>RfID</w:t>
      </w:r>
      <w:proofErr w:type="spellEnd"/>
      <w:r>
        <w:rPr>
          <w:rFonts w:ascii="Arial" w:eastAsia="Times New Roman" w:hAnsi="Arial" w:cs="Arial"/>
          <w:szCs w:val="20"/>
        </w:rPr>
        <w:t xml:space="preserve"> čipů nebo mobilní aplikace. Součástí je výpis jednotlivých dobíjení (uživatel, čas a množství dobité energie).</w:t>
      </w:r>
    </w:p>
    <w:p w14:paraId="7A85828D" w14:textId="4B7ED37F" w:rsidR="008F0751" w:rsidRDefault="00B44920">
      <w:pPr>
        <w:pStyle w:val="Standard"/>
        <w:numPr>
          <w:ilvl w:val="0"/>
          <w:numId w:val="11"/>
        </w:numPr>
        <w:spacing w:after="0" w:line="240" w:lineRule="auto"/>
        <w:ind w:left="567" w:hanging="567"/>
        <w:contextualSpacing/>
        <w:jc w:val="both"/>
      </w:pPr>
      <w:r>
        <w:rPr>
          <w:rFonts w:ascii="Arial" w:eastAsia="Times New Roman" w:hAnsi="Arial" w:cs="Arial"/>
          <w:szCs w:val="20"/>
        </w:rPr>
        <w:t>Smluvní strany si sjednávají poskytování servisních a provozních dat v rozsahu dle článku 2</w:t>
      </w:r>
      <w:r w:rsidRPr="008E5F44">
        <w:rPr>
          <w:rFonts w:ascii="Arial" w:eastAsia="Times New Roman" w:hAnsi="Arial" w:cs="Arial"/>
          <w:szCs w:val="20"/>
        </w:rPr>
        <w:t>.</w:t>
      </w:r>
      <w:r w:rsidR="00876263" w:rsidRPr="008E5F44">
        <w:rPr>
          <w:rFonts w:ascii="Arial" w:eastAsia="Times New Roman" w:hAnsi="Arial" w:cs="Arial"/>
          <w:szCs w:val="20"/>
        </w:rPr>
        <w:t xml:space="preserve"> odst</w:t>
      </w:r>
      <w:r w:rsidR="002C7A5E" w:rsidRPr="008E5F44">
        <w:rPr>
          <w:rFonts w:ascii="Arial" w:eastAsia="Times New Roman" w:hAnsi="Arial" w:cs="Arial"/>
          <w:szCs w:val="20"/>
        </w:rPr>
        <w:t>avce</w:t>
      </w:r>
      <w:r w:rsidR="00876263" w:rsidRPr="008E5F44">
        <w:rPr>
          <w:rFonts w:ascii="Arial" w:eastAsia="Times New Roman" w:hAnsi="Arial" w:cs="Arial"/>
          <w:szCs w:val="20"/>
        </w:rPr>
        <w:t xml:space="preserve"> </w:t>
      </w:r>
      <w:r w:rsidRPr="008E5F44">
        <w:rPr>
          <w:rFonts w:ascii="Arial" w:eastAsia="Times New Roman" w:hAnsi="Arial" w:cs="Arial"/>
          <w:szCs w:val="20"/>
        </w:rPr>
        <w:t>1 písm.</w:t>
      </w:r>
      <w:r w:rsidR="008E5F44">
        <w:rPr>
          <w:rFonts w:ascii="Arial" w:eastAsia="Times New Roman" w:hAnsi="Arial" w:cs="Arial"/>
          <w:szCs w:val="20"/>
        </w:rPr>
        <w:t xml:space="preserve"> a) a b) této smlouvy.</w:t>
      </w:r>
    </w:p>
    <w:p w14:paraId="46B8130E" w14:textId="45B546F7" w:rsidR="008F0751" w:rsidRPr="009D3A70" w:rsidRDefault="00B44920" w:rsidP="003E5CB5">
      <w:pPr>
        <w:pStyle w:val="Standard"/>
        <w:numPr>
          <w:ilvl w:val="0"/>
          <w:numId w:val="11"/>
        </w:numPr>
        <w:spacing w:after="0" w:line="240" w:lineRule="auto"/>
        <w:ind w:left="567" w:hanging="567"/>
        <w:contextualSpacing/>
        <w:jc w:val="both"/>
        <w:rPr>
          <w:rFonts w:ascii="Arial" w:eastAsia="Times New Roman" w:hAnsi="Arial" w:cs="Arial"/>
          <w:szCs w:val="20"/>
        </w:rPr>
      </w:pPr>
      <w:r>
        <w:rPr>
          <w:rFonts w:ascii="Arial" w:eastAsia="Times New Roman" w:hAnsi="Arial" w:cs="Arial"/>
          <w:b/>
          <w:szCs w:val="20"/>
        </w:rPr>
        <w:t>Klient</w:t>
      </w:r>
      <w:r>
        <w:rPr>
          <w:rFonts w:ascii="Arial" w:eastAsia="Times New Roman" w:hAnsi="Arial" w:cs="Arial"/>
          <w:szCs w:val="20"/>
        </w:rPr>
        <w:t xml:space="preserve"> je oprávněn kdykoli v průběhu trvání této smlouvy požádat Olife Energy o rozšíření či zúžení rozsahu poskytovaných servisních a provozních dat, a to za podmínek dle aktuálního ceníku </w:t>
      </w:r>
      <w:proofErr w:type="spellStart"/>
      <w:r>
        <w:rPr>
          <w:rFonts w:ascii="Arial" w:eastAsia="Times New Roman" w:hAnsi="Arial" w:cs="Arial"/>
          <w:szCs w:val="20"/>
        </w:rPr>
        <w:t>Olife</w:t>
      </w:r>
      <w:proofErr w:type="spellEnd"/>
      <w:r>
        <w:rPr>
          <w:rFonts w:ascii="Arial" w:eastAsia="Times New Roman" w:hAnsi="Arial" w:cs="Arial"/>
          <w:szCs w:val="20"/>
        </w:rPr>
        <w:t xml:space="preserve"> </w:t>
      </w:r>
      <w:proofErr w:type="spellStart"/>
      <w:r>
        <w:rPr>
          <w:rFonts w:ascii="Arial" w:eastAsia="Times New Roman" w:hAnsi="Arial" w:cs="Arial"/>
          <w:szCs w:val="20"/>
        </w:rPr>
        <w:t>Energy</w:t>
      </w:r>
      <w:proofErr w:type="spellEnd"/>
      <w:r>
        <w:rPr>
          <w:rFonts w:ascii="Arial" w:eastAsia="Times New Roman" w:hAnsi="Arial" w:cs="Arial"/>
          <w:szCs w:val="20"/>
        </w:rPr>
        <w:t>, nebude-li sjednáno jinak.</w:t>
      </w:r>
    </w:p>
    <w:p w14:paraId="45F8A67C" w14:textId="77777777" w:rsidR="009D3A70" w:rsidRDefault="009D3A70">
      <w:pPr>
        <w:suppressAutoHyphens w:val="0"/>
        <w:rPr>
          <w:rFonts w:ascii="Arial" w:eastAsia="Times New Roman" w:hAnsi="Arial" w:cs="Arial"/>
          <w:b/>
          <w:szCs w:val="20"/>
        </w:rPr>
      </w:pPr>
    </w:p>
    <w:p w14:paraId="401DE1D4" w14:textId="77777777" w:rsidR="009D3A70" w:rsidRDefault="009D3A70">
      <w:pPr>
        <w:suppressAutoHyphens w:val="0"/>
        <w:rPr>
          <w:rFonts w:ascii="Arial" w:eastAsia="Times New Roman" w:hAnsi="Arial" w:cs="Arial"/>
          <w:b/>
          <w:szCs w:val="20"/>
        </w:rPr>
      </w:pPr>
    </w:p>
    <w:p w14:paraId="1EBFDAAD" w14:textId="08132D2E"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3.</w:t>
      </w:r>
    </w:p>
    <w:p w14:paraId="4134E97A" w14:textId="77777777"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Základní práva a povinnosti, cena, platební podmínky</w:t>
      </w:r>
    </w:p>
    <w:p w14:paraId="25EDC3DD" w14:textId="77777777" w:rsidR="008F0751" w:rsidRDefault="00B44920">
      <w:pPr>
        <w:pStyle w:val="Standard"/>
        <w:numPr>
          <w:ilvl w:val="0"/>
          <w:numId w:val="22"/>
        </w:numPr>
        <w:spacing w:after="0" w:line="240" w:lineRule="auto"/>
        <w:jc w:val="both"/>
        <w:rPr>
          <w:rFonts w:ascii="Arial" w:eastAsia="Times New Roman" w:hAnsi="Arial" w:cs="Arial"/>
          <w:szCs w:val="20"/>
        </w:rPr>
      </w:pPr>
      <w:r>
        <w:rPr>
          <w:rFonts w:ascii="Arial" w:eastAsia="Times New Roman" w:hAnsi="Arial" w:cs="Arial"/>
          <w:szCs w:val="20"/>
        </w:rPr>
        <w:t>Obě smluvní strany se zavazují plnit své závazky dle této smlouvy řádně a včas.</w:t>
      </w:r>
    </w:p>
    <w:p w14:paraId="2D7FC742" w14:textId="77777777" w:rsidR="008F0751" w:rsidRDefault="00B44920">
      <w:pPr>
        <w:pStyle w:val="Standard"/>
        <w:numPr>
          <w:ilvl w:val="0"/>
          <w:numId w:val="13"/>
        </w:numPr>
        <w:spacing w:after="0" w:line="240" w:lineRule="auto"/>
        <w:jc w:val="both"/>
        <w:rPr>
          <w:rFonts w:ascii="Arial" w:eastAsia="Times New Roman" w:hAnsi="Arial" w:cs="Arial"/>
          <w:szCs w:val="20"/>
        </w:rPr>
      </w:pPr>
      <w:r>
        <w:rPr>
          <w:rFonts w:ascii="Arial" w:eastAsia="Times New Roman" w:hAnsi="Arial" w:cs="Arial"/>
          <w:szCs w:val="20"/>
        </w:rPr>
        <w:t>Při poskytování servisních a provozních dat se smluvní strany zavazují dbát na dodržování obecně závazných právních předpisů České republiky, zájmů druhé smluvní strany a současně vždy postupovat podle svých odborných znalostí a schopností a s náležitou odbornou péčí.</w:t>
      </w:r>
    </w:p>
    <w:p w14:paraId="3B46E351" w14:textId="2EB2E8D1" w:rsidR="00FA0BBC" w:rsidRPr="00FA0BBC" w:rsidRDefault="007565F5" w:rsidP="00FA0BBC">
      <w:pPr>
        <w:pStyle w:val="Standard"/>
        <w:numPr>
          <w:ilvl w:val="0"/>
          <w:numId w:val="13"/>
        </w:numPr>
        <w:spacing w:after="0" w:line="240" w:lineRule="auto"/>
        <w:jc w:val="both"/>
        <w:rPr>
          <w:rFonts w:ascii="Arial" w:eastAsia="Times New Roman" w:hAnsi="Arial" w:cs="Arial"/>
          <w:szCs w:val="20"/>
        </w:rPr>
      </w:pPr>
      <w:r>
        <w:rPr>
          <w:rFonts w:ascii="Arial" w:eastAsia="Times New Roman" w:hAnsi="Arial" w:cs="Arial"/>
          <w:szCs w:val="20"/>
        </w:rPr>
        <w:t xml:space="preserve">Při poskytování servisních či jiných činností podle této smlouvy v prostorách </w:t>
      </w:r>
      <w:r w:rsidRPr="003E5CB5">
        <w:rPr>
          <w:rFonts w:ascii="Arial" w:eastAsia="Times New Roman" w:hAnsi="Arial" w:cs="Arial"/>
          <w:b/>
          <w:bCs/>
          <w:szCs w:val="20"/>
        </w:rPr>
        <w:t>klienta</w:t>
      </w:r>
      <w:r>
        <w:rPr>
          <w:rFonts w:ascii="Arial" w:eastAsia="Times New Roman" w:hAnsi="Arial" w:cs="Arial"/>
          <w:szCs w:val="20"/>
        </w:rPr>
        <w:br/>
        <w:t xml:space="preserve">se Olife Energy zavazuje dodržovat příslušné vnitřní předpisy </w:t>
      </w:r>
      <w:r w:rsidRPr="003E5CB5">
        <w:rPr>
          <w:rFonts w:ascii="Arial" w:eastAsia="Times New Roman" w:hAnsi="Arial" w:cs="Arial"/>
          <w:b/>
          <w:bCs/>
          <w:szCs w:val="20"/>
        </w:rPr>
        <w:t>klienta</w:t>
      </w:r>
      <w:r>
        <w:rPr>
          <w:rFonts w:ascii="Arial" w:eastAsia="Times New Roman" w:hAnsi="Arial" w:cs="Arial"/>
          <w:szCs w:val="20"/>
        </w:rPr>
        <w:t>, jenž jsou vyjmenovány v </w:t>
      </w:r>
      <w:r w:rsidRPr="003E5CB5">
        <w:rPr>
          <w:rFonts w:ascii="Arial" w:eastAsia="Times New Roman" w:hAnsi="Arial" w:cs="Arial"/>
          <w:b/>
          <w:bCs/>
          <w:szCs w:val="20"/>
        </w:rPr>
        <w:t>Protokolu o seznámení s interními předpisy</w:t>
      </w:r>
      <w:r>
        <w:rPr>
          <w:rFonts w:ascii="Arial" w:eastAsia="Times New Roman" w:hAnsi="Arial" w:cs="Arial"/>
          <w:szCs w:val="20"/>
        </w:rPr>
        <w:t>, který tvoří Přílohu č.</w:t>
      </w:r>
      <w:r w:rsidR="007C0A26">
        <w:rPr>
          <w:rFonts w:ascii="Arial" w:eastAsia="Times New Roman" w:hAnsi="Arial" w:cs="Arial"/>
          <w:szCs w:val="20"/>
        </w:rPr>
        <w:t xml:space="preserve"> 2</w:t>
      </w:r>
      <w:r w:rsidR="00FA0BBC">
        <w:rPr>
          <w:rFonts w:ascii="Arial" w:eastAsia="Times New Roman" w:hAnsi="Arial" w:cs="Arial"/>
          <w:szCs w:val="20"/>
        </w:rPr>
        <w:t xml:space="preserve"> této smlouvy. </w:t>
      </w:r>
      <w:r w:rsidR="00FA0BBC" w:rsidRPr="00FA0BBC">
        <w:rPr>
          <w:rFonts w:ascii="Arial" w:eastAsia="Times New Roman" w:hAnsi="Arial" w:cs="Arial"/>
          <w:szCs w:val="20"/>
        </w:rPr>
        <w:t xml:space="preserve">Před zahájením plnění je </w:t>
      </w:r>
      <w:r w:rsidR="00FA0BBC" w:rsidRPr="003E5CB5">
        <w:rPr>
          <w:rFonts w:ascii="Arial" w:eastAsia="Times New Roman" w:hAnsi="Arial" w:cs="Arial"/>
          <w:b/>
          <w:bCs/>
          <w:szCs w:val="20"/>
        </w:rPr>
        <w:t>klient</w:t>
      </w:r>
      <w:r w:rsidR="00FA0BBC" w:rsidRPr="00FA0BBC">
        <w:rPr>
          <w:rFonts w:ascii="Arial" w:eastAsia="Times New Roman" w:hAnsi="Arial" w:cs="Arial"/>
          <w:szCs w:val="20"/>
        </w:rPr>
        <w:t xml:space="preserve"> povinen tam uvedené předpisy zpřístupnit </w:t>
      </w:r>
      <w:r w:rsidR="00FA0BBC">
        <w:rPr>
          <w:rFonts w:ascii="Arial" w:eastAsia="Times New Roman" w:hAnsi="Arial" w:cs="Arial"/>
          <w:szCs w:val="20"/>
        </w:rPr>
        <w:t xml:space="preserve">Olife Energy </w:t>
      </w:r>
      <w:r w:rsidR="00FA0BBC" w:rsidRPr="00FA0BBC">
        <w:rPr>
          <w:rFonts w:ascii="Arial" w:eastAsia="Times New Roman" w:hAnsi="Arial" w:cs="Arial"/>
          <w:szCs w:val="20"/>
        </w:rPr>
        <w:t>a t</w:t>
      </w:r>
      <w:r w:rsidR="00FA0BBC">
        <w:rPr>
          <w:rFonts w:ascii="Arial" w:eastAsia="Times New Roman" w:hAnsi="Arial" w:cs="Arial"/>
          <w:szCs w:val="20"/>
        </w:rPr>
        <w:t>a</w:t>
      </w:r>
      <w:r w:rsidR="00FA0BBC" w:rsidRPr="00FA0BBC">
        <w:rPr>
          <w:rFonts w:ascii="Arial" w:eastAsia="Times New Roman" w:hAnsi="Arial" w:cs="Arial"/>
          <w:szCs w:val="20"/>
        </w:rPr>
        <w:t xml:space="preserve"> je pak povi</w:t>
      </w:r>
      <w:r w:rsidR="00FA0BBC">
        <w:rPr>
          <w:rFonts w:ascii="Arial" w:eastAsia="Times New Roman" w:hAnsi="Arial" w:cs="Arial"/>
          <w:szCs w:val="20"/>
        </w:rPr>
        <w:t>nna</w:t>
      </w:r>
      <w:r w:rsidR="00FA0BBC" w:rsidRPr="00FA0BBC">
        <w:rPr>
          <w:rFonts w:ascii="Arial" w:eastAsia="Times New Roman" w:hAnsi="Arial" w:cs="Arial"/>
          <w:szCs w:val="20"/>
        </w:rPr>
        <w:t xml:space="preserve"> s těmito předpisy seznámit</w:t>
      </w:r>
      <w:r w:rsidR="00FA0BBC">
        <w:rPr>
          <w:rFonts w:ascii="Arial" w:eastAsia="Times New Roman" w:hAnsi="Arial" w:cs="Arial"/>
          <w:szCs w:val="20"/>
        </w:rPr>
        <w:t xml:space="preserve"> osoby určené k provádění činností v prostorách klienta </w:t>
      </w:r>
      <w:r w:rsidR="00FA0BBC" w:rsidRPr="00FA0BBC">
        <w:rPr>
          <w:rFonts w:ascii="Arial" w:eastAsia="Times New Roman" w:hAnsi="Arial" w:cs="Arial"/>
          <w:szCs w:val="20"/>
        </w:rPr>
        <w:t xml:space="preserve">a zavázat je k jejich dodržování, což smluvní strany ve zmíněném protokolu stvrdí při podpisu smlouvy. K závazným vnitřním předpisům také patří </w:t>
      </w:r>
      <w:r w:rsidR="00FA0BBC" w:rsidRPr="003E5CB5">
        <w:rPr>
          <w:rFonts w:ascii="Arial" w:eastAsia="Times New Roman" w:hAnsi="Arial" w:cs="Arial"/>
          <w:b/>
          <w:bCs/>
          <w:szCs w:val="20"/>
        </w:rPr>
        <w:t>Manuál pro dodavatele</w:t>
      </w:r>
      <w:r w:rsidR="00FA0BBC" w:rsidRPr="00FA0BBC">
        <w:rPr>
          <w:rFonts w:ascii="Arial" w:eastAsia="Times New Roman" w:hAnsi="Arial" w:cs="Arial"/>
          <w:szCs w:val="20"/>
        </w:rPr>
        <w:t>, upravující povinnosti vztahující se</w:t>
      </w:r>
      <w:r w:rsidR="0074390F">
        <w:rPr>
          <w:rFonts w:ascii="Arial" w:eastAsia="Times New Roman" w:hAnsi="Arial" w:cs="Arial"/>
          <w:szCs w:val="20"/>
        </w:rPr>
        <w:br/>
      </w:r>
      <w:r w:rsidR="00FA0BBC" w:rsidRPr="00FA0BBC">
        <w:rPr>
          <w:rFonts w:ascii="Arial" w:eastAsia="Times New Roman" w:hAnsi="Arial" w:cs="Arial"/>
          <w:szCs w:val="20"/>
        </w:rPr>
        <w:lastRenderedPageBreak/>
        <w:t xml:space="preserve">k bezpečnosti a ochraně zdraví při práci a k ochraně životního prostředí, který tvoří samostatnou </w:t>
      </w:r>
      <w:r w:rsidR="00FA0BBC">
        <w:rPr>
          <w:rFonts w:ascii="Arial" w:eastAsia="Times New Roman" w:hAnsi="Arial" w:cs="Arial"/>
          <w:szCs w:val="20"/>
        </w:rPr>
        <w:t>P</w:t>
      </w:r>
      <w:r w:rsidR="00FA0BBC" w:rsidRPr="00FA0BBC">
        <w:rPr>
          <w:rFonts w:ascii="Arial" w:eastAsia="Times New Roman" w:hAnsi="Arial" w:cs="Arial"/>
          <w:szCs w:val="20"/>
        </w:rPr>
        <w:t>řílohu č.</w:t>
      </w:r>
      <w:r w:rsidR="007C0A26">
        <w:rPr>
          <w:rFonts w:ascii="Arial" w:eastAsia="Times New Roman" w:hAnsi="Arial" w:cs="Arial"/>
          <w:szCs w:val="20"/>
        </w:rPr>
        <w:t xml:space="preserve"> 3</w:t>
      </w:r>
      <w:r w:rsidR="00FA0BBC" w:rsidRPr="00FA0BBC">
        <w:rPr>
          <w:rFonts w:ascii="Arial" w:eastAsia="Times New Roman" w:hAnsi="Arial" w:cs="Arial"/>
          <w:szCs w:val="20"/>
        </w:rPr>
        <w:t xml:space="preserve"> této smlouvy</w:t>
      </w:r>
      <w:r w:rsidR="00FA0BBC">
        <w:rPr>
          <w:rFonts w:ascii="Arial" w:eastAsia="Times New Roman" w:hAnsi="Arial" w:cs="Arial"/>
          <w:szCs w:val="20"/>
        </w:rPr>
        <w:t>.</w:t>
      </w:r>
    </w:p>
    <w:p w14:paraId="1A0BFDE1" w14:textId="77777777" w:rsidR="008F0751" w:rsidRDefault="00B44920">
      <w:pPr>
        <w:pStyle w:val="Standard"/>
        <w:numPr>
          <w:ilvl w:val="0"/>
          <w:numId w:val="13"/>
        </w:numPr>
        <w:spacing w:after="0" w:line="240" w:lineRule="auto"/>
        <w:jc w:val="both"/>
        <w:rPr>
          <w:rFonts w:ascii="Arial" w:eastAsia="Times New Roman" w:hAnsi="Arial" w:cs="Arial"/>
          <w:szCs w:val="20"/>
        </w:rPr>
      </w:pPr>
      <w:r>
        <w:rPr>
          <w:rFonts w:ascii="Arial" w:eastAsia="Times New Roman" w:hAnsi="Arial" w:cs="Arial"/>
          <w:szCs w:val="20"/>
        </w:rPr>
        <w:t>Smluvní strany jsou povinny bez zbytečného odkladu oznamovat druhé smluvní straně písemně e-mailem všechny okolnosti, které zjistily při poskytování servisních a provozních dat a které mohou mít vliv na zájmy druhé smluvní strany či vyvolat změnu pokynů a postupů stanovených příslušnou smluvní stranou při poskytování servisních a provozních dat.</w:t>
      </w:r>
    </w:p>
    <w:p w14:paraId="59175E7A" w14:textId="77777777" w:rsidR="008F0751" w:rsidRDefault="00B44920">
      <w:pPr>
        <w:pStyle w:val="Standard"/>
        <w:numPr>
          <w:ilvl w:val="0"/>
          <w:numId w:val="13"/>
        </w:numPr>
        <w:spacing w:after="0" w:line="240" w:lineRule="auto"/>
        <w:jc w:val="both"/>
        <w:rPr>
          <w:rFonts w:ascii="Arial" w:eastAsia="Times New Roman" w:hAnsi="Arial" w:cs="Arial"/>
          <w:szCs w:val="20"/>
        </w:rPr>
      </w:pPr>
      <w:r>
        <w:rPr>
          <w:rFonts w:ascii="Arial" w:eastAsia="Times New Roman" w:hAnsi="Arial" w:cs="Arial"/>
          <w:szCs w:val="20"/>
        </w:rPr>
        <w:t>Cena za poskytování servisních a provozních dat dle této smlouvy ze strany Olife Energy dle této smlouvy je stanovena dohodou ve formě měsíční paušální částky ve výši:</w:t>
      </w:r>
    </w:p>
    <w:p w14:paraId="709061EF" w14:textId="77777777" w:rsidR="008F0751" w:rsidRDefault="008F0751">
      <w:pPr>
        <w:pStyle w:val="Standard"/>
        <w:spacing w:after="0" w:line="240" w:lineRule="auto"/>
        <w:ind w:left="567"/>
        <w:jc w:val="both"/>
        <w:outlineLvl w:val="4"/>
        <w:rPr>
          <w:rFonts w:ascii="Arial" w:eastAsia="Times New Roman" w:hAnsi="Arial" w:cs="Arial"/>
          <w:b/>
          <w:szCs w:val="20"/>
        </w:rPr>
      </w:pPr>
    </w:p>
    <w:tbl>
      <w:tblPr>
        <w:tblW w:w="8495" w:type="dxa"/>
        <w:tblInd w:w="567" w:type="dxa"/>
        <w:tblLayout w:type="fixed"/>
        <w:tblCellMar>
          <w:left w:w="10" w:type="dxa"/>
          <w:right w:w="10" w:type="dxa"/>
        </w:tblCellMar>
        <w:tblLook w:val="0000" w:firstRow="0" w:lastRow="0" w:firstColumn="0" w:lastColumn="0" w:noHBand="0" w:noVBand="0"/>
      </w:tblPr>
      <w:tblGrid>
        <w:gridCol w:w="3397"/>
        <w:gridCol w:w="5098"/>
      </w:tblGrid>
      <w:tr w:rsidR="008F0751" w14:paraId="15BB31F9"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F213" w14:textId="77777777" w:rsidR="008F0751" w:rsidRDefault="00B44920">
            <w:pPr>
              <w:pStyle w:val="Standard"/>
              <w:spacing w:after="0" w:line="240" w:lineRule="auto"/>
              <w:jc w:val="both"/>
              <w:outlineLvl w:val="4"/>
              <w:rPr>
                <w:rFonts w:ascii="Arial" w:eastAsia="Times New Roman" w:hAnsi="Arial" w:cs="Arial"/>
                <w:b/>
                <w:szCs w:val="20"/>
              </w:rPr>
            </w:pPr>
            <w:r>
              <w:rPr>
                <w:rFonts w:ascii="Arial" w:eastAsia="Times New Roman" w:hAnsi="Arial" w:cs="Arial"/>
                <w:b/>
                <w:szCs w:val="20"/>
              </w:rPr>
              <w:t>Balíček</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8C49B" w14:textId="77777777" w:rsidR="008F0751" w:rsidRDefault="00B44920">
            <w:pPr>
              <w:pStyle w:val="Standard"/>
              <w:spacing w:after="0" w:line="240" w:lineRule="auto"/>
              <w:jc w:val="both"/>
              <w:outlineLvl w:val="4"/>
              <w:rPr>
                <w:rFonts w:ascii="Arial" w:eastAsia="Times New Roman" w:hAnsi="Arial" w:cs="Arial"/>
                <w:b/>
                <w:szCs w:val="20"/>
              </w:rPr>
            </w:pPr>
            <w:r>
              <w:rPr>
                <w:rFonts w:ascii="Arial" w:eastAsia="Times New Roman" w:hAnsi="Arial" w:cs="Arial"/>
                <w:b/>
                <w:szCs w:val="20"/>
              </w:rPr>
              <w:t>Cena za měsíc bez DPH za 1 dobíjecí stanici</w:t>
            </w:r>
          </w:p>
        </w:tc>
      </w:tr>
      <w:tr w:rsidR="008F0751" w14:paraId="02489854"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D1C2" w14:textId="77777777" w:rsidR="008F0751" w:rsidRDefault="00B44920">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Vzdálený monitoring</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D113" w14:textId="77777777" w:rsidR="008F0751" w:rsidRDefault="00B44920">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100,-</w:t>
            </w:r>
          </w:p>
        </w:tc>
      </w:tr>
      <w:tr w:rsidR="008F0751" w14:paraId="697BDD3D"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7A80" w14:textId="77777777" w:rsidR="008F0751" w:rsidRDefault="00B44920">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Správa přístupu</w:t>
            </w: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4BE0" w14:textId="77777777" w:rsidR="008F0751" w:rsidRDefault="00B44920">
            <w:pPr>
              <w:pStyle w:val="Standard"/>
              <w:spacing w:after="0" w:line="240" w:lineRule="auto"/>
              <w:jc w:val="both"/>
              <w:outlineLvl w:val="4"/>
              <w:rPr>
                <w:rFonts w:ascii="Arial" w:eastAsia="Times New Roman" w:hAnsi="Arial" w:cs="Arial"/>
                <w:szCs w:val="20"/>
              </w:rPr>
            </w:pPr>
            <w:r>
              <w:rPr>
                <w:rFonts w:ascii="Arial" w:eastAsia="Times New Roman" w:hAnsi="Arial" w:cs="Arial"/>
                <w:szCs w:val="20"/>
              </w:rPr>
              <w:t>100,-</w:t>
            </w:r>
          </w:p>
        </w:tc>
      </w:tr>
    </w:tbl>
    <w:p w14:paraId="2C2E1594" w14:textId="77777777" w:rsidR="008F0751" w:rsidRDefault="008F0751">
      <w:pPr>
        <w:pStyle w:val="Standard"/>
        <w:spacing w:after="0" w:line="240" w:lineRule="auto"/>
        <w:ind w:left="567"/>
        <w:jc w:val="both"/>
        <w:outlineLvl w:val="4"/>
        <w:rPr>
          <w:rFonts w:ascii="Arial" w:eastAsia="Times New Roman" w:hAnsi="Arial" w:cs="Arial"/>
          <w:szCs w:val="20"/>
        </w:rPr>
      </w:pPr>
    </w:p>
    <w:p w14:paraId="7EFEA35B" w14:textId="56703889" w:rsidR="008F0751" w:rsidRDefault="00B44920">
      <w:pPr>
        <w:pStyle w:val="Standard"/>
        <w:spacing w:after="0" w:line="240" w:lineRule="auto"/>
        <w:ind w:left="567"/>
        <w:jc w:val="both"/>
        <w:outlineLvl w:val="4"/>
      </w:pPr>
      <w:r>
        <w:rPr>
          <w:rFonts w:ascii="Arial" w:eastAsia="Times New Roman" w:hAnsi="Arial" w:cs="Arial"/>
        </w:rPr>
        <w:t xml:space="preserve">Rozpis jednotlivých částek pro dobíjecí stanice v aplikaci </w:t>
      </w:r>
      <w:proofErr w:type="spellStart"/>
      <w:r>
        <w:rPr>
          <w:rFonts w:ascii="Arial" w:eastAsia="Times New Roman" w:hAnsi="Arial" w:cs="Arial"/>
        </w:rPr>
        <w:t>Olife</w:t>
      </w:r>
      <w:proofErr w:type="spellEnd"/>
      <w:r>
        <w:rPr>
          <w:rFonts w:ascii="Arial" w:eastAsia="Times New Roman" w:hAnsi="Arial" w:cs="Arial"/>
        </w:rPr>
        <w:t xml:space="preserve"> </w:t>
      </w:r>
      <w:proofErr w:type="spellStart"/>
      <w:r>
        <w:rPr>
          <w:rFonts w:ascii="Arial" w:eastAsia="Times New Roman" w:hAnsi="Arial" w:cs="Arial"/>
        </w:rPr>
        <w:t>Energy</w:t>
      </w:r>
      <w:proofErr w:type="spellEnd"/>
      <w:r>
        <w:rPr>
          <w:rFonts w:ascii="Arial" w:eastAsia="Times New Roman" w:hAnsi="Arial" w:cs="Arial"/>
        </w:rPr>
        <w:t xml:space="preserve"> tvoří </w:t>
      </w:r>
      <w:r w:rsidR="0077674B">
        <w:rPr>
          <w:rFonts w:ascii="Arial" w:eastAsia="Times New Roman" w:hAnsi="Arial" w:cs="Arial"/>
        </w:rPr>
        <w:t xml:space="preserve">Přílohu </w:t>
      </w:r>
      <w:r>
        <w:rPr>
          <w:rFonts w:ascii="Arial" w:eastAsia="Times New Roman" w:hAnsi="Arial" w:cs="Arial"/>
        </w:rPr>
        <w:t>č.</w:t>
      </w:r>
      <w:r w:rsidR="007C0A26">
        <w:rPr>
          <w:rFonts w:ascii="Arial" w:eastAsia="Times New Roman" w:hAnsi="Arial" w:cs="Arial"/>
        </w:rPr>
        <w:t xml:space="preserve"> </w:t>
      </w:r>
      <w:r>
        <w:rPr>
          <w:rFonts w:ascii="Arial" w:eastAsia="Times New Roman" w:hAnsi="Arial" w:cs="Arial"/>
        </w:rPr>
        <w:t xml:space="preserve">1 této smlouvy. Seznam dobíjecích stanic v aplikaci </w:t>
      </w:r>
      <w:proofErr w:type="spellStart"/>
      <w:r>
        <w:rPr>
          <w:rFonts w:ascii="Arial" w:eastAsia="Times New Roman" w:hAnsi="Arial" w:cs="Arial"/>
        </w:rPr>
        <w:t>Olife</w:t>
      </w:r>
      <w:proofErr w:type="spellEnd"/>
      <w:r>
        <w:rPr>
          <w:rFonts w:ascii="Arial" w:eastAsia="Times New Roman" w:hAnsi="Arial" w:cs="Arial"/>
        </w:rPr>
        <w:t xml:space="preserve"> </w:t>
      </w:r>
      <w:proofErr w:type="spellStart"/>
      <w:r>
        <w:rPr>
          <w:rFonts w:ascii="Arial" w:eastAsia="Times New Roman" w:hAnsi="Arial" w:cs="Arial"/>
        </w:rPr>
        <w:t>Energy</w:t>
      </w:r>
      <w:proofErr w:type="spellEnd"/>
      <w:r>
        <w:rPr>
          <w:rFonts w:ascii="Arial" w:eastAsia="Times New Roman" w:hAnsi="Arial" w:cs="Arial"/>
        </w:rPr>
        <w:t xml:space="preserve"> dle Přílohy č.</w:t>
      </w:r>
      <w:r w:rsidR="007C0A26">
        <w:rPr>
          <w:rFonts w:ascii="Arial" w:eastAsia="Times New Roman" w:hAnsi="Arial" w:cs="Arial"/>
        </w:rPr>
        <w:t xml:space="preserve"> </w:t>
      </w:r>
      <w:r>
        <w:rPr>
          <w:rFonts w:ascii="Arial" w:eastAsia="Times New Roman" w:hAnsi="Arial" w:cs="Arial"/>
        </w:rPr>
        <w:t xml:space="preserve">1 na následující měsíc může </w:t>
      </w:r>
      <w:r>
        <w:rPr>
          <w:rFonts w:ascii="Arial" w:eastAsia="Times New Roman" w:hAnsi="Arial" w:cs="Arial"/>
          <w:b/>
          <w:bCs/>
        </w:rPr>
        <w:t>klient</w:t>
      </w:r>
      <w:r>
        <w:rPr>
          <w:rFonts w:ascii="Arial" w:eastAsia="Times New Roman" w:hAnsi="Arial" w:cs="Arial"/>
        </w:rPr>
        <w:t xml:space="preserve"> aktualizovat 1x měsíčně nejpozději 5 pracovních dnů před koncem aktuálního měsíce písemně e-mailem. Olife Energy dle této aktualizace adekvátně upraví celkovou cenu za poskytované služby.</w:t>
      </w:r>
    </w:p>
    <w:p w14:paraId="39A5693A" w14:textId="77777777" w:rsidR="008F0751" w:rsidRDefault="00B44920">
      <w:pPr>
        <w:pStyle w:val="Standard"/>
        <w:numPr>
          <w:ilvl w:val="0"/>
          <w:numId w:val="13"/>
        </w:numPr>
        <w:spacing w:after="0" w:line="240" w:lineRule="auto"/>
        <w:jc w:val="both"/>
        <w:rPr>
          <w:rFonts w:ascii="Arial" w:eastAsia="Times New Roman" w:hAnsi="Arial" w:cs="Arial"/>
        </w:rPr>
      </w:pPr>
      <w:r>
        <w:rPr>
          <w:rFonts w:ascii="Arial" w:eastAsia="Times New Roman" w:hAnsi="Arial" w:cs="Arial"/>
        </w:rPr>
        <w:t>Odměna za službu servisního technika je smluvními stranami sjednána ve výši 960,- Kč + DPH v zákonem stanovené výši za jednu hodinu práce servisního technika. Dopravné ve výši 15,- Kč za každý 1 km cesty a dobu servisního technika strávené na cestě k dobíjecí stanici počítané od sídla Olife Energy.</w:t>
      </w:r>
    </w:p>
    <w:p w14:paraId="19C2B070" w14:textId="77777777" w:rsidR="008F0751" w:rsidRDefault="00B44920">
      <w:pPr>
        <w:pStyle w:val="Standard"/>
        <w:numPr>
          <w:ilvl w:val="0"/>
          <w:numId w:val="13"/>
        </w:numPr>
        <w:spacing w:after="0" w:line="240" w:lineRule="auto"/>
        <w:jc w:val="both"/>
      </w:pPr>
      <w:r>
        <w:rPr>
          <w:rFonts w:ascii="Arial" w:eastAsia="Times New Roman" w:hAnsi="Arial" w:cs="Arial"/>
        </w:rPr>
        <w:t>Odměna za službu programátora (vývojáře) pro vývoj zákaznických změn aplikace Olife Energy je smluvními stranami sjednána ve výši 1870,- Kč + DPH v zákonem stanované výši za jednu hodinu práce programátora (vývojáře).</w:t>
      </w:r>
    </w:p>
    <w:p w14:paraId="5CF76E69" w14:textId="47ED6F5C" w:rsidR="008F0751" w:rsidRDefault="00B44920">
      <w:pPr>
        <w:pStyle w:val="Standard"/>
        <w:numPr>
          <w:ilvl w:val="0"/>
          <w:numId w:val="13"/>
        </w:numPr>
        <w:spacing w:after="0" w:line="240" w:lineRule="auto"/>
        <w:jc w:val="both"/>
      </w:pPr>
      <w:r>
        <w:rPr>
          <w:rFonts w:ascii="Arial" w:eastAsia="Times New Roman" w:hAnsi="Arial" w:cs="Arial"/>
        </w:rPr>
        <w:t>Cena dle článku 3.</w:t>
      </w:r>
      <w:r w:rsidR="009D7591">
        <w:rPr>
          <w:rFonts w:ascii="Arial" w:eastAsia="Times New Roman" w:hAnsi="Arial" w:cs="Arial"/>
        </w:rPr>
        <w:t xml:space="preserve"> odstavce </w:t>
      </w:r>
      <w:r w:rsidR="00FA0BBC">
        <w:rPr>
          <w:rFonts w:ascii="Arial" w:eastAsia="Times New Roman" w:hAnsi="Arial" w:cs="Arial"/>
        </w:rPr>
        <w:t xml:space="preserve">5 </w:t>
      </w:r>
      <w:r>
        <w:rPr>
          <w:rFonts w:ascii="Arial" w:eastAsia="Times New Roman" w:hAnsi="Arial" w:cs="Arial"/>
        </w:rPr>
        <w:t xml:space="preserve">této smlouvy bude </w:t>
      </w:r>
      <w:r>
        <w:rPr>
          <w:rFonts w:ascii="Arial" w:eastAsia="Times New Roman" w:hAnsi="Arial" w:cs="Arial"/>
          <w:b/>
          <w:bCs/>
        </w:rPr>
        <w:t>klientem</w:t>
      </w:r>
      <w:r>
        <w:rPr>
          <w:rFonts w:ascii="Arial" w:eastAsia="Times New Roman" w:hAnsi="Arial" w:cs="Arial"/>
        </w:rPr>
        <w:t xml:space="preserve"> hrazena od prvního dne kalendářního měsíce následujícího po podpisu této </w:t>
      </w:r>
      <w:r w:rsidR="00EB21C2">
        <w:rPr>
          <w:rFonts w:ascii="Arial" w:eastAsia="Times New Roman" w:hAnsi="Arial" w:cs="Arial"/>
        </w:rPr>
        <w:t>smlouvy,</w:t>
      </w:r>
      <w:r>
        <w:rPr>
          <w:rFonts w:ascii="Arial" w:eastAsia="Times New Roman" w:hAnsi="Arial" w:cs="Arial"/>
        </w:rPr>
        <w:t xml:space="preserve"> a to měsíčně zpětně na základě faktur – daňových dokladů vystavených vždy k poslednímu dni příslušného kalendářního měsíce, kdy jsou servisní a provozní data podle této smlouvy poskytována a na základě zástupcem </w:t>
      </w:r>
      <w:r>
        <w:rPr>
          <w:rFonts w:ascii="Arial" w:eastAsia="Times New Roman" w:hAnsi="Arial" w:cs="Arial"/>
          <w:b/>
          <w:bCs/>
        </w:rPr>
        <w:t>klienta</w:t>
      </w:r>
      <w:r>
        <w:rPr>
          <w:rFonts w:ascii="Arial" w:eastAsia="Times New Roman" w:hAnsi="Arial" w:cs="Arial"/>
        </w:rPr>
        <w:t xml:space="preserve"> podepsaných servisních listů, pokud v daném měsíci dojde k zásahu servisního technika. Nedílnou součástí </w:t>
      </w:r>
      <w:r w:rsidR="006743E1">
        <w:rPr>
          <w:rFonts w:ascii="Arial" w:eastAsia="Times New Roman" w:hAnsi="Arial" w:cs="Arial"/>
        </w:rPr>
        <w:t>faktury</w:t>
      </w:r>
      <w:r w:rsidR="00FC7B1C">
        <w:rPr>
          <w:rFonts w:ascii="Arial" w:eastAsia="Times New Roman" w:hAnsi="Arial" w:cs="Arial"/>
        </w:rPr>
        <w:br/>
      </w:r>
      <w:r w:rsidR="006743E1">
        <w:rPr>
          <w:rFonts w:ascii="Arial" w:eastAsia="Times New Roman" w:hAnsi="Arial" w:cs="Arial"/>
        </w:rPr>
        <w:t>– daňového</w:t>
      </w:r>
      <w:r>
        <w:rPr>
          <w:rFonts w:ascii="Arial" w:eastAsia="Times New Roman" w:hAnsi="Arial" w:cs="Arial"/>
        </w:rPr>
        <w:t xml:space="preserve"> dokladu musí být seznam dobíjecích stanic a rozsah poskytnutých služeb.</w:t>
      </w:r>
    </w:p>
    <w:p w14:paraId="1B53950D" w14:textId="7F5AA2BB" w:rsidR="008F0751" w:rsidRPr="003E5CB5" w:rsidRDefault="00B44920">
      <w:pPr>
        <w:pStyle w:val="Standard"/>
        <w:numPr>
          <w:ilvl w:val="0"/>
          <w:numId w:val="13"/>
        </w:numPr>
        <w:spacing w:after="0" w:line="240" w:lineRule="auto"/>
        <w:jc w:val="both"/>
      </w:pPr>
      <w:r>
        <w:rPr>
          <w:rFonts w:ascii="Arial" w:eastAsia="Times New Roman" w:hAnsi="Arial" w:cs="Arial"/>
        </w:rPr>
        <w:t xml:space="preserve">Splatnost faktur Olife Energy činí třicet (30) kalendářních dnů ode dne </w:t>
      </w:r>
      <w:r w:rsidR="00B372B8">
        <w:rPr>
          <w:rFonts w:ascii="Arial" w:eastAsia="Times New Roman" w:hAnsi="Arial" w:cs="Arial"/>
        </w:rPr>
        <w:t xml:space="preserve">jejich </w:t>
      </w:r>
      <w:r>
        <w:rPr>
          <w:rFonts w:ascii="Arial" w:eastAsia="Times New Roman" w:hAnsi="Arial" w:cs="Arial"/>
        </w:rPr>
        <w:t xml:space="preserve">prokazatelného doručení </w:t>
      </w:r>
      <w:r>
        <w:rPr>
          <w:rFonts w:ascii="Arial" w:eastAsia="Times New Roman" w:hAnsi="Arial" w:cs="Arial"/>
          <w:b/>
          <w:bCs/>
        </w:rPr>
        <w:t>klientovi</w:t>
      </w:r>
      <w:r>
        <w:rPr>
          <w:rFonts w:ascii="Arial" w:eastAsia="Times New Roman" w:hAnsi="Arial" w:cs="Arial"/>
        </w:rPr>
        <w:t xml:space="preserve">. </w:t>
      </w:r>
      <w:r w:rsidR="006743E1">
        <w:rPr>
          <w:rFonts w:ascii="Arial" w:eastAsia="Times New Roman" w:hAnsi="Arial" w:cs="Arial"/>
        </w:rPr>
        <w:t>Faktury – daňové</w:t>
      </w:r>
      <w:r>
        <w:rPr>
          <w:rFonts w:ascii="Arial" w:eastAsia="Times New Roman" w:hAnsi="Arial" w:cs="Arial"/>
        </w:rPr>
        <w:t xml:space="preserve"> doklady musí obsahovat náležitosti daňových dokladů dle zákona č. 235/2004 Sb., o dani z případné hodnoty, ve znění pozdějších předpisů, jinak budou vráceny. V případě vrácení </w:t>
      </w:r>
      <w:r w:rsidR="006743E1">
        <w:rPr>
          <w:rFonts w:ascii="Arial" w:eastAsia="Times New Roman" w:hAnsi="Arial" w:cs="Arial"/>
        </w:rPr>
        <w:t>faktury</w:t>
      </w:r>
      <w:r w:rsidR="00FC7B1C">
        <w:rPr>
          <w:rFonts w:ascii="Arial" w:eastAsia="Times New Roman" w:hAnsi="Arial" w:cs="Arial"/>
        </w:rPr>
        <w:br/>
      </w:r>
      <w:r w:rsidR="006743E1">
        <w:rPr>
          <w:rFonts w:ascii="Arial" w:eastAsia="Times New Roman" w:hAnsi="Arial" w:cs="Arial"/>
        </w:rPr>
        <w:t>– daňového</w:t>
      </w:r>
      <w:r>
        <w:rPr>
          <w:rFonts w:ascii="Arial" w:eastAsia="Times New Roman" w:hAnsi="Arial" w:cs="Arial"/>
        </w:rPr>
        <w:t xml:space="preserve"> dokladu přestává běžet lhůta splatnosti, nová lhůta počíná běžet doručením opravené či nové faktury.</w:t>
      </w:r>
    </w:p>
    <w:p w14:paraId="43015E77" w14:textId="0EC3DB80" w:rsidR="00BC781F" w:rsidRDefault="00BC781F">
      <w:pPr>
        <w:pStyle w:val="Standard"/>
        <w:numPr>
          <w:ilvl w:val="0"/>
          <w:numId w:val="13"/>
        </w:numPr>
        <w:spacing w:after="0" w:line="240" w:lineRule="auto"/>
        <w:jc w:val="both"/>
      </w:pPr>
      <w:r>
        <w:rPr>
          <w:rFonts w:ascii="Arial" w:eastAsia="Times New Roman" w:hAnsi="Arial" w:cs="Arial"/>
        </w:rPr>
        <w:t>Ceny uvedené v článku 3. odstavcích 5, 6</w:t>
      </w:r>
      <w:r w:rsidR="00FA0BBC">
        <w:rPr>
          <w:rFonts w:ascii="Arial" w:eastAsia="Times New Roman" w:hAnsi="Arial" w:cs="Arial"/>
        </w:rPr>
        <w:t xml:space="preserve"> a </w:t>
      </w:r>
      <w:r w:rsidR="009D3A70">
        <w:rPr>
          <w:rFonts w:ascii="Arial" w:eastAsia="Times New Roman" w:hAnsi="Arial" w:cs="Arial"/>
        </w:rPr>
        <w:t>7</w:t>
      </w:r>
      <w:r>
        <w:rPr>
          <w:rFonts w:ascii="Arial" w:eastAsia="Times New Roman" w:hAnsi="Arial" w:cs="Arial"/>
        </w:rPr>
        <w:t xml:space="preserve"> této smlouvy lze </w:t>
      </w:r>
      <w:r w:rsidR="000075DB">
        <w:rPr>
          <w:rFonts w:ascii="Arial" w:eastAsia="Times New Roman" w:hAnsi="Arial" w:cs="Arial"/>
        </w:rPr>
        <w:t>po dohodě s </w:t>
      </w:r>
      <w:r w:rsidR="000075DB" w:rsidRPr="003E5CB5">
        <w:rPr>
          <w:rFonts w:ascii="Arial" w:eastAsia="Times New Roman" w:hAnsi="Arial" w:cs="Arial"/>
          <w:b/>
          <w:bCs/>
        </w:rPr>
        <w:t>klientem</w:t>
      </w:r>
      <w:r w:rsidR="000075DB">
        <w:rPr>
          <w:rFonts w:ascii="Arial" w:eastAsia="Times New Roman" w:hAnsi="Arial" w:cs="Arial"/>
        </w:rPr>
        <w:t xml:space="preserve"> navýšit, pokud meziroční míra inflace (index spotřebitelských cen vydaný ČSÚ) bude vyšší než 2,5 %, přičemž je možné provést </w:t>
      </w:r>
      <w:r w:rsidR="000075DB" w:rsidRPr="000075DB">
        <w:rPr>
          <w:rFonts w:ascii="Arial" w:eastAsia="Times New Roman" w:hAnsi="Arial" w:cs="Arial"/>
        </w:rPr>
        <w:t xml:space="preserve">zvýšení právě o výši indexu vydaného ČSÚ, nanejvýš však o 10 % dohodnuté výše </w:t>
      </w:r>
      <w:r w:rsidR="000075DB">
        <w:rPr>
          <w:rFonts w:ascii="Arial" w:eastAsia="Times New Roman" w:hAnsi="Arial" w:cs="Arial"/>
        </w:rPr>
        <w:t xml:space="preserve">dané </w:t>
      </w:r>
      <w:r w:rsidR="000075DB" w:rsidRPr="000075DB">
        <w:rPr>
          <w:rFonts w:ascii="Arial" w:eastAsia="Times New Roman" w:hAnsi="Arial" w:cs="Arial"/>
        </w:rPr>
        <w:t>cen</w:t>
      </w:r>
      <w:r w:rsidR="000075DB">
        <w:rPr>
          <w:rFonts w:ascii="Arial" w:eastAsia="Times New Roman" w:hAnsi="Arial" w:cs="Arial"/>
        </w:rPr>
        <w:t>y</w:t>
      </w:r>
      <w:r w:rsidR="000075DB" w:rsidRPr="000075DB">
        <w:rPr>
          <w:rFonts w:ascii="Arial" w:eastAsia="Times New Roman" w:hAnsi="Arial" w:cs="Arial"/>
        </w:rPr>
        <w:t>. Toto zvýšení je možné provést maximálně 1x za půl roku, nejdříve však jeden rok od data uzavření smlouvy.</w:t>
      </w:r>
    </w:p>
    <w:p w14:paraId="4198460A" w14:textId="77777777" w:rsidR="009D3A70" w:rsidRDefault="009D3A70">
      <w:pPr>
        <w:pStyle w:val="Standard"/>
        <w:spacing w:after="0" w:line="240" w:lineRule="auto"/>
        <w:ind w:left="567"/>
        <w:jc w:val="both"/>
        <w:outlineLvl w:val="4"/>
        <w:rPr>
          <w:rFonts w:ascii="Arial" w:eastAsia="Times New Roman" w:hAnsi="Arial" w:cs="Arial"/>
          <w:szCs w:val="20"/>
        </w:rPr>
      </w:pPr>
    </w:p>
    <w:p w14:paraId="63FAE506" w14:textId="10AC9797" w:rsidR="005D0D20" w:rsidRDefault="005D0D20">
      <w:pPr>
        <w:suppressAutoHyphens w:val="0"/>
        <w:rPr>
          <w:rFonts w:ascii="Arial" w:eastAsia="Times New Roman" w:hAnsi="Arial" w:cs="Arial"/>
          <w:b/>
          <w:szCs w:val="20"/>
        </w:rPr>
      </w:pPr>
    </w:p>
    <w:p w14:paraId="75128E80" w14:textId="1D51BE36"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4.</w:t>
      </w:r>
    </w:p>
    <w:p w14:paraId="63F1C034" w14:textId="77777777"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Práva duševního vlastnictví</w:t>
      </w:r>
    </w:p>
    <w:p w14:paraId="4C6786E6" w14:textId="77777777" w:rsidR="008F0751" w:rsidRDefault="00B44920">
      <w:pPr>
        <w:pStyle w:val="Standard"/>
        <w:numPr>
          <w:ilvl w:val="0"/>
          <w:numId w:val="23"/>
        </w:numPr>
        <w:tabs>
          <w:tab w:val="left" w:pos="1107"/>
        </w:tabs>
        <w:spacing w:after="0" w:line="240" w:lineRule="auto"/>
        <w:ind w:left="567" w:hanging="567"/>
        <w:jc w:val="both"/>
      </w:pPr>
      <w:r>
        <w:rPr>
          <w:rFonts w:ascii="Arial" w:eastAsia="Times New Roman" w:hAnsi="Arial" w:cs="Arial"/>
          <w:szCs w:val="20"/>
        </w:rPr>
        <w:t xml:space="preserve">Veškerá práva duševního vlastnictví spojená s aplikací Olife Energy jsou vlastnictvím Olife Energy. </w:t>
      </w:r>
      <w:r>
        <w:rPr>
          <w:rFonts w:ascii="Arial" w:eastAsia="Times New Roman" w:hAnsi="Arial" w:cs="Arial"/>
          <w:b/>
          <w:bCs/>
          <w:szCs w:val="20"/>
        </w:rPr>
        <w:t>K</w:t>
      </w:r>
      <w:r>
        <w:rPr>
          <w:rFonts w:ascii="Arial" w:eastAsia="Times New Roman" w:hAnsi="Arial" w:cs="Arial"/>
          <w:b/>
          <w:szCs w:val="20"/>
        </w:rPr>
        <w:t>lient</w:t>
      </w:r>
      <w:r>
        <w:rPr>
          <w:rFonts w:ascii="Arial" w:eastAsia="Times New Roman" w:hAnsi="Arial" w:cs="Arial"/>
          <w:szCs w:val="20"/>
        </w:rPr>
        <w:t xml:space="preserve"> tato práva může použít výlučně a striktně v rámci plnění jednotlivých práv a povinností dle této smlouvy.</w:t>
      </w:r>
    </w:p>
    <w:p w14:paraId="3AAEF0A2" w14:textId="77777777" w:rsidR="008F0751" w:rsidRDefault="00B44920">
      <w:pPr>
        <w:pStyle w:val="Standard"/>
        <w:numPr>
          <w:ilvl w:val="0"/>
          <w:numId w:val="14"/>
        </w:numPr>
        <w:tabs>
          <w:tab w:val="left" w:pos="1107"/>
        </w:tabs>
        <w:spacing w:after="0" w:line="240" w:lineRule="auto"/>
        <w:ind w:left="567" w:hanging="567"/>
        <w:jc w:val="both"/>
      </w:pPr>
      <w:r>
        <w:rPr>
          <w:rFonts w:ascii="Arial" w:eastAsia="Times New Roman" w:hAnsi="Arial" w:cs="Arial"/>
          <w:b/>
          <w:szCs w:val="20"/>
        </w:rPr>
        <w:t>Klient</w:t>
      </w:r>
      <w:r>
        <w:rPr>
          <w:rFonts w:ascii="Arial" w:eastAsia="Times New Roman" w:hAnsi="Arial" w:cs="Arial"/>
          <w:szCs w:val="20"/>
        </w:rPr>
        <w:t xml:space="preserve"> se zavazuje, že nebude měnit, modifikovat, rozkládat, přepracovávat či jinak pro sebe či jiné využívat důvěrné informace, obchodní tajemství nebo práva duševního vlastnictví bez písemného svolení Olife Energy.</w:t>
      </w:r>
    </w:p>
    <w:p w14:paraId="645250D7" w14:textId="77777777" w:rsidR="008F0751" w:rsidRDefault="00B44920">
      <w:pPr>
        <w:pStyle w:val="Standard"/>
        <w:numPr>
          <w:ilvl w:val="0"/>
          <w:numId w:val="14"/>
        </w:numPr>
        <w:tabs>
          <w:tab w:val="left" w:pos="1107"/>
        </w:tabs>
        <w:spacing w:after="0" w:line="240" w:lineRule="auto"/>
        <w:ind w:left="567" w:hanging="567"/>
        <w:jc w:val="both"/>
      </w:pPr>
      <w:r>
        <w:rPr>
          <w:rFonts w:ascii="Arial" w:eastAsia="Times New Roman" w:hAnsi="Arial" w:cs="Arial"/>
          <w:szCs w:val="20"/>
        </w:rPr>
        <w:t xml:space="preserve">Olife Energy si vyhrazuje veškerá práva, tituly a nároky plynoucí z důvěrných informací, obchodního tajemství a duševního vlastnictví. Na základě této smlouvy nemůže dojít </w:t>
      </w:r>
      <w:r>
        <w:rPr>
          <w:rFonts w:ascii="Arial" w:eastAsia="Times New Roman" w:hAnsi="Arial" w:cs="Arial"/>
          <w:szCs w:val="20"/>
        </w:rPr>
        <w:lastRenderedPageBreak/>
        <w:t>k převodu jakéhokoli vlastnického práva či k udělení jakékoliv licence či práva pro užití ochranných známek, průmyslových či užitných vzorů, autorských nebo patentových práv nebo jakýchkoliv jiných práv duševního vlastnictví.</w:t>
      </w:r>
      <w:r>
        <w:rPr>
          <w:rFonts w:ascii="Arial" w:hAnsi="Arial" w:cs="Arial"/>
        </w:rPr>
        <w:t xml:space="preserve"> </w:t>
      </w:r>
      <w:r>
        <w:rPr>
          <w:rFonts w:ascii="Arial" w:hAnsi="Arial" w:cs="Arial"/>
          <w:b/>
          <w:bCs/>
        </w:rPr>
        <w:t>K</w:t>
      </w:r>
      <w:r>
        <w:rPr>
          <w:rFonts w:ascii="Arial" w:eastAsia="Times New Roman" w:hAnsi="Arial" w:cs="Arial"/>
          <w:b/>
          <w:szCs w:val="20"/>
        </w:rPr>
        <w:t xml:space="preserve">lientem </w:t>
      </w:r>
      <w:r>
        <w:rPr>
          <w:rFonts w:ascii="Arial" w:eastAsia="Arial" w:hAnsi="Arial" w:cs="Arial"/>
          <w:lang w:eastAsia="cs-CZ"/>
        </w:rPr>
        <w:t>není oprávněna na základě užití důvěrných informací, obchodního tajemství nebo duševního vlastnictví obdržených podle této smlouvy učinit jakoukoliv přihlášku k patentové či jiné ochraně práv duševního vlastnictví v jakékoliv zemi a jakékoliv takové právo odvozené z důvěrných informací, obchodního tajemství nebo duševního vlastnictví musí být bezúplatně převedeno na základě žádosti na Olife Energy.</w:t>
      </w:r>
    </w:p>
    <w:p w14:paraId="410EB71A" w14:textId="77777777" w:rsidR="00836FE3" w:rsidRDefault="00836FE3" w:rsidP="009D3A70">
      <w:pPr>
        <w:pStyle w:val="Standard"/>
        <w:tabs>
          <w:tab w:val="left" w:pos="0"/>
        </w:tabs>
        <w:spacing w:after="0" w:line="240" w:lineRule="auto"/>
        <w:outlineLvl w:val="4"/>
        <w:rPr>
          <w:rFonts w:ascii="Arial" w:eastAsia="Times New Roman" w:hAnsi="Arial" w:cs="Arial"/>
          <w:b/>
          <w:szCs w:val="20"/>
        </w:rPr>
      </w:pPr>
    </w:p>
    <w:p w14:paraId="627D5D0D" w14:textId="77777777" w:rsidR="009D3A70" w:rsidRDefault="009D3A70" w:rsidP="003E5CB5">
      <w:pPr>
        <w:pStyle w:val="Standard"/>
        <w:tabs>
          <w:tab w:val="left" w:pos="0"/>
        </w:tabs>
        <w:spacing w:after="0" w:line="240" w:lineRule="auto"/>
        <w:outlineLvl w:val="4"/>
        <w:rPr>
          <w:rFonts w:ascii="Arial" w:eastAsia="Times New Roman" w:hAnsi="Arial" w:cs="Arial"/>
          <w:b/>
          <w:szCs w:val="20"/>
        </w:rPr>
      </w:pPr>
    </w:p>
    <w:p w14:paraId="65A468A0" w14:textId="77777777"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Článek 5.</w:t>
      </w:r>
    </w:p>
    <w:p w14:paraId="6F4EB776" w14:textId="77777777"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Doba trvání</w:t>
      </w:r>
      <w:bookmarkStart w:id="1" w:name="_Toc89982311"/>
      <w:bookmarkEnd w:id="1"/>
    </w:p>
    <w:p w14:paraId="39E114F1" w14:textId="5321D2F3" w:rsidR="008F0751" w:rsidRDefault="00573562">
      <w:pPr>
        <w:pStyle w:val="Standard"/>
        <w:numPr>
          <w:ilvl w:val="0"/>
          <w:numId w:val="24"/>
        </w:numPr>
        <w:spacing w:after="0" w:line="240" w:lineRule="auto"/>
        <w:ind w:left="567" w:hanging="567"/>
        <w:jc w:val="both"/>
        <w:rPr>
          <w:rFonts w:ascii="Arial" w:eastAsia="Times New Roman" w:hAnsi="Arial" w:cs="Arial"/>
        </w:rPr>
      </w:pPr>
      <w:r>
        <w:rPr>
          <w:rFonts w:ascii="Arial" w:eastAsia="Times New Roman" w:hAnsi="Arial" w:cs="Arial"/>
        </w:rPr>
        <w:t>Plnění podle této smlouvy bude zahájeno od 1. 4. 2024. S</w:t>
      </w:r>
      <w:r w:rsidR="00B44920">
        <w:rPr>
          <w:rFonts w:ascii="Arial" w:eastAsia="Times New Roman" w:hAnsi="Arial" w:cs="Arial"/>
        </w:rPr>
        <w:t>mlouva se uzavírá na dobu neurčitou.</w:t>
      </w:r>
    </w:p>
    <w:p w14:paraId="0AED2AC2" w14:textId="77777777" w:rsidR="008F0751" w:rsidRDefault="00B44920">
      <w:pPr>
        <w:pStyle w:val="Standard"/>
        <w:numPr>
          <w:ilvl w:val="0"/>
          <w:numId w:val="15"/>
        </w:numPr>
        <w:spacing w:after="0" w:line="240" w:lineRule="auto"/>
        <w:ind w:left="567" w:hanging="567"/>
        <w:jc w:val="both"/>
        <w:rPr>
          <w:rFonts w:ascii="Arial" w:hAnsi="Arial" w:cs="Arial"/>
          <w:lang w:eastAsia="cs-CZ"/>
        </w:rPr>
      </w:pPr>
      <w:r>
        <w:rPr>
          <w:rFonts w:ascii="Arial" w:hAnsi="Arial" w:cs="Arial"/>
          <w:lang w:eastAsia="cs-CZ"/>
        </w:rPr>
        <w:t>Doba trvání této smlouvy může být předčasně ukončena písemnou dohodou obou smluvních stran, výpovědí nebo odstoupením od této smlouvy.</w:t>
      </w:r>
      <w:bookmarkStart w:id="2" w:name="_Toc89982328"/>
      <w:bookmarkEnd w:id="2"/>
    </w:p>
    <w:p w14:paraId="478E19B6" w14:textId="53A68739" w:rsidR="008F0751" w:rsidRDefault="00B44920">
      <w:pPr>
        <w:pStyle w:val="Standard"/>
        <w:numPr>
          <w:ilvl w:val="0"/>
          <w:numId w:val="15"/>
        </w:numPr>
        <w:spacing w:after="0" w:line="240" w:lineRule="auto"/>
        <w:ind w:left="567" w:hanging="567"/>
        <w:jc w:val="both"/>
      </w:pPr>
      <w:r>
        <w:rPr>
          <w:rFonts w:ascii="Arial" w:eastAsia="Times New Roman" w:hAnsi="Arial" w:cs="Arial"/>
        </w:rPr>
        <w:t>Kterákoli ze smluvních stran je rovněž oprávněna tuto smlouvu vypovědět, a to i bez udání důvodů. Výpovědní lhůta činí jeden měsíc a počíná běžet prvního dne následujícího po doručení výpovědi druhé smluvní straně.</w:t>
      </w:r>
    </w:p>
    <w:p w14:paraId="317D2EAA" w14:textId="77777777" w:rsidR="008F0751" w:rsidRDefault="00B44920">
      <w:pPr>
        <w:pStyle w:val="Standard"/>
        <w:numPr>
          <w:ilvl w:val="0"/>
          <w:numId w:val="15"/>
        </w:numPr>
        <w:spacing w:after="0" w:line="240" w:lineRule="auto"/>
        <w:ind w:left="567" w:hanging="567"/>
        <w:jc w:val="both"/>
        <w:rPr>
          <w:rFonts w:ascii="Arial" w:hAnsi="Arial" w:cs="Arial"/>
          <w:lang w:eastAsia="cs-CZ"/>
        </w:rPr>
      </w:pPr>
      <w:r>
        <w:rPr>
          <w:rFonts w:ascii="Arial" w:hAnsi="Arial" w:cs="Arial"/>
          <w:lang w:eastAsia="cs-CZ"/>
        </w:rPr>
        <w:t>Kterákoliv ze smluvních stran je oprávněna okamžitě odstoupit od této smlouvy v případě, že druhá smluvní strana podstatně poruší své povinnosti vyplývající z této smlouvy. Odstoupení od smlouvy musí být provedeno písemně s uvedením jeho důvodu.</w:t>
      </w:r>
    </w:p>
    <w:p w14:paraId="2A73F78A" w14:textId="77777777" w:rsidR="008F0751" w:rsidRDefault="00B44920">
      <w:pPr>
        <w:pStyle w:val="Standard"/>
        <w:numPr>
          <w:ilvl w:val="0"/>
          <w:numId w:val="15"/>
        </w:numPr>
        <w:spacing w:after="0" w:line="240" w:lineRule="auto"/>
        <w:ind w:left="567" w:hanging="567"/>
        <w:jc w:val="both"/>
      </w:pPr>
      <w:r>
        <w:rPr>
          <w:rFonts w:ascii="Arial" w:eastAsia="Times New Roman" w:hAnsi="Arial" w:cs="Arial"/>
          <w:b/>
          <w:szCs w:val="20"/>
        </w:rPr>
        <w:t>Klient</w:t>
      </w:r>
      <w:r>
        <w:rPr>
          <w:rFonts w:ascii="Arial" w:hAnsi="Arial" w:cs="Arial"/>
          <w:lang w:eastAsia="cs-CZ"/>
        </w:rPr>
        <w:t xml:space="preserve"> je oprávněn okamžitě odstoupit od této smlouvy v případě, že Olife Energy nebude provádět servisní podporu v souladu se smlouvou a/nebo bude zanedbávat plnění svých závazků závažným způsobem. Za závažné porušení smlouvy s možností okamžitého odstoupení se považuje poskytování servisních a provozních</w:t>
      </w:r>
      <w:r>
        <w:rPr>
          <w:rFonts w:ascii="Times New Roman" w:hAnsi="Times New Roman" w:cs="Times New Roman"/>
          <w:lang w:eastAsia="cs-CZ"/>
        </w:rPr>
        <w:t xml:space="preserve"> </w:t>
      </w:r>
      <w:r>
        <w:rPr>
          <w:rFonts w:ascii="Arial" w:hAnsi="Arial" w:cs="Arial"/>
          <w:lang w:eastAsia="cs-CZ"/>
        </w:rPr>
        <w:t>dat a služeb a služeb servisního technika</w:t>
      </w:r>
      <w:r>
        <w:rPr>
          <w:rFonts w:ascii="Times New Roman" w:hAnsi="Times New Roman" w:cs="Times New Roman"/>
          <w:lang w:eastAsia="cs-CZ"/>
        </w:rPr>
        <w:t xml:space="preserve"> </w:t>
      </w:r>
      <w:r>
        <w:rPr>
          <w:rFonts w:ascii="Arial" w:hAnsi="Arial" w:cs="Arial"/>
          <w:lang w:eastAsia="cs-CZ"/>
        </w:rPr>
        <w:t xml:space="preserve">v rozporu s touto smlouvou nebo dlouhodobá nefunkčnost poskytovaných služeb, a to i přes prokazatelné výtky a upozornění ze strany </w:t>
      </w:r>
      <w:r>
        <w:rPr>
          <w:rFonts w:ascii="Arial" w:eastAsia="Times New Roman" w:hAnsi="Arial" w:cs="Arial"/>
          <w:b/>
          <w:szCs w:val="20"/>
        </w:rPr>
        <w:t>klienta</w:t>
      </w:r>
      <w:r>
        <w:rPr>
          <w:rFonts w:ascii="Arial" w:hAnsi="Arial" w:cs="Arial"/>
          <w:lang w:eastAsia="cs-CZ"/>
        </w:rPr>
        <w:t>.</w:t>
      </w:r>
    </w:p>
    <w:p w14:paraId="3DEC436C" w14:textId="77777777" w:rsidR="008F0751" w:rsidRDefault="00B44920">
      <w:pPr>
        <w:pStyle w:val="Standard"/>
        <w:numPr>
          <w:ilvl w:val="0"/>
          <w:numId w:val="15"/>
        </w:numPr>
        <w:spacing w:after="0" w:line="240" w:lineRule="auto"/>
        <w:ind w:left="567" w:hanging="567"/>
        <w:jc w:val="both"/>
      </w:pPr>
      <w:r>
        <w:rPr>
          <w:rFonts w:ascii="Arial" w:hAnsi="Arial" w:cs="Arial"/>
          <w:lang w:eastAsia="cs-CZ"/>
        </w:rPr>
        <w:t xml:space="preserve">Olife Energy je oprávněn odstoupit od této smlouvy v případě, že bude </w:t>
      </w:r>
      <w:r>
        <w:rPr>
          <w:rFonts w:ascii="Arial" w:eastAsia="Times New Roman" w:hAnsi="Arial" w:cs="Arial"/>
          <w:b/>
          <w:szCs w:val="20"/>
        </w:rPr>
        <w:t>klient</w:t>
      </w:r>
      <w:r>
        <w:rPr>
          <w:rFonts w:ascii="Arial" w:hAnsi="Arial" w:cs="Arial"/>
          <w:lang w:eastAsia="cs-CZ"/>
        </w:rPr>
        <w:t xml:space="preserve"> v prodlení se zaplacením faktury delším než 1 měsíc i přes písemné upozornění Olife Energy a poskytnutí dodatečné lhůty alespoň 14 dní od doručení upozornění.</w:t>
      </w:r>
    </w:p>
    <w:p w14:paraId="2BE35B5B" w14:textId="77777777" w:rsidR="008F0751" w:rsidRDefault="00B44920">
      <w:pPr>
        <w:pStyle w:val="Standard"/>
        <w:numPr>
          <w:ilvl w:val="0"/>
          <w:numId w:val="15"/>
        </w:numPr>
        <w:spacing w:after="0" w:line="240" w:lineRule="auto"/>
        <w:ind w:left="567" w:hanging="567"/>
        <w:jc w:val="both"/>
        <w:rPr>
          <w:rFonts w:ascii="Arial" w:hAnsi="Arial" w:cs="Arial"/>
          <w:lang w:eastAsia="cs-CZ"/>
        </w:rPr>
      </w:pPr>
      <w:r>
        <w:rPr>
          <w:rFonts w:ascii="Arial" w:hAnsi="Arial" w:cs="Arial"/>
          <w:lang w:eastAsia="cs-CZ"/>
        </w:rPr>
        <w:t>Kterákoliv ze smluvních stran je dále oprávněna odstoupit od této smlouvy, pokud druhá smluvní strana je v úpadku ve smyslu zákona č. 182/2006 Sb., o úpadku a způsobech jeho řešení (insolvenční zákon), ve znění pozdějších předpisů.</w:t>
      </w:r>
    </w:p>
    <w:p w14:paraId="4C3472B9" w14:textId="77777777" w:rsidR="008F0751" w:rsidRDefault="00B44920">
      <w:pPr>
        <w:pStyle w:val="Standard"/>
        <w:numPr>
          <w:ilvl w:val="0"/>
          <w:numId w:val="15"/>
        </w:numPr>
        <w:spacing w:after="0" w:line="240" w:lineRule="auto"/>
        <w:ind w:left="567" w:hanging="567"/>
        <w:jc w:val="both"/>
        <w:rPr>
          <w:rFonts w:ascii="Arial" w:hAnsi="Arial" w:cs="Arial"/>
          <w:lang w:eastAsia="cs-CZ"/>
        </w:rPr>
      </w:pPr>
      <w:r>
        <w:rPr>
          <w:rFonts w:ascii="Arial" w:hAnsi="Arial" w:cs="Arial"/>
          <w:lang w:eastAsia="cs-CZ"/>
        </w:rPr>
        <w:t>V případě odstoupení kterékoliv ze smluvních stran od této smlouvy, končí platnost a účinnost této smlouvy dnem doručení písemného oznámení o odstoupení od této smlouvy druhé smluvní straně.</w:t>
      </w:r>
    </w:p>
    <w:p w14:paraId="1321F3AF" w14:textId="77777777" w:rsidR="008F0751" w:rsidRDefault="00B44920">
      <w:pPr>
        <w:pStyle w:val="Standard"/>
        <w:numPr>
          <w:ilvl w:val="0"/>
          <w:numId w:val="15"/>
        </w:numPr>
        <w:spacing w:after="0" w:line="240" w:lineRule="auto"/>
        <w:ind w:left="567" w:hanging="567"/>
        <w:jc w:val="both"/>
        <w:rPr>
          <w:rFonts w:ascii="Arial" w:hAnsi="Arial" w:cs="Arial"/>
          <w:lang w:eastAsia="cs-CZ"/>
        </w:rPr>
      </w:pPr>
      <w:r>
        <w:rPr>
          <w:rFonts w:ascii="Arial" w:hAnsi="Arial" w:cs="Arial"/>
          <w:lang w:eastAsia="cs-CZ"/>
        </w:rPr>
        <w:t>Odstoupení nemá vliv na nároky ze smluvních pokut a náhrady škody dle této smlouvy vzniklé před účinnosti odstoupení od této smlouvy.</w:t>
      </w:r>
    </w:p>
    <w:p w14:paraId="188E3733" w14:textId="77777777" w:rsidR="008F0751" w:rsidRDefault="00B44920">
      <w:pPr>
        <w:pStyle w:val="Standard"/>
        <w:numPr>
          <w:ilvl w:val="0"/>
          <w:numId w:val="15"/>
        </w:numPr>
        <w:spacing w:after="0" w:line="240" w:lineRule="auto"/>
        <w:ind w:left="567" w:hanging="567"/>
        <w:jc w:val="both"/>
        <w:rPr>
          <w:rFonts w:ascii="Arial" w:hAnsi="Arial" w:cs="Arial"/>
          <w:lang w:eastAsia="cs-CZ"/>
        </w:rPr>
      </w:pPr>
      <w:r>
        <w:rPr>
          <w:rFonts w:ascii="Arial" w:hAnsi="Arial" w:cs="Arial"/>
          <w:lang w:eastAsia="cs-CZ"/>
        </w:rPr>
        <w:t>V případě předčasného ukončení platnosti této smlouvy jsou si obě smluvní strany povinny vzájemně vyrovnat všechny doposud existující závazky.</w:t>
      </w:r>
    </w:p>
    <w:p w14:paraId="6C4CB642" w14:textId="77777777" w:rsidR="00836FE3" w:rsidRDefault="00836FE3" w:rsidP="003E5CB5">
      <w:pPr>
        <w:pStyle w:val="Standard"/>
        <w:keepNext/>
        <w:spacing w:after="0" w:line="240" w:lineRule="auto"/>
        <w:rPr>
          <w:rFonts w:ascii="Arial" w:eastAsia="Times New Roman" w:hAnsi="Arial" w:cs="Arial"/>
          <w:b/>
          <w:szCs w:val="20"/>
        </w:rPr>
      </w:pPr>
    </w:p>
    <w:p w14:paraId="0A22A57C" w14:textId="6817E51F" w:rsidR="005D0D20" w:rsidRDefault="005D0D20">
      <w:pPr>
        <w:suppressAutoHyphens w:val="0"/>
        <w:rPr>
          <w:rFonts w:ascii="Arial" w:eastAsia="Times New Roman" w:hAnsi="Arial" w:cs="Arial"/>
          <w:b/>
          <w:szCs w:val="20"/>
        </w:rPr>
      </w:pPr>
    </w:p>
    <w:p w14:paraId="76DA905E" w14:textId="369E7278"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 xml:space="preserve">Článek </w:t>
      </w:r>
      <w:r w:rsidR="009D3A70">
        <w:rPr>
          <w:rFonts w:ascii="Arial" w:eastAsia="Times New Roman" w:hAnsi="Arial" w:cs="Arial"/>
          <w:b/>
          <w:szCs w:val="20"/>
        </w:rPr>
        <w:t>6</w:t>
      </w:r>
      <w:r>
        <w:rPr>
          <w:rFonts w:ascii="Arial" w:eastAsia="Times New Roman" w:hAnsi="Arial" w:cs="Arial"/>
          <w:b/>
          <w:szCs w:val="20"/>
        </w:rPr>
        <w:t>.</w:t>
      </w:r>
    </w:p>
    <w:p w14:paraId="39E15DCF" w14:textId="77777777" w:rsidR="008F0751" w:rsidRDefault="00B44920">
      <w:pPr>
        <w:pStyle w:val="Standard"/>
        <w:tabs>
          <w:tab w:val="left" w:pos="0"/>
        </w:tabs>
        <w:spacing w:after="0" w:line="240" w:lineRule="auto"/>
        <w:jc w:val="center"/>
        <w:outlineLvl w:val="4"/>
        <w:rPr>
          <w:rFonts w:ascii="Arial" w:eastAsia="Times New Roman" w:hAnsi="Arial" w:cs="Arial"/>
          <w:b/>
          <w:szCs w:val="20"/>
        </w:rPr>
      </w:pPr>
      <w:r>
        <w:rPr>
          <w:rFonts w:ascii="Arial" w:eastAsia="Times New Roman" w:hAnsi="Arial" w:cs="Arial"/>
          <w:b/>
          <w:szCs w:val="20"/>
        </w:rPr>
        <w:t>Závěrečná ustanovení</w:t>
      </w:r>
    </w:p>
    <w:p w14:paraId="15D8AB30" w14:textId="77777777" w:rsidR="008F0751" w:rsidRDefault="008F0751">
      <w:pPr>
        <w:pStyle w:val="Odstavecseseznamem"/>
        <w:numPr>
          <w:ilvl w:val="0"/>
          <w:numId w:val="25"/>
        </w:numPr>
        <w:spacing w:after="0" w:line="240" w:lineRule="auto"/>
        <w:jc w:val="both"/>
        <w:rPr>
          <w:rFonts w:ascii="Arial" w:eastAsia="Times New Roman" w:hAnsi="Arial" w:cs="Arial"/>
          <w:vanish/>
          <w:szCs w:val="20"/>
        </w:rPr>
      </w:pPr>
    </w:p>
    <w:p w14:paraId="342C13E0" w14:textId="77777777" w:rsidR="008F0751" w:rsidRDefault="00B44920">
      <w:pPr>
        <w:pStyle w:val="Odstavecseseznamem"/>
        <w:numPr>
          <w:ilvl w:val="1"/>
          <w:numId w:val="19"/>
        </w:numPr>
        <w:spacing w:after="0" w:line="240" w:lineRule="auto"/>
        <w:ind w:left="567" w:hanging="567"/>
        <w:jc w:val="both"/>
        <w:rPr>
          <w:rFonts w:ascii="Arial" w:eastAsia="Times New Roman" w:hAnsi="Arial" w:cs="Arial"/>
          <w:szCs w:val="20"/>
        </w:rPr>
      </w:pPr>
      <w:r>
        <w:rPr>
          <w:rFonts w:ascii="Arial" w:eastAsia="Times New Roman" w:hAnsi="Arial" w:cs="Arial"/>
          <w:szCs w:val="20"/>
        </w:rPr>
        <w:t>Tato smlouva je vyhotovena ve dvou (2) vyhotoveních, z nichž každé má platnost originálu. Každá ze smluvních stran obdrží jedno (1) vyhotovení.</w:t>
      </w:r>
    </w:p>
    <w:p w14:paraId="5EC49CE6" w14:textId="41359B58" w:rsidR="000B40CD" w:rsidRPr="003E5CB5" w:rsidRDefault="000B40CD" w:rsidP="003E5CB5">
      <w:pPr>
        <w:pStyle w:val="Odstavecseseznamem"/>
        <w:numPr>
          <w:ilvl w:val="1"/>
          <w:numId w:val="19"/>
        </w:numPr>
        <w:spacing w:after="0" w:line="240" w:lineRule="auto"/>
        <w:ind w:left="567" w:hanging="567"/>
        <w:jc w:val="both"/>
        <w:rPr>
          <w:rFonts w:ascii="Arial" w:eastAsia="Times New Roman" w:hAnsi="Arial" w:cs="Arial"/>
          <w:szCs w:val="20"/>
        </w:rPr>
      </w:pPr>
      <w:r>
        <w:rPr>
          <w:rFonts w:ascii="Arial" w:eastAsia="Times New Roman" w:hAnsi="Arial" w:cs="Arial"/>
          <w:szCs w:val="20"/>
        </w:rPr>
        <w:t>S</w:t>
      </w:r>
      <w:r w:rsidRPr="003E5CB5">
        <w:rPr>
          <w:rFonts w:ascii="Arial" w:eastAsia="Times New Roman" w:hAnsi="Arial" w:cs="Arial"/>
          <w:szCs w:val="20"/>
        </w:rPr>
        <w:t>pory vzniklé v souvislosti s touto smlouvou a jejím prováděním se smluvní strany pokusí řešit cestou vzájemné dohody prostřednictvím svých pověřených zástupců.</w:t>
      </w:r>
      <w:r>
        <w:rPr>
          <w:rFonts w:ascii="Arial" w:eastAsia="Times New Roman" w:hAnsi="Arial" w:cs="Arial"/>
          <w:szCs w:val="20"/>
        </w:rPr>
        <w:t xml:space="preserve"> </w:t>
      </w:r>
      <w:r w:rsidRPr="000B40CD">
        <w:rPr>
          <w:rFonts w:ascii="Arial" w:eastAsia="Times New Roman" w:hAnsi="Arial" w:cs="Arial"/>
          <w:szCs w:val="20"/>
        </w:rPr>
        <w:t>V případě soudního sporu bude tento spor řešit příslušný obecný soud</w:t>
      </w:r>
      <w:r>
        <w:rPr>
          <w:rFonts w:ascii="Arial" w:eastAsia="Times New Roman" w:hAnsi="Arial" w:cs="Arial"/>
          <w:szCs w:val="20"/>
        </w:rPr>
        <w:t xml:space="preserve"> </w:t>
      </w:r>
      <w:r w:rsidRPr="003E5CB5">
        <w:rPr>
          <w:rFonts w:ascii="Arial" w:eastAsia="Times New Roman" w:hAnsi="Arial" w:cs="Arial"/>
          <w:b/>
          <w:bCs/>
          <w:szCs w:val="20"/>
        </w:rPr>
        <w:t>klienta</w:t>
      </w:r>
      <w:r>
        <w:rPr>
          <w:rFonts w:ascii="Arial" w:eastAsia="Times New Roman" w:hAnsi="Arial" w:cs="Arial"/>
          <w:szCs w:val="20"/>
        </w:rPr>
        <w:t>.</w:t>
      </w:r>
    </w:p>
    <w:p w14:paraId="1A033E23" w14:textId="3D76799D" w:rsidR="008F0751" w:rsidRPr="003E5CB5" w:rsidRDefault="00B44920" w:rsidP="00DD55DB">
      <w:pPr>
        <w:pStyle w:val="Odstavecseseznamem"/>
        <w:numPr>
          <w:ilvl w:val="1"/>
          <w:numId w:val="19"/>
        </w:numPr>
        <w:spacing w:after="0" w:line="240" w:lineRule="auto"/>
        <w:ind w:left="567" w:hanging="567"/>
        <w:jc w:val="both"/>
        <w:rPr>
          <w:rFonts w:ascii="Arial" w:eastAsia="Times New Roman" w:hAnsi="Arial" w:cs="Arial"/>
          <w:szCs w:val="20"/>
        </w:rPr>
      </w:pPr>
      <w:r w:rsidRPr="003E5CB5">
        <w:rPr>
          <w:rFonts w:ascii="Arial" w:eastAsia="Times New Roman" w:hAnsi="Arial" w:cs="Arial"/>
          <w:szCs w:val="20"/>
        </w:rPr>
        <w:t>Pokud jakákoliv ustanovení nebo jakékoliv části ustanovení této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w:t>
      </w:r>
      <w:r w:rsidR="00B372B8" w:rsidRPr="003E5CB5">
        <w:rPr>
          <w:rFonts w:ascii="Arial" w:eastAsia="Times New Roman" w:hAnsi="Arial" w:cs="Arial"/>
          <w:szCs w:val="20"/>
        </w:rPr>
        <w:t>,</w:t>
      </w:r>
      <w:r w:rsidRPr="003E5CB5">
        <w:rPr>
          <w:rFonts w:ascii="Arial" w:eastAsia="Times New Roman" w:hAnsi="Arial" w:cs="Arial"/>
          <w:szCs w:val="20"/>
        </w:rPr>
        <w:t xml:space="preserve"> a práva a povinnosti smluvních stran se budou vykládat přiměřeně. Smluvní strany se dále zavazují, že budou navzájem spolupracovat s cílem nahradit takové neplatné nebo nevymahatelné ustanovení </w:t>
      </w:r>
      <w:r w:rsidRPr="003E5CB5">
        <w:rPr>
          <w:rFonts w:ascii="Arial" w:eastAsia="Times New Roman" w:hAnsi="Arial" w:cs="Arial"/>
          <w:szCs w:val="20"/>
        </w:rPr>
        <w:lastRenderedPageBreak/>
        <w:t>platným a vymahatelným ustanovením, jímž bude dosaženo stejného ekonomického výsledku (v maximálním možném rozsahu v souladu s právními předpisy), jako bylo zamýšleno ustanovením, jež bylo shledáno neplatným či nevymahatelným.</w:t>
      </w:r>
    </w:p>
    <w:p w14:paraId="0E046595" w14:textId="28BD21FB" w:rsidR="00A72AD5" w:rsidRDefault="00A72AD5">
      <w:pPr>
        <w:pStyle w:val="Odstavecseseznamem"/>
        <w:numPr>
          <w:ilvl w:val="1"/>
          <w:numId w:val="19"/>
        </w:numPr>
        <w:spacing w:after="0" w:line="240" w:lineRule="auto"/>
        <w:ind w:left="567" w:hanging="567"/>
        <w:jc w:val="both"/>
        <w:rPr>
          <w:rFonts w:ascii="Arial" w:eastAsia="Times New Roman" w:hAnsi="Arial" w:cs="Arial"/>
          <w:szCs w:val="20"/>
        </w:rPr>
      </w:pPr>
      <w:r>
        <w:rPr>
          <w:rFonts w:ascii="Arial" w:eastAsia="Times New Roman" w:hAnsi="Arial" w:cs="Arial"/>
          <w:szCs w:val="20"/>
        </w:rPr>
        <w:t xml:space="preserve">V souladu s nařízením Evropského parlamentu a Rady (EU) 2016/679 o ochraně fyzických osob v souvislosti se zpracováním osobních údajů a o volném pohybu těchto údajů a o zrušení směrnice 95/46/ES, budou smluvní strany při plnění závazků vyplývajících z této smlouvy vždy postupovat v souladu s podmínkami uvedenými v dokumentu </w:t>
      </w:r>
      <w:r w:rsidRPr="003E5CB5">
        <w:rPr>
          <w:rFonts w:ascii="Arial" w:eastAsia="Times New Roman" w:hAnsi="Arial" w:cs="Arial"/>
          <w:b/>
          <w:bCs/>
          <w:szCs w:val="20"/>
        </w:rPr>
        <w:t>Informace o ochraně osobních údajů</w:t>
      </w:r>
      <w:r>
        <w:rPr>
          <w:rFonts w:ascii="Arial" w:eastAsia="Times New Roman" w:hAnsi="Arial" w:cs="Arial"/>
          <w:szCs w:val="20"/>
        </w:rPr>
        <w:t xml:space="preserve">, v aktuálním znění, který vydal Úřad průmyslového vlastnictví a který tvoří </w:t>
      </w:r>
      <w:r w:rsidR="00703236">
        <w:rPr>
          <w:rFonts w:ascii="Arial" w:eastAsia="Times New Roman" w:hAnsi="Arial" w:cs="Arial"/>
          <w:szCs w:val="20"/>
        </w:rPr>
        <w:t>P</w:t>
      </w:r>
      <w:r>
        <w:rPr>
          <w:rFonts w:ascii="Arial" w:eastAsia="Times New Roman" w:hAnsi="Arial" w:cs="Arial"/>
          <w:szCs w:val="20"/>
        </w:rPr>
        <w:t>řílohu č.</w:t>
      </w:r>
      <w:r w:rsidR="003F00F1">
        <w:rPr>
          <w:rFonts w:ascii="Arial" w:eastAsia="Times New Roman" w:hAnsi="Arial" w:cs="Arial"/>
          <w:szCs w:val="20"/>
        </w:rPr>
        <w:t xml:space="preserve"> 4</w:t>
      </w:r>
      <w:r w:rsidR="00703236">
        <w:rPr>
          <w:rFonts w:ascii="Arial" w:eastAsia="Times New Roman" w:hAnsi="Arial" w:cs="Arial"/>
          <w:szCs w:val="20"/>
        </w:rPr>
        <w:t xml:space="preserve"> </w:t>
      </w:r>
      <w:r>
        <w:rPr>
          <w:rFonts w:ascii="Arial" w:eastAsia="Times New Roman" w:hAnsi="Arial" w:cs="Arial"/>
          <w:szCs w:val="20"/>
        </w:rPr>
        <w:t>této smlouvy.</w:t>
      </w:r>
    </w:p>
    <w:p w14:paraId="21B29BB9" w14:textId="1D7EA69A" w:rsidR="007E6783" w:rsidRDefault="007E6783">
      <w:pPr>
        <w:pStyle w:val="Odstavecseseznamem"/>
        <w:numPr>
          <w:ilvl w:val="1"/>
          <w:numId w:val="19"/>
        </w:numPr>
        <w:spacing w:after="0" w:line="240" w:lineRule="auto"/>
        <w:ind w:left="567" w:hanging="567"/>
        <w:jc w:val="both"/>
        <w:rPr>
          <w:rFonts w:ascii="Arial" w:eastAsia="Times New Roman" w:hAnsi="Arial" w:cs="Arial"/>
          <w:szCs w:val="20"/>
        </w:rPr>
      </w:pPr>
      <w:r>
        <w:rPr>
          <w:rFonts w:ascii="Arial" w:eastAsia="Times New Roman" w:hAnsi="Arial" w:cs="Arial"/>
          <w:szCs w:val="20"/>
        </w:rPr>
        <w:t>Smluvní strany se dohodly, s přihlédnutím k zákonu č. 110/2019 Sb., o zpracování osobních údajů, ve znění pozdějších předpisů, že tuto smlouvu vč</w:t>
      </w:r>
      <w:r w:rsidR="0070721C">
        <w:rPr>
          <w:rFonts w:ascii="Arial" w:eastAsia="Times New Roman" w:hAnsi="Arial" w:cs="Arial"/>
          <w:szCs w:val="20"/>
        </w:rPr>
        <w:t>etně</w:t>
      </w:r>
      <w:r>
        <w:rPr>
          <w:rFonts w:ascii="Arial" w:eastAsia="Times New Roman" w:hAnsi="Arial" w:cs="Arial"/>
          <w:szCs w:val="20"/>
        </w:rPr>
        <w:t xml:space="preserve"> příloh elektronicky zveřejní.</w:t>
      </w:r>
    </w:p>
    <w:p w14:paraId="56808015" w14:textId="594DF1A4" w:rsidR="007E6783" w:rsidRDefault="007E6783">
      <w:pPr>
        <w:pStyle w:val="Odstavecseseznamem"/>
        <w:numPr>
          <w:ilvl w:val="1"/>
          <w:numId w:val="19"/>
        </w:numPr>
        <w:spacing w:after="0" w:line="240" w:lineRule="auto"/>
        <w:ind w:left="567" w:hanging="567"/>
        <w:jc w:val="both"/>
        <w:rPr>
          <w:rFonts w:ascii="Arial" w:eastAsia="Times New Roman" w:hAnsi="Arial" w:cs="Arial"/>
          <w:szCs w:val="20"/>
        </w:rPr>
      </w:pPr>
      <w:r>
        <w:rPr>
          <w:rFonts w:ascii="Arial" w:eastAsia="Times New Roman" w:hAnsi="Arial" w:cs="Arial"/>
          <w:szCs w:val="20"/>
        </w:rPr>
        <w:t xml:space="preserve">Uveřejnění smlouvy v Registru smluv podle zákona č. 340/2015 Sb., o registru smluv, ve znění pozdějších předpisů, zajistí </w:t>
      </w:r>
      <w:r w:rsidRPr="00706C37">
        <w:rPr>
          <w:rFonts w:ascii="Arial" w:eastAsia="Times New Roman" w:hAnsi="Arial" w:cs="Arial"/>
          <w:b/>
          <w:bCs/>
          <w:szCs w:val="20"/>
        </w:rPr>
        <w:t>klient</w:t>
      </w:r>
      <w:r>
        <w:rPr>
          <w:rFonts w:ascii="Arial" w:eastAsia="Times New Roman" w:hAnsi="Arial" w:cs="Arial"/>
          <w:szCs w:val="20"/>
        </w:rPr>
        <w:t>, a to bez odkladu po obdržení podepsané smlouvy oběma smluvními stranami.</w:t>
      </w:r>
    </w:p>
    <w:p w14:paraId="09737C51" w14:textId="779A3A7C" w:rsidR="008F0751" w:rsidRDefault="00B44920">
      <w:pPr>
        <w:pStyle w:val="Odstavecseseznamem"/>
        <w:numPr>
          <w:ilvl w:val="1"/>
          <w:numId w:val="19"/>
        </w:numPr>
        <w:spacing w:after="0" w:line="240" w:lineRule="auto"/>
        <w:ind w:left="567" w:hanging="567"/>
        <w:jc w:val="both"/>
      </w:pPr>
      <w:r>
        <w:rPr>
          <w:rFonts w:ascii="Arial" w:hAnsi="Arial" w:cs="Arial"/>
          <w:lang w:eastAsia="cs-CZ"/>
        </w:rPr>
        <w:t xml:space="preserve">Tato </w:t>
      </w:r>
      <w:r>
        <w:rPr>
          <w:rFonts w:ascii="Arial" w:eastAsia="Times New Roman" w:hAnsi="Arial" w:cs="Arial"/>
          <w:szCs w:val="20"/>
        </w:rPr>
        <w:t>smlouva</w:t>
      </w:r>
      <w:r>
        <w:rPr>
          <w:rFonts w:ascii="Arial" w:hAnsi="Arial" w:cs="Arial"/>
          <w:lang w:eastAsia="cs-CZ"/>
        </w:rPr>
        <w:t xml:space="preserve"> vstupuje v platnost dnem podpisu oběma smluvními stranami a účinnosti nabývá dnem, kdy návrh na přijetí nabývá účinnosti</w:t>
      </w:r>
      <w:r w:rsidR="00BF58B2">
        <w:rPr>
          <w:rFonts w:ascii="Arial" w:hAnsi="Arial" w:cs="Arial"/>
          <w:lang w:eastAsia="cs-CZ"/>
        </w:rPr>
        <w:t>, přičemž účinnost smlouvy je podmíněna jejím uveřejněním v Registru smluv.</w:t>
      </w:r>
    </w:p>
    <w:p w14:paraId="2E74DA5C" w14:textId="77777777" w:rsidR="008F0751" w:rsidRDefault="00B44920">
      <w:pPr>
        <w:pStyle w:val="Odstavecseseznamem"/>
        <w:numPr>
          <w:ilvl w:val="1"/>
          <w:numId w:val="19"/>
        </w:numPr>
        <w:spacing w:after="0" w:line="240" w:lineRule="auto"/>
        <w:ind w:left="567" w:hanging="567"/>
        <w:jc w:val="both"/>
        <w:rPr>
          <w:rFonts w:ascii="Arial" w:eastAsia="Times New Roman" w:hAnsi="Arial" w:cs="Arial"/>
          <w:szCs w:val="20"/>
        </w:rPr>
      </w:pPr>
      <w:r>
        <w:rPr>
          <w:rFonts w:ascii="Arial" w:eastAsia="Times New Roman" w:hAnsi="Arial" w:cs="Arial"/>
          <w:szCs w:val="20"/>
        </w:rPr>
        <w:t>Strany prohlašují, že tato smlouva je projevem jejich pravé a svobodné vůle, na důkaz čehož oprávnění zástupci stran připojují své podpisy.</w:t>
      </w:r>
    </w:p>
    <w:p w14:paraId="53E9D855" w14:textId="77777777" w:rsidR="008F0751" w:rsidRDefault="008F0751">
      <w:pPr>
        <w:pStyle w:val="Odstavecseseznamem"/>
        <w:spacing w:after="0" w:line="240" w:lineRule="auto"/>
        <w:ind w:left="567" w:hanging="567"/>
        <w:jc w:val="both"/>
        <w:rPr>
          <w:rFonts w:ascii="Arial" w:eastAsia="Times New Roman" w:hAnsi="Arial" w:cs="Arial"/>
          <w:szCs w:val="20"/>
        </w:rPr>
      </w:pPr>
    </w:p>
    <w:p w14:paraId="4D1D17B5" w14:textId="77777777" w:rsidR="008F0751" w:rsidRDefault="008F0751">
      <w:pPr>
        <w:pStyle w:val="Odstavecseseznamem"/>
        <w:spacing w:after="0" w:line="240" w:lineRule="auto"/>
        <w:ind w:left="567" w:hanging="567"/>
        <w:jc w:val="both"/>
        <w:rPr>
          <w:rFonts w:ascii="Arial" w:eastAsia="Times New Roman" w:hAnsi="Arial" w:cs="Arial"/>
          <w:szCs w:val="20"/>
        </w:rPr>
      </w:pPr>
    </w:p>
    <w:p w14:paraId="70236AFE" w14:textId="77777777" w:rsidR="008F0751" w:rsidRDefault="00B44920">
      <w:pPr>
        <w:pStyle w:val="Standard"/>
        <w:spacing w:after="0" w:line="240" w:lineRule="auto"/>
        <w:rPr>
          <w:rFonts w:ascii="Arial" w:eastAsia="Times New Roman" w:hAnsi="Arial" w:cs="Arial"/>
          <w:szCs w:val="20"/>
        </w:rPr>
      </w:pPr>
      <w:r>
        <w:rPr>
          <w:rFonts w:ascii="Arial" w:eastAsia="Times New Roman" w:hAnsi="Arial" w:cs="Arial"/>
          <w:szCs w:val="20"/>
        </w:rPr>
        <w:t>Součástí smlouvy je:</w:t>
      </w:r>
      <w:r>
        <w:rPr>
          <w:rFonts w:ascii="Arial" w:eastAsia="Times New Roman" w:hAnsi="Arial" w:cs="Arial"/>
          <w:szCs w:val="20"/>
        </w:rPr>
        <w:br/>
      </w:r>
    </w:p>
    <w:p w14:paraId="19CC963A" w14:textId="77777777" w:rsidR="008F0751" w:rsidRDefault="00B44920">
      <w:pPr>
        <w:pStyle w:val="Standard"/>
        <w:numPr>
          <w:ilvl w:val="0"/>
          <w:numId w:val="26"/>
        </w:numPr>
        <w:spacing w:after="0" w:line="240" w:lineRule="auto"/>
        <w:rPr>
          <w:rFonts w:ascii="Arial" w:eastAsia="Times New Roman" w:hAnsi="Arial" w:cs="Arial"/>
          <w:szCs w:val="20"/>
        </w:rPr>
      </w:pPr>
      <w:r>
        <w:rPr>
          <w:rFonts w:ascii="Arial" w:eastAsia="Times New Roman" w:hAnsi="Arial" w:cs="Arial"/>
          <w:szCs w:val="20"/>
        </w:rPr>
        <w:t>příloha č. 1 – Identifikace dobíjecích stojanů a rozpis ceny za poskytování servisních a provozních dat</w:t>
      </w:r>
    </w:p>
    <w:p w14:paraId="1D433C4B" w14:textId="72C29F87" w:rsidR="00703236" w:rsidRDefault="00703236">
      <w:pPr>
        <w:pStyle w:val="Standard"/>
        <w:numPr>
          <w:ilvl w:val="0"/>
          <w:numId w:val="26"/>
        </w:numPr>
        <w:spacing w:after="0" w:line="240" w:lineRule="auto"/>
        <w:rPr>
          <w:rFonts w:ascii="Arial" w:eastAsia="Times New Roman" w:hAnsi="Arial" w:cs="Arial"/>
          <w:szCs w:val="20"/>
        </w:rPr>
      </w:pPr>
      <w:r>
        <w:rPr>
          <w:rFonts w:ascii="Arial" w:eastAsia="Times New Roman" w:hAnsi="Arial" w:cs="Arial"/>
          <w:szCs w:val="20"/>
        </w:rPr>
        <w:t xml:space="preserve">příloha č. </w:t>
      </w:r>
      <w:r w:rsidR="003F00F1">
        <w:rPr>
          <w:rFonts w:ascii="Arial" w:eastAsia="Times New Roman" w:hAnsi="Arial" w:cs="Arial"/>
          <w:szCs w:val="20"/>
        </w:rPr>
        <w:t>2</w:t>
      </w:r>
      <w:r>
        <w:rPr>
          <w:rFonts w:ascii="Arial" w:eastAsia="Times New Roman" w:hAnsi="Arial" w:cs="Arial"/>
          <w:szCs w:val="20"/>
        </w:rPr>
        <w:t xml:space="preserve"> – Protokol o seznámení s interními předpisy</w:t>
      </w:r>
    </w:p>
    <w:p w14:paraId="2D96A2B1" w14:textId="410E1D31" w:rsidR="00703236" w:rsidRDefault="00703236">
      <w:pPr>
        <w:pStyle w:val="Standard"/>
        <w:numPr>
          <w:ilvl w:val="0"/>
          <w:numId w:val="26"/>
        </w:numPr>
        <w:spacing w:after="0" w:line="240" w:lineRule="auto"/>
        <w:rPr>
          <w:rFonts w:ascii="Arial" w:eastAsia="Times New Roman" w:hAnsi="Arial" w:cs="Arial"/>
          <w:szCs w:val="20"/>
        </w:rPr>
      </w:pPr>
      <w:r>
        <w:rPr>
          <w:rFonts w:ascii="Arial" w:eastAsia="Times New Roman" w:hAnsi="Arial" w:cs="Arial"/>
          <w:szCs w:val="20"/>
        </w:rPr>
        <w:t xml:space="preserve">příloha č. </w:t>
      </w:r>
      <w:r w:rsidR="003F00F1">
        <w:rPr>
          <w:rFonts w:ascii="Arial" w:eastAsia="Times New Roman" w:hAnsi="Arial" w:cs="Arial"/>
          <w:szCs w:val="20"/>
        </w:rPr>
        <w:t>3</w:t>
      </w:r>
      <w:r>
        <w:rPr>
          <w:rFonts w:ascii="Arial" w:eastAsia="Times New Roman" w:hAnsi="Arial" w:cs="Arial"/>
          <w:szCs w:val="20"/>
        </w:rPr>
        <w:t xml:space="preserve"> – Manuál pro dodavatele</w:t>
      </w:r>
    </w:p>
    <w:p w14:paraId="3E0F0090" w14:textId="1F291C31" w:rsidR="0070721C" w:rsidRDefault="0070721C">
      <w:pPr>
        <w:pStyle w:val="Standard"/>
        <w:numPr>
          <w:ilvl w:val="0"/>
          <w:numId w:val="26"/>
        </w:numPr>
        <w:spacing w:after="0" w:line="240" w:lineRule="auto"/>
        <w:rPr>
          <w:rFonts w:ascii="Arial" w:eastAsia="Times New Roman" w:hAnsi="Arial" w:cs="Arial"/>
          <w:szCs w:val="20"/>
        </w:rPr>
      </w:pPr>
      <w:r>
        <w:rPr>
          <w:rFonts w:ascii="Arial" w:eastAsia="Times New Roman" w:hAnsi="Arial" w:cs="Arial"/>
          <w:szCs w:val="20"/>
        </w:rPr>
        <w:t xml:space="preserve">příloha č. </w:t>
      </w:r>
      <w:r w:rsidR="003F00F1">
        <w:rPr>
          <w:rFonts w:ascii="Arial" w:eastAsia="Times New Roman" w:hAnsi="Arial" w:cs="Arial"/>
          <w:szCs w:val="20"/>
        </w:rPr>
        <w:t>4</w:t>
      </w:r>
      <w:r>
        <w:rPr>
          <w:rFonts w:ascii="Arial" w:eastAsia="Times New Roman" w:hAnsi="Arial" w:cs="Arial"/>
          <w:szCs w:val="20"/>
        </w:rPr>
        <w:t xml:space="preserve"> – Informace o ochraně osobních údajů</w:t>
      </w:r>
    </w:p>
    <w:p w14:paraId="5D407EE6" w14:textId="05F634F5" w:rsidR="00836FE3" w:rsidRDefault="00836FE3">
      <w:pPr>
        <w:suppressAutoHyphens w:val="0"/>
        <w:rPr>
          <w:rFonts w:ascii="Arial" w:eastAsia="Times New Roman" w:hAnsi="Arial" w:cs="Arial"/>
          <w:szCs w:val="20"/>
        </w:rPr>
      </w:pPr>
    </w:p>
    <w:p w14:paraId="0EEB19FD" w14:textId="77777777" w:rsidR="00877B7F" w:rsidRDefault="00877B7F">
      <w:pPr>
        <w:suppressAutoHyphens w:val="0"/>
        <w:rPr>
          <w:rFonts w:ascii="Arial" w:eastAsia="Times New Roman" w:hAnsi="Arial" w:cs="Arial"/>
          <w:szCs w:val="20"/>
        </w:rPr>
      </w:pPr>
    </w:p>
    <w:p w14:paraId="4A3D5AF4" w14:textId="6E40E4F4" w:rsidR="008F0751" w:rsidRDefault="00B44920">
      <w:pPr>
        <w:pStyle w:val="Standard"/>
        <w:tabs>
          <w:tab w:val="left" w:pos="709"/>
          <w:tab w:val="left" w:pos="1418"/>
          <w:tab w:val="left" w:pos="2126"/>
          <w:tab w:val="left" w:pos="2835"/>
          <w:tab w:val="left" w:pos="4536"/>
          <w:tab w:val="right" w:pos="7876"/>
        </w:tabs>
        <w:spacing w:after="0" w:line="240" w:lineRule="auto"/>
        <w:jc w:val="both"/>
      </w:pPr>
      <w:r>
        <w:rPr>
          <w:rFonts w:ascii="Arial" w:eastAsia="Times New Roman" w:hAnsi="Arial" w:cs="Arial"/>
          <w:szCs w:val="20"/>
        </w:rPr>
        <w:t>V</w:t>
      </w:r>
      <w:r w:rsidR="009C206B">
        <w:rPr>
          <w:rFonts w:ascii="Arial" w:eastAsia="Times New Roman" w:hAnsi="Arial" w:cs="Arial"/>
          <w:szCs w:val="20"/>
        </w:rPr>
        <w:t> </w:t>
      </w:r>
      <w:r>
        <w:rPr>
          <w:rFonts w:ascii="Arial" w:eastAsia="Times New Roman" w:hAnsi="Arial" w:cs="Arial"/>
          <w:szCs w:val="20"/>
        </w:rPr>
        <w:t>P</w:t>
      </w:r>
      <w:r w:rsidR="009C206B">
        <w:rPr>
          <w:rFonts w:ascii="Arial" w:eastAsia="Times New Roman" w:hAnsi="Arial" w:cs="Arial"/>
          <w:szCs w:val="20"/>
        </w:rPr>
        <w:t xml:space="preserve">raze </w:t>
      </w:r>
      <w:r>
        <w:rPr>
          <w:rFonts w:ascii="Arial" w:eastAsia="Times New Roman" w:hAnsi="Arial" w:cs="Arial"/>
          <w:szCs w:val="20"/>
        </w:rPr>
        <w:t>dne</w:t>
      </w:r>
    </w:p>
    <w:p w14:paraId="2ED710A4" w14:textId="77777777" w:rsidR="008F0751" w:rsidRDefault="008F0751">
      <w:pPr>
        <w:pStyle w:val="Standard"/>
        <w:tabs>
          <w:tab w:val="left" w:pos="709"/>
          <w:tab w:val="left" w:pos="1418"/>
          <w:tab w:val="left" w:pos="2126"/>
          <w:tab w:val="left" w:pos="2835"/>
          <w:tab w:val="right" w:pos="7876"/>
        </w:tabs>
        <w:spacing w:after="0" w:line="240" w:lineRule="auto"/>
        <w:jc w:val="both"/>
        <w:rPr>
          <w:rFonts w:ascii="Arial" w:eastAsia="Times New Roman" w:hAnsi="Arial" w:cs="Arial"/>
          <w:szCs w:val="20"/>
        </w:rPr>
      </w:pPr>
    </w:p>
    <w:p w14:paraId="0BA640CB" w14:textId="4A9C557B" w:rsidR="008F0751" w:rsidRDefault="008F0751">
      <w:pPr>
        <w:pStyle w:val="Standard"/>
        <w:tabs>
          <w:tab w:val="left" w:pos="709"/>
          <w:tab w:val="left" w:pos="1418"/>
          <w:tab w:val="left" w:pos="2126"/>
          <w:tab w:val="left" w:pos="2835"/>
          <w:tab w:val="right" w:pos="7876"/>
        </w:tabs>
        <w:spacing w:after="0" w:line="240" w:lineRule="auto"/>
        <w:jc w:val="both"/>
        <w:rPr>
          <w:rFonts w:ascii="Arial" w:eastAsia="Times New Roman" w:hAnsi="Arial" w:cs="Arial"/>
          <w:szCs w:val="20"/>
        </w:rPr>
      </w:pPr>
    </w:p>
    <w:p w14:paraId="02E861F8" w14:textId="77777777" w:rsidR="008F0751" w:rsidRDefault="008F0751">
      <w:pPr>
        <w:pStyle w:val="Standard"/>
        <w:tabs>
          <w:tab w:val="left" w:pos="709"/>
          <w:tab w:val="left" w:pos="1418"/>
          <w:tab w:val="left" w:pos="2126"/>
          <w:tab w:val="left" w:pos="2835"/>
          <w:tab w:val="right" w:pos="7876"/>
        </w:tabs>
        <w:spacing w:after="0" w:line="240" w:lineRule="auto"/>
        <w:jc w:val="both"/>
        <w:rPr>
          <w:rFonts w:ascii="Arial" w:eastAsia="Times New Roman" w:hAnsi="Arial" w:cs="Arial"/>
          <w:szCs w:val="20"/>
        </w:rPr>
      </w:pPr>
    </w:p>
    <w:p w14:paraId="28031FD1" w14:textId="6A883ECD" w:rsidR="008F0751" w:rsidRDefault="00B44920">
      <w:pPr>
        <w:pStyle w:val="Standard"/>
        <w:tabs>
          <w:tab w:val="left" w:pos="709"/>
          <w:tab w:val="left" w:pos="1418"/>
          <w:tab w:val="left" w:pos="2126"/>
          <w:tab w:val="left" w:pos="2835"/>
          <w:tab w:val="right" w:pos="7876"/>
        </w:tabs>
        <w:spacing w:after="0" w:line="240" w:lineRule="auto"/>
        <w:jc w:val="both"/>
        <w:rPr>
          <w:rFonts w:ascii="Arial" w:eastAsia="Times New Roman" w:hAnsi="Arial" w:cs="Arial"/>
          <w:szCs w:val="20"/>
        </w:rPr>
      </w:pPr>
      <w:r>
        <w:rPr>
          <w:rFonts w:ascii="Arial" w:eastAsia="Times New Roman" w:hAnsi="Arial" w:cs="Arial"/>
          <w:szCs w:val="20"/>
        </w:rPr>
        <w:t>_____________________</w:t>
      </w:r>
      <w:r>
        <w:rPr>
          <w:rFonts w:ascii="Arial" w:eastAsia="Times New Roman" w:hAnsi="Arial" w:cs="Arial"/>
          <w:szCs w:val="20"/>
        </w:rPr>
        <w:tab/>
      </w:r>
      <w:r w:rsidR="00877B7F">
        <w:rPr>
          <w:rFonts w:ascii="Arial" w:eastAsia="Times New Roman" w:hAnsi="Arial" w:cs="Arial"/>
          <w:szCs w:val="20"/>
        </w:rPr>
        <w:tab/>
      </w:r>
      <w:r>
        <w:rPr>
          <w:rFonts w:ascii="Arial" w:eastAsia="Times New Roman" w:hAnsi="Arial" w:cs="Arial"/>
          <w:szCs w:val="20"/>
        </w:rPr>
        <w:t>_________________________</w:t>
      </w:r>
      <w:r>
        <w:rPr>
          <w:rFonts w:ascii="Arial" w:eastAsia="Times New Roman" w:hAnsi="Arial" w:cs="Arial"/>
          <w:szCs w:val="20"/>
        </w:rPr>
        <w:tab/>
      </w:r>
    </w:p>
    <w:p w14:paraId="1AE85BAA" w14:textId="1A820212" w:rsidR="008F0751" w:rsidRDefault="00C96EA8">
      <w:pPr>
        <w:pStyle w:val="Standard"/>
        <w:spacing w:after="0" w:line="240" w:lineRule="auto"/>
        <w:outlineLvl w:val="4"/>
      </w:pPr>
      <w:r w:rsidRPr="008E5F44">
        <w:rPr>
          <w:rFonts w:ascii="Arial" w:eastAsia="Times New Roman" w:hAnsi="Arial" w:cs="Arial"/>
          <w:b/>
          <w:bCs/>
        </w:rPr>
        <w:t>ČR – Úřad průmyslového vlastnictví</w:t>
      </w:r>
      <w:r w:rsidR="00B44920" w:rsidRPr="008E5F44">
        <w:rPr>
          <w:rFonts w:ascii="Arial" w:eastAsia="Times New Roman" w:hAnsi="Arial" w:cs="Arial"/>
          <w:b/>
          <w:szCs w:val="20"/>
        </w:rPr>
        <w:tab/>
      </w:r>
      <w:r w:rsidR="00B44920">
        <w:rPr>
          <w:rFonts w:ascii="Arial" w:eastAsia="Times New Roman" w:hAnsi="Arial" w:cs="Arial"/>
          <w:b/>
          <w:szCs w:val="20"/>
        </w:rPr>
        <w:tab/>
      </w:r>
      <w:r>
        <w:rPr>
          <w:rFonts w:ascii="Arial" w:eastAsia="Times New Roman" w:hAnsi="Arial" w:cs="Arial"/>
          <w:b/>
          <w:szCs w:val="20"/>
        </w:rPr>
        <w:tab/>
      </w:r>
      <w:proofErr w:type="spellStart"/>
      <w:r w:rsidR="00B44920">
        <w:rPr>
          <w:rFonts w:ascii="Arial" w:eastAsia="Times New Roman" w:hAnsi="Arial" w:cs="Arial"/>
          <w:b/>
          <w:bCs/>
        </w:rPr>
        <w:t>Olife</w:t>
      </w:r>
      <w:proofErr w:type="spellEnd"/>
      <w:r w:rsidR="00B44920">
        <w:rPr>
          <w:rFonts w:ascii="Arial" w:eastAsia="Times New Roman" w:hAnsi="Arial" w:cs="Arial"/>
          <w:b/>
          <w:bCs/>
        </w:rPr>
        <w:t xml:space="preserve"> </w:t>
      </w:r>
      <w:proofErr w:type="spellStart"/>
      <w:r w:rsidR="00B44920">
        <w:rPr>
          <w:rFonts w:ascii="Arial" w:eastAsia="Times New Roman" w:hAnsi="Arial" w:cs="Arial"/>
          <w:b/>
          <w:bCs/>
        </w:rPr>
        <w:t>Energy</w:t>
      </w:r>
      <w:proofErr w:type="spellEnd"/>
      <w:r w:rsidR="00B44920">
        <w:rPr>
          <w:rFonts w:ascii="Arial" w:eastAsia="Times New Roman" w:hAnsi="Arial" w:cs="Arial"/>
          <w:b/>
          <w:bCs/>
        </w:rPr>
        <w:t>, a.s.</w:t>
      </w:r>
    </w:p>
    <w:p w14:paraId="2E12A946" w14:textId="77777777" w:rsidR="009D3A70" w:rsidRDefault="009D3A70">
      <w:r>
        <w:br w:type="page"/>
      </w:r>
    </w:p>
    <w:tbl>
      <w:tblPr>
        <w:tblW w:w="8840" w:type="dxa"/>
        <w:tblLayout w:type="fixed"/>
        <w:tblCellMar>
          <w:left w:w="10" w:type="dxa"/>
          <w:right w:w="10" w:type="dxa"/>
        </w:tblCellMar>
        <w:tblLook w:val="0000" w:firstRow="0" w:lastRow="0" w:firstColumn="0" w:lastColumn="0" w:noHBand="0" w:noVBand="0"/>
      </w:tblPr>
      <w:tblGrid>
        <w:gridCol w:w="8840"/>
      </w:tblGrid>
      <w:tr w:rsidR="008F0751" w14:paraId="11753FDF" w14:textId="77777777">
        <w:trPr>
          <w:trHeight w:val="649"/>
        </w:trPr>
        <w:tc>
          <w:tcPr>
            <w:tcW w:w="8840" w:type="dxa"/>
            <w:shd w:val="clear" w:color="auto" w:fill="auto"/>
            <w:tcMar>
              <w:top w:w="0" w:type="dxa"/>
              <w:left w:w="70" w:type="dxa"/>
              <w:bottom w:w="0" w:type="dxa"/>
              <w:right w:w="70" w:type="dxa"/>
            </w:tcMar>
            <w:vAlign w:val="center"/>
          </w:tcPr>
          <w:p w14:paraId="64399E28" w14:textId="41672C13" w:rsidR="008F0751" w:rsidRDefault="00B44920">
            <w:pPr>
              <w:pStyle w:val="Standard"/>
              <w:spacing w:after="0" w:line="240" w:lineRule="auto"/>
              <w:rPr>
                <w:rFonts w:ascii="Arial" w:eastAsia="Times New Roman" w:hAnsi="Arial" w:cs="Arial"/>
                <w:lang w:eastAsia="cs-CZ"/>
              </w:rPr>
            </w:pPr>
            <w:r>
              <w:rPr>
                <w:rFonts w:ascii="Arial" w:eastAsia="Times New Roman" w:hAnsi="Arial" w:cs="Arial"/>
                <w:lang w:eastAsia="cs-CZ"/>
              </w:rPr>
              <w:lastRenderedPageBreak/>
              <w:t>Příloha č. 1 – Identifikace dobíjecích stojanů a rozpis ceny za poskytování servisních a provozních dat</w:t>
            </w:r>
          </w:p>
        </w:tc>
      </w:tr>
    </w:tbl>
    <w:p w14:paraId="5A201199" w14:textId="77777777" w:rsidR="008F0751" w:rsidRDefault="008F0751">
      <w:pPr>
        <w:pStyle w:val="Standard"/>
        <w:spacing w:after="0" w:line="240" w:lineRule="auto"/>
      </w:pPr>
    </w:p>
    <w:tbl>
      <w:tblPr>
        <w:tblW w:w="9180" w:type="dxa"/>
        <w:tblLayout w:type="fixed"/>
        <w:tblCellMar>
          <w:left w:w="10" w:type="dxa"/>
          <w:right w:w="10" w:type="dxa"/>
        </w:tblCellMar>
        <w:tblLook w:val="0000" w:firstRow="0" w:lastRow="0" w:firstColumn="0" w:lastColumn="0" w:noHBand="0" w:noVBand="0"/>
      </w:tblPr>
      <w:tblGrid>
        <w:gridCol w:w="3060"/>
        <w:gridCol w:w="1080"/>
        <w:gridCol w:w="1260"/>
        <w:gridCol w:w="1192"/>
        <w:gridCol w:w="872"/>
        <w:gridCol w:w="900"/>
        <w:gridCol w:w="816"/>
      </w:tblGrid>
      <w:tr w:rsidR="008F0751" w14:paraId="417FCAFA" w14:textId="77777777">
        <w:tc>
          <w:tcPr>
            <w:tcW w:w="3060"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1B4FEE48" w14:textId="77777777" w:rsidR="008F0751" w:rsidRDefault="00B44920">
            <w:pPr>
              <w:pStyle w:val="TableContents"/>
              <w:jc w:val="center"/>
              <w:rPr>
                <w:b/>
                <w:sz w:val="16"/>
                <w:szCs w:val="16"/>
              </w:rPr>
            </w:pPr>
            <w:r>
              <w:rPr>
                <w:b/>
                <w:sz w:val="16"/>
                <w:szCs w:val="16"/>
              </w:rPr>
              <w:t>Stanice</w:t>
            </w:r>
          </w:p>
        </w:tc>
        <w:tc>
          <w:tcPr>
            <w:tcW w:w="1080"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6474EF82" w14:textId="77777777" w:rsidR="008F0751" w:rsidRDefault="00B44920">
            <w:pPr>
              <w:pStyle w:val="TableContents"/>
              <w:jc w:val="center"/>
              <w:rPr>
                <w:b/>
                <w:sz w:val="14"/>
                <w:szCs w:val="14"/>
              </w:rPr>
            </w:pPr>
            <w:r>
              <w:rPr>
                <w:b/>
                <w:sz w:val="14"/>
                <w:szCs w:val="14"/>
              </w:rPr>
              <w:t>Vzdálený monitoring</w:t>
            </w:r>
          </w:p>
        </w:tc>
        <w:tc>
          <w:tcPr>
            <w:tcW w:w="1260"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751546A2" w14:textId="77777777" w:rsidR="008F0751" w:rsidRDefault="00B44920">
            <w:pPr>
              <w:pStyle w:val="TableContents"/>
              <w:jc w:val="center"/>
              <w:rPr>
                <w:b/>
                <w:sz w:val="14"/>
                <w:szCs w:val="14"/>
              </w:rPr>
            </w:pPr>
            <w:r>
              <w:rPr>
                <w:b/>
                <w:sz w:val="14"/>
                <w:szCs w:val="14"/>
              </w:rPr>
              <w:t>Správa přístupu</w:t>
            </w:r>
          </w:p>
        </w:tc>
        <w:tc>
          <w:tcPr>
            <w:tcW w:w="1192"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4C43B115" w14:textId="77777777" w:rsidR="008F0751" w:rsidRDefault="00B44920">
            <w:pPr>
              <w:pStyle w:val="TableContents"/>
              <w:jc w:val="center"/>
              <w:rPr>
                <w:b/>
                <w:sz w:val="14"/>
                <w:szCs w:val="14"/>
              </w:rPr>
            </w:pPr>
            <w:r>
              <w:rPr>
                <w:b/>
                <w:sz w:val="14"/>
                <w:szCs w:val="14"/>
              </w:rPr>
              <w:t>Řízení výkonu</w:t>
            </w:r>
          </w:p>
        </w:tc>
        <w:tc>
          <w:tcPr>
            <w:tcW w:w="872"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5BED52C3" w14:textId="77777777" w:rsidR="008F0751" w:rsidRDefault="00B44920">
            <w:pPr>
              <w:pStyle w:val="TableContents"/>
              <w:jc w:val="center"/>
              <w:rPr>
                <w:b/>
                <w:sz w:val="14"/>
                <w:szCs w:val="14"/>
              </w:rPr>
            </w:pPr>
            <w:r>
              <w:rPr>
                <w:b/>
                <w:sz w:val="14"/>
                <w:szCs w:val="14"/>
              </w:rPr>
              <w:t>Zpoplatnění</w:t>
            </w:r>
          </w:p>
        </w:tc>
        <w:tc>
          <w:tcPr>
            <w:tcW w:w="900" w:type="dxa"/>
            <w:tcBorders>
              <w:top w:val="single" w:sz="2" w:space="0" w:color="000000"/>
              <w:left w:val="single" w:sz="2" w:space="0" w:color="000000"/>
            </w:tcBorders>
            <w:shd w:val="clear" w:color="auto" w:fill="CCCCCC"/>
            <w:tcMar>
              <w:top w:w="28" w:type="dxa"/>
              <w:left w:w="28" w:type="dxa"/>
              <w:bottom w:w="0" w:type="dxa"/>
              <w:right w:w="0" w:type="dxa"/>
            </w:tcMar>
            <w:vAlign w:val="bottom"/>
          </w:tcPr>
          <w:p w14:paraId="3A8CDE67" w14:textId="77777777" w:rsidR="008F0751" w:rsidRDefault="00B44920">
            <w:pPr>
              <w:pStyle w:val="TableContents"/>
              <w:jc w:val="center"/>
              <w:rPr>
                <w:b/>
                <w:sz w:val="14"/>
                <w:szCs w:val="14"/>
              </w:rPr>
            </w:pPr>
            <w:r>
              <w:rPr>
                <w:b/>
                <w:sz w:val="14"/>
                <w:szCs w:val="14"/>
              </w:rPr>
              <w:t>Konektivita</w:t>
            </w:r>
          </w:p>
        </w:tc>
        <w:tc>
          <w:tcPr>
            <w:tcW w:w="816" w:type="dxa"/>
            <w:tcBorders>
              <w:top w:val="single" w:sz="2" w:space="0" w:color="000000"/>
              <w:left w:val="single" w:sz="2" w:space="0" w:color="000000"/>
              <w:right w:val="single" w:sz="2" w:space="0" w:color="000000"/>
            </w:tcBorders>
            <w:shd w:val="clear" w:color="auto" w:fill="CCCCCC"/>
            <w:tcMar>
              <w:top w:w="28" w:type="dxa"/>
              <w:left w:w="28" w:type="dxa"/>
              <w:bottom w:w="0" w:type="dxa"/>
              <w:right w:w="28" w:type="dxa"/>
            </w:tcMar>
            <w:vAlign w:val="bottom"/>
          </w:tcPr>
          <w:p w14:paraId="493CEDE8" w14:textId="77777777" w:rsidR="008F0751" w:rsidRDefault="00B44920">
            <w:pPr>
              <w:pStyle w:val="TableContents"/>
              <w:jc w:val="center"/>
              <w:rPr>
                <w:b/>
                <w:sz w:val="14"/>
                <w:szCs w:val="14"/>
              </w:rPr>
            </w:pPr>
            <w:r>
              <w:rPr>
                <w:b/>
                <w:sz w:val="14"/>
                <w:szCs w:val="14"/>
              </w:rPr>
              <w:t>Cena Kč / stanice / měsíc</w:t>
            </w:r>
          </w:p>
        </w:tc>
      </w:tr>
      <w:tr w:rsidR="008F0751" w14:paraId="0B70CEB8" w14:textId="77777777">
        <w:trPr>
          <w:trHeight w:hRule="exact" w:val="812"/>
        </w:trPr>
        <w:tc>
          <w:tcPr>
            <w:tcW w:w="3060" w:type="dxa"/>
            <w:tcBorders>
              <w:left w:val="single" w:sz="2" w:space="0" w:color="000000"/>
            </w:tcBorders>
            <w:shd w:val="clear" w:color="auto" w:fill="auto"/>
            <w:tcMar>
              <w:top w:w="0" w:type="dxa"/>
              <w:left w:w="28" w:type="dxa"/>
              <w:bottom w:w="0" w:type="dxa"/>
              <w:right w:w="0" w:type="dxa"/>
            </w:tcMar>
            <w:vAlign w:val="bottom"/>
          </w:tcPr>
          <w:p w14:paraId="5E9AAFA9" w14:textId="09BC4B14" w:rsidR="008F0751" w:rsidRPr="008E5F44" w:rsidRDefault="008E5F44">
            <w:pPr>
              <w:pStyle w:val="TableContents"/>
            </w:pPr>
            <w:r w:rsidRPr="008E5F44">
              <w:rPr>
                <w:rFonts w:ascii="Roboto, sans-serif" w:hAnsi="Roboto, sans-serif"/>
                <w:sz w:val="20"/>
                <w:szCs w:val="20"/>
                <w:shd w:val="clear" w:color="auto" w:fill="FFFF00"/>
              </w:rPr>
              <w:t>UPV_1</w:t>
            </w:r>
          </w:p>
        </w:tc>
        <w:tc>
          <w:tcPr>
            <w:tcW w:w="1080" w:type="dxa"/>
            <w:tcBorders>
              <w:left w:val="single" w:sz="2" w:space="0" w:color="000000"/>
            </w:tcBorders>
            <w:shd w:val="clear" w:color="auto" w:fill="auto"/>
            <w:tcMar>
              <w:top w:w="0" w:type="dxa"/>
              <w:left w:w="28" w:type="dxa"/>
              <w:bottom w:w="0" w:type="dxa"/>
              <w:right w:w="0" w:type="dxa"/>
            </w:tcMar>
            <w:vAlign w:val="bottom"/>
          </w:tcPr>
          <w:p w14:paraId="6F51D43D" w14:textId="77777777" w:rsidR="008F0751" w:rsidRDefault="00B44920">
            <w:pPr>
              <w:pStyle w:val="TableContents"/>
              <w:jc w:val="center"/>
            </w:pPr>
            <w:r>
              <w:t>Ano</w:t>
            </w:r>
          </w:p>
        </w:tc>
        <w:tc>
          <w:tcPr>
            <w:tcW w:w="1260" w:type="dxa"/>
            <w:shd w:val="clear" w:color="auto" w:fill="auto"/>
            <w:tcMar>
              <w:top w:w="28" w:type="dxa"/>
              <w:left w:w="28" w:type="dxa"/>
              <w:bottom w:w="28" w:type="dxa"/>
              <w:right w:w="28" w:type="dxa"/>
            </w:tcMar>
            <w:vAlign w:val="bottom"/>
          </w:tcPr>
          <w:p w14:paraId="31480CF1" w14:textId="77777777" w:rsidR="008F0751" w:rsidRDefault="00B44920">
            <w:pPr>
              <w:pStyle w:val="TableContents"/>
              <w:jc w:val="center"/>
            </w:pPr>
            <w:r>
              <w:t>Ano</w:t>
            </w:r>
          </w:p>
        </w:tc>
        <w:tc>
          <w:tcPr>
            <w:tcW w:w="1192" w:type="dxa"/>
            <w:shd w:val="clear" w:color="auto" w:fill="auto"/>
            <w:tcMar>
              <w:top w:w="28" w:type="dxa"/>
              <w:left w:w="28" w:type="dxa"/>
              <w:bottom w:w="28" w:type="dxa"/>
              <w:right w:w="28" w:type="dxa"/>
            </w:tcMar>
            <w:vAlign w:val="bottom"/>
          </w:tcPr>
          <w:p w14:paraId="342538DE" w14:textId="77777777" w:rsidR="008F0751" w:rsidRDefault="00B44920">
            <w:pPr>
              <w:pStyle w:val="TableContents"/>
              <w:jc w:val="center"/>
            </w:pPr>
            <w:r>
              <w:t>Ne</w:t>
            </w:r>
          </w:p>
        </w:tc>
        <w:tc>
          <w:tcPr>
            <w:tcW w:w="872" w:type="dxa"/>
            <w:tcBorders>
              <w:right w:val="single" w:sz="2" w:space="0" w:color="000000"/>
            </w:tcBorders>
            <w:shd w:val="clear" w:color="auto" w:fill="auto"/>
            <w:tcMar>
              <w:top w:w="0" w:type="dxa"/>
              <w:left w:w="0" w:type="dxa"/>
              <w:bottom w:w="0" w:type="dxa"/>
              <w:right w:w="28" w:type="dxa"/>
            </w:tcMar>
            <w:vAlign w:val="bottom"/>
          </w:tcPr>
          <w:p w14:paraId="130362C9" w14:textId="08962F74" w:rsidR="008F0751" w:rsidRDefault="00926685">
            <w:pPr>
              <w:pStyle w:val="TableContents"/>
              <w:jc w:val="center"/>
            </w:pPr>
            <w:r>
              <w:t>Ne</w:t>
            </w:r>
          </w:p>
        </w:tc>
        <w:tc>
          <w:tcPr>
            <w:tcW w:w="900" w:type="dxa"/>
            <w:tcBorders>
              <w:right w:val="single" w:sz="2" w:space="0" w:color="000000"/>
            </w:tcBorders>
            <w:shd w:val="clear" w:color="auto" w:fill="auto"/>
            <w:tcMar>
              <w:top w:w="0" w:type="dxa"/>
              <w:left w:w="0" w:type="dxa"/>
              <w:bottom w:w="0" w:type="dxa"/>
              <w:right w:w="28" w:type="dxa"/>
            </w:tcMar>
            <w:vAlign w:val="bottom"/>
          </w:tcPr>
          <w:p w14:paraId="03F16D19" w14:textId="77777777" w:rsidR="008F0751" w:rsidRDefault="00B44920">
            <w:pPr>
              <w:pStyle w:val="TableContents"/>
              <w:jc w:val="center"/>
            </w:pPr>
            <w:r>
              <w:t>Ne</w:t>
            </w: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5FF314C6" w14:textId="04A7307D" w:rsidR="008F0751" w:rsidRDefault="00926685">
            <w:pPr>
              <w:pStyle w:val="TableContents"/>
              <w:jc w:val="right"/>
            </w:pPr>
            <w:r>
              <w:t>200</w:t>
            </w:r>
          </w:p>
        </w:tc>
      </w:tr>
      <w:tr w:rsidR="008F0751" w14:paraId="058A6643"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01B713B5" w14:textId="77777777" w:rsidR="008F0751" w:rsidRDefault="008F075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677BB655" w14:textId="77777777" w:rsidR="008F0751" w:rsidRDefault="008F0751">
            <w:pPr>
              <w:pStyle w:val="TableContents"/>
              <w:jc w:val="center"/>
            </w:pPr>
          </w:p>
        </w:tc>
        <w:tc>
          <w:tcPr>
            <w:tcW w:w="1260" w:type="dxa"/>
            <w:shd w:val="clear" w:color="auto" w:fill="auto"/>
            <w:tcMar>
              <w:top w:w="28" w:type="dxa"/>
              <w:left w:w="28" w:type="dxa"/>
              <w:bottom w:w="28" w:type="dxa"/>
              <w:right w:w="28" w:type="dxa"/>
            </w:tcMar>
            <w:vAlign w:val="bottom"/>
          </w:tcPr>
          <w:p w14:paraId="100EC1D6" w14:textId="77777777" w:rsidR="008F0751" w:rsidRDefault="008F0751">
            <w:pPr>
              <w:pStyle w:val="TableContents"/>
              <w:jc w:val="center"/>
            </w:pPr>
          </w:p>
        </w:tc>
        <w:tc>
          <w:tcPr>
            <w:tcW w:w="1192" w:type="dxa"/>
            <w:shd w:val="clear" w:color="auto" w:fill="auto"/>
            <w:tcMar>
              <w:top w:w="28" w:type="dxa"/>
              <w:left w:w="28" w:type="dxa"/>
              <w:bottom w:w="28" w:type="dxa"/>
              <w:right w:w="28" w:type="dxa"/>
            </w:tcMar>
            <w:vAlign w:val="bottom"/>
          </w:tcPr>
          <w:p w14:paraId="212EE8E4" w14:textId="77777777" w:rsidR="008F0751" w:rsidRDefault="008F075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1FA92482" w14:textId="77777777" w:rsidR="008F0751" w:rsidRDefault="008F075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36EA531D" w14:textId="77777777" w:rsidR="008F0751" w:rsidRDefault="008F075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568348BD" w14:textId="77777777" w:rsidR="008F0751" w:rsidRDefault="008F0751">
            <w:pPr>
              <w:pStyle w:val="TableContents"/>
              <w:jc w:val="right"/>
            </w:pPr>
          </w:p>
        </w:tc>
      </w:tr>
      <w:tr w:rsidR="00766A91" w14:paraId="16777E62"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2981C586" w14:textId="310B3762"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72836D75" w14:textId="6CFC95C9"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370B2228" w14:textId="799F3D38"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412A2DBA" w14:textId="72BDE24B"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0A290035" w14:textId="04134800"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61F9973E" w14:textId="522C2EFC"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3F2C02E2" w14:textId="73A31366" w:rsidR="00766A91" w:rsidRDefault="00766A91" w:rsidP="00766A91">
            <w:pPr>
              <w:pStyle w:val="TableContents"/>
              <w:jc w:val="right"/>
            </w:pPr>
          </w:p>
        </w:tc>
      </w:tr>
      <w:tr w:rsidR="00766A91" w14:paraId="6C11DF08"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013826C2"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623399F2"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70A5BEF7"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219BFE2C"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78729BF2"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5FD59B6F"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20B8C95E" w14:textId="77777777" w:rsidR="00766A91" w:rsidRDefault="00766A91" w:rsidP="00766A91">
            <w:pPr>
              <w:pStyle w:val="TableContents"/>
              <w:jc w:val="right"/>
            </w:pPr>
          </w:p>
        </w:tc>
      </w:tr>
      <w:tr w:rsidR="00766A91" w14:paraId="770E6898"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04A6257A"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74F87EA0"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7C1EC100"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42DF0706"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011D4BEC"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5BF64EEF"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133F1B7E" w14:textId="77777777" w:rsidR="00766A91" w:rsidRDefault="00766A91" w:rsidP="00766A91">
            <w:pPr>
              <w:pStyle w:val="TableContents"/>
              <w:jc w:val="right"/>
            </w:pPr>
          </w:p>
        </w:tc>
      </w:tr>
      <w:tr w:rsidR="00766A91" w14:paraId="6100FB39"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7ECF756B"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77D880C7"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47D15CAF"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45DD924C"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60423696"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6735158C"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7A887BC4" w14:textId="77777777" w:rsidR="00766A91" w:rsidRDefault="00766A91" w:rsidP="00766A91">
            <w:pPr>
              <w:pStyle w:val="TableContents"/>
              <w:jc w:val="right"/>
            </w:pPr>
          </w:p>
        </w:tc>
      </w:tr>
      <w:tr w:rsidR="00766A91" w14:paraId="73939ABA"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7DB29EA2"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487CA064"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7021F9C3"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62779B15"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21856E8A"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16EE6BEB"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53AECA4C" w14:textId="77777777" w:rsidR="00766A91" w:rsidRDefault="00766A91" w:rsidP="00766A91">
            <w:pPr>
              <w:pStyle w:val="TableContents"/>
              <w:jc w:val="right"/>
            </w:pPr>
          </w:p>
        </w:tc>
      </w:tr>
      <w:tr w:rsidR="00766A91" w14:paraId="4301E216"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00A3B89A"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23ED9622"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6CA553F1"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1D9235BB"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0D241BD5"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3D4C6623"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36F7298D" w14:textId="77777777" w:rsidR="00766A91" w:rsidRDefault="00766A91" w:rsidP="00766A91">
            <w:pPr>
              <w:pStyle w:val="TableContents"/>
              <w:jc w:val="right"/>
            </w:pPr>
          </w:p>
        </w:tc>
      </w:tr>
      <w:tr w:rsidR="00766A91" w14:paraId="15434266"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3A4B33FE"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7216747B"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627F9163"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52F962CC"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44501229"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4ED597DE"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73300BD8" w14:textId="77777777" w:rsidR="00766A91" w:rsidRDefault="00766A91" w:rsidP="00766A91">
            <w:pPr>
              <w:pStyle w:val="TableContents"/>
              <w:jc w:val="right"/>
            </w:pPr>
          </w:p>
        </w:tc>
      </w:tr>
      <w:tr w:rsidR="00766A91" w14:paraId="303C7BED"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5057104E"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37196497"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6434D00B"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591E1202"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71A5B2A9"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7CC3F8B9"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0529D0D0" w14:textId="77777777" w:rsidR="00766A91" w:rsidRDefault="00766A91" w:rsidP="00766A91">
            <w:pPr>
              <w:pStyle w:val="TableContents"/>
              <w:jc w:val="right"/>
            </w:pPr>
          </w:p>
        </w:tc>
      </w:tr>
      <w:tr w:rsidR="00766A91" w14:paraId="70A16EF0"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1B6B0E10"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750742EB"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329F19AC"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1CA8AF55"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0E5B0D2C"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56151ACA"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02B18E01" w14:textId="77777777" w:rsidR="00766A91" w:rsidRDefault="00766A91" w:rsidP="00766A91">
            <w:pPr>
              <w:pStyle w:val="TableContents"/>
              <w:jc w:val="right"/>
            </w:pPr>
          </w:p>
        </w:tc>
      </w:tr>
      <w:tr w:rsidR="00766A91" w14:paraId="24520711"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7C29DE54"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6D433812"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46CAF89C"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73B04C10"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4D630862"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6B457A21"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636B3EB8" w14:textId="77777777" w:rsidR="00766A91" w:rsidRDefault="00766A91" w:rsidP="00766A91">
            <w:pPr>
              <w:pStyle w:val="TableContents"/>
              <w:jc w:val="right"/>
            </w:pPr>
          </w:p>
        </w:tc>
      </w:tr>
      <w:tr w:rsidR="00766A91" w14:paraId="1DE5676D"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79E5D211"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00B8CD8A"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4CB1E83F"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60278CCE"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6851B0EC"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20FD31C4"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2C6AF27D" w14:textId="77777777" w:rsidR="00766A91" w:rsidRDefault="00766A91" w:rsidP="00766A91">
            <w:pPr>
              <w:pStyle w:val="TableContents"/>
              <w:jc w:val="right"/>
            </w:pPr>
          </w:p>
        </w:tc>
      </w:tr>
      <w:tr w:rsidR="00766A91" w14:paraId="0BE94ECF"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04BD750D"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73402CE4"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00071760"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2B186AC2"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62C466BF"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23A6A5CC"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4B3358FA" w14:textId="77777777" w:rsidR="00766A91" w:rsidRDefault="00766A91" w:rsidP="00766A91">
            <w:pPr>
              <w:pStyle w:val="TableContents"/>
              <w:jc w:val="right"/>
            </w:pPr>
          </w:p>
        </w:tc>
      </w:tr>
      <w:tr w:rsidR="00766A91" w14:paraId="4892AA22"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10810277"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4048499A"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303C5F87"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17299BEE"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324FC3CA"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3916FD6A"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4204ADF7" w14:textId="77777777" w:rsidR="00766A91" w:rsidRDefault="00766A91" w:rsidP="00766A91">
            <w:pPr>
              <w:pStyle w:val="TableContents"/>
              <w:jc w:val="right"/>
            </w:pPr>
          </w:p>
        </w:tc>
      </w:tr>
      <w:tr w:rsidR="00766A91" w14:paraId="36DFDACF"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3D95A62E" w14:textId="77777777" w:rsidR="00766A91" w:rsidRDefault="00766A91" w:rsidP="00766A91">
            <w:pPr>
              <w:pStyle w:val="TableContents"/>
            </w:pPr>
          </w:p>
        </w:tc>
        <w:tc>
          <w:tcPr>
            <w:tcW w:w="1080" w:type="dxa"/>
            <w:tcBorders>
              <w:left w:val="single" w:sz="2" w:space="0" w:color="000000"/>
            </w:tcBorders>
            <w:shd w:val="clear" w:color="auto" w:fill="auto"/>
            <w:tcMar>
              <w:top w:w="0" w:type="dxa"/>
              <w:left w:w="28" w:type="dxa"/>
              <w:bottom w:w="0" w:type="dxa"/>
              <w:right w:w="0" w:type="dxa"/>
            </w:tcMar>
            <w:vAlign w:val="bottom"/>
          </w:tcPr>
          <w:p w14:paraId="311505A8"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0E86DACC"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668472A3"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022ECFB4"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58E2E2DD"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13261427" w14:textId="77777777" w:rsidR="00766A91" w:rsidRDefault="00766A91" w:rsidP="00766A91">
            <w:pPr>
              <w:pStyle w:val="TableContents"/>
              <w:jc w:val="right"/>
            </w:pPr>
          </w:p>
        </w:tc>
      </w:tr>
      <w:tr w:rsidR="00766A91" w14:paraId="280F2A71"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44DA0B58" w14:textId="77777777" w:rsidR="00766A91" w:rsidRDefault="00766A91" w:rsidP="00766A91">
            <w:pPr>
              <w:pStyle w:val="TableContents"/>
            </w:pPr>
          </w:p>
        </w:tc>
        <w:tc>
          <w:tcPr>
            <w:tcW w:w="1080" w:type="dxa"/>
            <w:tcBorders>
              <w:left w:val="single" w:sz="2" w:space="0" w:color="000000"/>
            </w:tcBorders>
            <w:shd w:val="clear" w:color="auto" w:fill="auto"/>
            <w:tcMar>
              <w:top w:w="0" w:type="dxa"/>
              <w:left w:w="28" w:type="dxa"/>
              <w:bottom w:w="0" w:type="dxa"/>
              <w:right w:w="0" w:type="dxa"/>
            </w:tcMar>
            <w:vAlign w:val="bottom"/>
          </w:tcPr>
          <w:p w14:paraId="7BF20821"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0F2EE00A"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14559177"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31BA2DB1"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4E77A043"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5E4C16AF" w14:textId="77777777" w:rsidR="00766A91" w:rsidRDefault="00766A91" w:rsidP="00766A91">
            <w:pPr>
              <w:pStyle w:val="TableContents"/>
              <w:jc w:val="right"/>
            </w:pPr>
          </w:p>
        </w:tc>
      </w:tr>
      <w:tr w:rsidR="00766A91" w14:paraId="0343F8B8"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68DBF5FC" w14:textId="77777777" w:rsidR="00766A91" w:rsidRDefault="00766A91" w:rsidP="00766A91">
            <w:pPr>
              <w:pStyle w:val="TableContents"/>
            </w:pPr>
          </w:p>
        </w:tc>
        <w:tc>
          <w:tcPr>
            <w:tcW w:w="1080" w:type="dxa"/>
            <w:tcBorders>
              <w:left w:val="single" w:sz="2" w:space="0" w:color="000000"/>
            </w:tcBorders>
            <w:shd w:val="clear" w:color="auto" w:fill="auto"/>
            <w:tcMar>
              <w:top w:w="0" w:type="dxa"/>
              <w:left w:w="28" w:type="dxa"/>
              <w:bottom w:w="0" w:type="dxa"/>
              <w:right w:w="0" w:type="dxa"/>
            </w:tcMar>
            <w:vAlign w:val="bottom"/>
          </w:tcPr>
          <w:p w14:paraId="5978A295"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04020666"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5CBC297B"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399036E4"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6C968F2F"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66FFED6A" w14:textId="77777777" w:rsidR="00766A91" w:rsidRDefault="00766A91" w:rsidP="00766A91">
            <w:pPr>
              <w:pStyle w:val="TableContents"/>
              <w:jc w:val="right"/>
            </w:pPr>
          </w:p>
        </w:tc>
      </w:tr>
      <w:tr w:rsidR="00766A91" w14:paraId="70E3D2D7"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61A94BF6" w14:textId="77777777" w:rsidR="00766A91" w:rsidRDefault="00766A91" w:rsidP="00766A91">
            <w:pPr>
              <w:pStyle w:val="TableContents"/>
            </w:pPr>
          </w:p>
        </w:tc>
        <w:tc>
          <w:tcPr>
            <w:tcW w:w="1080" w:type="dxa"/>
            <w:tcBorders>
              <w:left w:val="single" w:sz="2" w:space="0" w:color="000000"/>
            </w:tcBorders>
            <w:shd w:val="clear" w:color="auto" w:fill="auto"/>
            <w:tcMar>
              <w:top w:w="0" w:type="dxa"/>
              <w:left w:w="28" w:type="dxa"/>
              <w:bottom w:w="0" w:type="dxa"/>
              <w:right w:w="0" w:type="dxa"/>
            </w:tcMar>
            <w:vAlign w:val="bottom"/>
          </w:tcPr>
          <w:p w14:paraId="36D40126"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7E3CE50B"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012BD9D3"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0A502CD4"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40D464D5"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2F2D1DFA" w14:textId="77777777" w:rsidR="00766A91" w:rsidRDefault="00766A91" w:rsidP="00766A91">
            <w:pPr>
              <w:pStyle w:val="TableContents"/>
              <w:jc w:val="right"/>
            </w:pPr>
          </w:p>
        </w:tc>
      </w:tr>
      <w:tr w:rsidR="00766A91" w14:paraId="5879FD0F"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6F1C65D5" w14:textId="77777777" w:rsidR="00766A91" w:rsidRDefault="00766A91" w:rsidP="00766A91">
            <w:pPr>
              <w:pStyle w:val="TableContents"/>
            </w:pPr>
          </w:p>
        </w:tc>
        <w:tc>
          <w:tcPr>
            <w:tcW w:w="1080" w:type="dxa"/>
            <w:tcBorders>
              <w:left w:val="single" w:sz="2" w:space="0" w:color="000000"/>
            </w:tcBorders>
            <w:shd w:val="clear" w:color="auto" w:fill="auto"/>
            <w:tcMar>
              <w:top w:w="0" w:type="dxa"/>
              <w:left w:w="28" w:type="dxa"/>
              <w:bottom w:w="0" w:type="dxa"/>
              <w:right w:w="0" w:type="dxa"/>
            </w:tcMar>
            <w:vAlign w:val="bottom"/>
          </w:tcPr>
          <w:p w14:paraId="2F7B9397"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32D9E165"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6BA8BBDA"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433B8412"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5D467357"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72C3B169" w14:textId="77777777" w:rsidR="00766A91" w:rsidRDefault="00766A91" w:rsidP="00766A91">
            <w:pPr>
              <w:pStyle w:val="TableContents"/>
              <w:jc w:val="right"/>
            </w:pPr>
          </w:p>
        </w:tc>
      </w:tr>
      <w:tr w:rsidR="00766A91" w14:paraId="47CEEAB7"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5AEE0249" w14:textId="77777777" w:rsidR="00766A91" w:rsidRDefault="00766A91" w:rsidP="00766A91">
            <w:pPr>
              <w:pStyle w:val="TableContents"/>
            </w:pPr>
          </w:p>
        </w:tc>
        <w:tc>
          <w:tcPr>
            <w:tcW w:w="1080" w:type="dxa"/>
            <w:tcBorders>
              <w:left w:val="single" w:sz="2" w:space="0" w:color="000000"/>
            </w:tcBorders>
            <w:shd w:val="clear" w:color="auto" w:fill="auto"/>
            <w:tcMar>
              <w:top w:w="0" w:type="dxa"/>
              <w:left w:w="28" w:type="dxa"/>
              <w:bottom w:w="0" w:type="dxa"/>
              <w:right w:w="0" w:type="dxa"/>
            </w:tcMar>
            <w:vAlign w:val="bottom"/>
          </w:tcPr>
          <w:p w14:paraId="77DAA28D"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199AFAFA"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699B171E"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7DD2D2FB"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1BF4D568"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1AABB1C1" w14:textId="77777777" w:rsidR="00766A91" w:rsidRDefault="00766A91" w:rsidP="00766A91">
            <w:pPr>
              <w:pStyle w:val="TableContents"/>
              <w:jc w:val="right"/>
            </w:pPr>
          </w:p>
        </w:tc>
      </w:tr>
      <w:tr w:rsidR="00766A91" w14:paraId="57398671"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680F51C2" w14:textId="77777777" w:rsidR="00766A91" w:rsidRDefault="00766A91" w:rsidP="00766A91">
            <w:pPr>
              <w:pStyle w:val="TableContents"/>
            </w:pPr>
          </w:p>
        </w:tc>
        <w:tc>
          <w:tcPr>
            <w:tcW w:w="1080" w:type="dxa"/>
            <w:tcBorders>
              <w:left w:val="single" w:sz="2" w:space="0" w:color="000000"/>
            </w:tcBorders>
            <w:shd w:val="clear" w:color="auto" w:fill="auto"/>
            <w:tcMar>
              <w:top w:w="0" w:type="dxa"/>
              <w:left w:w="28" w:type="dxa"/>
              <w:bottom w:w="0" w:type="dxa"/>
              <w:right w:w="0" w:type="dxa"/>
            </w:tcMar>
            <w:vAlign w:val="bottom"/>
          </w:tcPr>
          <w:p w14:paraId="2EC0732B"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280EFD7B"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621F2EC0"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61515823"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08AF0F22"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3EE44BB7" w14:textId="77777777" w:rsidR="00766A91" w:rsidRDefault="00766A91" w:rsidP="00766A91">
            <w:pPr>
              <w:pStyle w:val="TableContents"/>
              <w:jc w:val="right"/>
            </w:pPr>
          </w:p>
        </w:tc>
      </w:tr>
      <w:tr w:rsidR="00766A91" w14:paraId="06A843F7"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54E78A85"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51B9F89E"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6683993E"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619AC32D"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093E8585"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3E94EF92"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72B78CFA" w14:textId="77777777" w:rsidR="00766A91" w:rsidRDefault="00766A91" w:rsidP="00766A91">
            <w:pPr>
              <w:pStyle w:val="TableContents"/>
              <w:jc w:val="right"/>
            </w:pPr>
          </w:p>
        </w:tc>
      </w:tr>
      <w:tr w:rsidR="00766A91" w14:paraId="28DA7E87"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00441900" w14:textId="77777777" w:rsidR="00766A91" w:rsidRDefault="00766A91" w:rsidP="00766A91">
            <w:pPr>
              <w:pStyle w:val="TableContents"/>
              <w:rPr>
                <w:sz w:val="20"/>
                <w:szCs w:val="20"/>
              </w:rPr>
            </w:pPr>
          </w:p>
        </w:tc>
        <w:tc>
          <w:tcPr>
            <w:tcW w:w="1080" w:type="dxa"/>
            <w:tcBorders>
              <w:left w:val="single" w:sz="2" w:space="0" w:color="000000"/>
            </w:tcBorders>
            <w:shd w:val="clear" w:color="auto" w:fill="auto"/>
            <w:tcMar>
              <w:top w:w="0" w:type="dxa"/>
              <w:left w:w="28" w:type="dxa"/>
              <w:bottom w:w="0" w:type="dxa"/>
              <w:right w:w="0" w:type="dxa"/>
            </w:tcMar>
            <w:vAlign w:val="bottom"/>
          </w:tcPr>
          <w:p w14:paraId="4F7FC64D"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73E765BE"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0F371639"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4F5C4746"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2227159C"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5074B898" w14:textId="77777777" w:rsidR="00766A91" w:rsidRDefault="00766A91" w:rsidP="00766A91">
            <w:pPr>
              <w:pStyle w:val="TableContents"/>
              <w:jc w:val="right"/>
            </w:pPr>
          </w:p>
        </w:tc>
      </w:tr>
      <w:tr w:rsidR="00766A91" w14:paraId="4F4A1619"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6134DCAE" w14:textId="77777777" w:rsidR="00766A91" w:rsidRDefault="00766A91" w:rsidP="00766A91">
            <w:pPr>
              <w:pStyle w:val="TableContents"/>
            </w:pPr>
          </w:p>
        </w:tc>
        <w:tc>
          <w:tcPr>
            <w:tcW w:w="1080" w:type="dxa"/>
            <w:tcBorders>
              <w:left w:val="single" w:sz="2" w:space="0" w:color="000000"/>
            </w:tcBorders>
            <w:shd w:val="clear" w:color="auto" w:fill="auto"/>
            <w:tcMar>
              <w:top w:w="0" w:type="dxa"/>
              <w:left w:w="28" w:type="dxa"/>
              <w:bottom w:w="0" w:type="dxa"/>
              <w:right w:w="0" w:type="dxa"/>
            </w:tcMar>
            <w:vAlign w:val="bottom"/>
          </w:tcPr>
          <w:p w14:paraId="4402DEAB"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3D252FB2"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56A396E1"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5CE0200F"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1D3AD5FD"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75300C05" w14:textId="77777777" w:rsidR="00766A91" w:rsidRDefault="00766A91" w:rsidP="00766A91">
            <w:pPr>
              <w:pStyle w:val="TableContents"/>
              <w:jc w:val="right"/>
            </w:pPr>
          </w:p>
        </w:tc>
      </w:tr>
      <w:tr w:rsidR="00766A91" w14:paraId="275CB18B" w14:textId="77777777">
        <w:trPr>
          <w:trHeight w:hRule="exact" w:val="360"/>
        </w:trPr>
        <w:tc>
          <w:tcPr>
            <w:tcW w:w="3060" w:type="dxa"/>
            <w:tcBorders>
              <w:left w:val="single" w:sz="2" w:space="0" w:color="000000"/>
            </w:tcBorders>
            <w:shd w:val="clear" w:color="auto" w:fill="auto"/>
            <w:tcMar>
              <w:top w:w="0" w:type="dxa"/>
              <w:left w:w="28" w:type="dxa"/>
              <w:bottom w:w="0" w:type="dxa"/>
              <w:right w:w="0" w:type="dxa"/>
            </w:tcMar>
            <w:vAlign w:val="bottom"/>
          </w:tcPr>
          <w:p w14:paraId="683EA7B4" w14:textId="77777777" w:rsidR="00766A91" w:rsidRDefault="00766A91" w:rsidP="00766A91">
            <w:pPr>
              <w:pStyle w:val="TableContents"/>
            </w:pPr>
          </w:p>
        </w:tc>
        <w:tc>
          <w:tcPr>
            <w:tcW w:w="1080" w:type="dxa"/>
            <w:tcBorders>
              <w:left w:val="single" w:sz="2" w:space="0" w:color="000000"/>
            </w:tcBorders>
            <w:shd w:val="clear" w:color="auto" w:fill="auto"/>
            <w:tcMar>
              <w:top w:w="0" w:type="dxa"/>
              <w:left w:w="28" w:type="dxa"/>
              <w:bottom w:w="0" w:type="dxa"/>
              <w:right w:w="0" w:type="dxa"/>
            </w:tcMar>
            <w:vAlign w:val="bottom"/>
          </w:tcPr>
          <w:p w14:paraId="46B49070" w14:textId="77777777" w:rsidR="00766A91" w:rsidRDefault="00766A91" w:rsidP="00766A91">
            <w:pPr>
              <w:pStyle w:val="TableContents"/>
              <w:jc w:val="center"/>
            </w:pPr>
          </w:p>
        </w:tc>
        <w:tc>
          <w:tcPr>
            <w:tcW w:w="1260" w:type="dxa"/>
            <w:shd w:val="clear" w:color="auto" w:fill="auto"/>
            <w:tcMar>
              <w:top w:w="28" w:type="dxa"/>
              <w:left w:w="28" w:type="dxa"/>
              <w:bottom w:w="28" w:type="dxa"/>
              <w:right w:w="28" w:type="dxa"/>
            </w:tcMar>
            <w:vAlign w:val="bottom"/>
          </w:tcPr>
          <w:p w14:paraId="1815EFAF" w14:textId="77777777" w:rsidR="00766A91" w:rsidRDefault="00766A91" w:rsidP="00766A91">
            <w:pPr>
              <w:pStyle w:val="TableContents"/>
              <w:jc w:val="center"/>
            </w:pPr>
          </w:p>
        </w:tc>
        <w:tc>
          <w:tcPr>
            <w:tcW w:w="1192" w:type="dxa"/>
            <w:shd w:val="clear" w:color="auto" w:fill="auto"/>
            <w:tcMar>
              <w:top w:w="28" w:type="dxa"/>
              <w:left w:w="28" w:type="dxa"/>
              <w:bottom w:w="28" w:type="dxa"/>
              <w:right w:w="28" w:type="dxa"/>
            </w:tcMar>
            <w:vAlign w:val="bottom"/>
          </w:tcPr>
          <w:p w14:paraId="1C98BBA2" w14:textId="77777777" w:rsidR="00766A91" w:rsidRDefault="00766A91" w:rsidP="00766A91">
            <w:pPr>
              <w:pStyle w:val="TableContents"/>
              <w:jc w:val="center"/>
            </w:pPr>
          </w:p>
        </w:tc>
        <w:tc>
          <w:tcPr>
            <w:tcW w:w="872" w:type="dxa"/>
            <w:tcBorders>
              <w:right w:val="single" w:sz="2" w:space="0" w:color="000000"/>
            </w:tcBorders>
            <w:shd w:val="clear" w:color="auto" w:fill="auto"/>
            <w:tcMar>
              <w:top w:w="0" w:type="dxa"/>
              <w:left w:w="0" w:type="dxa"/>
              <w:bottom w:w="0" w:type="dxa"/>
              <w:right w:w="28" w:type="dxa"/>
            </w:tcMar>
            <w:vAlign w:val="bottom"/>
          </w:tcPr>
          <w:p w14:paraId="2A62EC07" w14:textId="77777777" w:rsidR="00766A91" w:rsidRDefault="00766A91" w:rsidP="00766A91">
            <w:pPr>
              <w:pStyle w:val="TableContents"/>
              <w:jc w:val="center"/>
            </w:pPr>
          </w:p>
        </w:tc>
        <w:tc>
          <w:tcPr>
            <w:tcW w:w="900" w:type="dxa"/>
            <w:tcBorders>
              <w:right w:val="single" w:sz="2" w:space="0" w:color="000000"/>
            </w:tcBorders>
            <w:shd w:val="clear" w:color="auto" w:fill="auto"/>
            <w:tcMar>
              <w:top w:w="0" w:type="dxa"/>
              <w:left w:w="0" w:type="dxa"/>
              <w:bottom w:w="0" w:type="dxa"/>
              <w:right w:w="28" w:type="dxa"/>
            </w:tcMar>
            <w:vAlign w:val="bottom"/>
          </w:tcPr>
          <w:p w14:paraId="30058888" w14:textId="77777777" w:rsidR="00766A91" w:rsidRDefault="00766A91" w:rsidP="00766A91">
            <w:pPr>
              <w:pStyle w:val="TableContents"/>
              <w:jc w:val="center"/>
            </w:pPr>
          </w:p>
        </w:tc>
        <w:tc>
          <w:tcPr>
            <w:tcW w:w="816" w:type="dxa"/>
            <w:tcBorders>
              <w:left w:val="single" w:sz="2" w:space="0" w:color="000000"/>
              <w:right w:val="single" w:sz="2" w:space="0" w:color="000000"/>
            </w:tcBorders>
            <w:shd w:val="clear" w:color="auto" w:fill="auto"/>
            <w:tcMar>
              <w:top w:w="0" w:type="dxa"/>
              <w:left w:w="28" w:type="dxa"/>
              <w:bottom w:w="0" w:type="dxa"/>
              <w:right w:w="28" w:type="dxa"/>
            </w:tcMar>
            <w:vAlign w:val="bottom"/>
          </w:tcPr>
          <w:p w14:paraId="5F53A7E4" w14:textId="77777777" w:rsidR="00766A91" w:rsidRDefault="00766A91" w:rsidP="00766A91">
            <w:pPr>
              <w:pStyle w:val="TableContents"/>
              <w:jc w:val="right"/>
            </w:pPr>
          </w:p>
        </w:tc>
      </w:tr>
      <w:tr w:rsidR="00766A91" w14:paraId="0C12F7EB" w14:textId="77777777">
        <w:tc>
          <w:tcPr>
            <w:tcW w:w="3060" w:type="dxa"/>
            <w:tcBorders>
              <w:top w:val="single" w:sz="2" w:space="0" w:color="000000"/>
              <w:left w:val="single" w:sz="2" w:space="0" w:color="000000"/>
              <w:bottom w:val="single" w:sz="2" w:space="0" w:color="000000"/>
            </w:tcBorders>
            <w:shd w:val="clear" w:color="auto" w:fill="CCCCCC"/>
            <w:tcMar>
              <w:top w:w="0" w:type="dxa"/>
              <w:left w:w="28" w:type="dxa"/>
              <w:bottom w:w="28" w:type="dxa"/>
              <w:right w:w="0" w:type="dxa"/>
            </w:tcMar>
            <w:vAlign w:val="bottom"/>
          </w:tcPr>
          <w:p w14:paraId="2A13E190" w14:textId="77777777" w:rsidR="00766A91" w:rsidRDefault="00766A91" w:rsidP="00766A91">
            <w:pPr>
              <w:pStyle w:val="TableContents"/>
              <w:rPr>
                <w:b/>
              </w:rPr>
            </w:pPr>
            <w:r>
              <w:rPr>
                <w:b/>
              </w:rPr>
              <w:t>Celkem</w:t>
            </w:r>
          </w:p>
        </w:tc>
        <w:tc>
          <w:tcPr>
            <w:tcW w:w="1080"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57C11067" w14:textId="77777777" w:rsidR="00766A91" w:rsidRDefault="00766A91" w:rsidP="00766A91">
            <w:pPr>
              <w:pStyle w:val="TableContents"/>
              <w:rPr>
                <w:b/>
              </w:rPr>
            </w:pPr>
          </w:p>
        </w:tc>
        <w:tc>
          <w:tcPr>
            <w:tcW w:w="1260"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249F1703" w14:textId="77777777" w:rsidR="00766A91" w:rsidRDefault="00766A91" w:rsidP="00766A91">
            <w:pPr>
              <w:pStyle w:val="TableContents"/>
              <w:rPr>
                <w:b/>
              </w:rPr>
            </w:pPr>
          </w:p>
        </w:tc>
        <w:tc>
          <w:tcPr>
            <w:tcW w:w="1192"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06428E88" w14:textId="77777777" w:rsidR="00766A91" w:rsidRDefault="00766A91" w:rsidP="00766A91">
            <w:pPr>
              <w:pStyle w:val="TableContents"/>
              <w:rPr>
                <w:b/>
              </w:rPr>
            </w:pPr>
          </w:p>
        </w:tc>
        <w:tc>
          <w:tcPr>
            <w:tcW w:w="872"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4262B2F9" w14:textId="77777777" w:rsidR="00766A91" w:rsidRDefault="00766A91" w:rsidP="00766A91">
            <w:pPr>
              <w:pStyle w:val="TableContents"/>
              <w:rPr>
                <w:b/>
              </w:rPr>
            </w:pPr>
          </w:p>
        </w:tc>
        <w:tc>
          <w:tcPr>
            <w:tcW w:w="900" w:type="dxa"/>
            <w:tcBorders>
              <w:top w:val="single" w:sz="2" w:space="0" w:color="000000"/>
              <w:bottom w:val="single" w:sz="2" w:space="0" w:color="000000"/>
            </w:tcBorders>
            <w:shd w:val="clear" w:color="auto" w:fill="CCCCCC"/>
            <w:tcMar>
              <w:top w:w="0" w:type="dxa"/>
              <w:left w:w="0" w:type="dxa"/>
              <w:bottom w:w="28" w:type="dxa"/>
              <w:right w:w="0" w:type="dxa"/>
            </w:tcMar>
            <w:vAlign w:val="bottom"/>
          </w:tcPr>
          <w:p w14:paraId="5F78E3CE" w14:textId="77777777" w:rsidR="00766A91" w:rsidRDefault="00766A91" w:rsidP="00766A91">
            <w:pPr>
              <w:pStyle w:val="TableContents"/>
              <w:rPr>
                <w:b/>
              </w:rPr>
            </w:pPr>
          </w:p>
        </w:tc>
        <w:tc>
          <w:tcPr>
            <w:tcW w:w="816" w:type="dxa"/>
            <w:tcBorders>
              <w:top w:val="single" w:sz="2" w:space="0" w:color="000000"/>
              <w:left w:val="single" w:sz="2" w:space="0" w:color="000000"/>
              <w:bottom w:val="single" w:sz="2" w:space="0" w:color="000000"/>
              <w:right w:val="single" w:sz="2" w:space="0" w:color="000000"/>
            </w:tcBorders>
            <w:shd w:val="clear" w:color="auto" w:fill="CCCCCC"/>
            <w:tcMar>
              <w:top w:w="0" w:type="dxa"/>
              <w:left w:w="28" w:type="dxa"/>
              <w:bottom w:w="28" w:type="dxa"/>
              <w:right w:w="28" w:type="dxa"/>
            </w:tcMar>
            <w:vAlign w:val="bottom"/>
          </w:tcPr>
          <w:p w14:paraId="3BC83E83" w14:textId="04D38574" w:rsidR="00766A91" w:rsidRDefault="00926685" w:rsidP="00766A91">
            <w:pPr>
              <w:pStyle w:val="TableContents"/>
              <w:jc w:val="right"/>
              <w:rPr>
                <w:b/>
              </w:rPr>
            </w:pPr>
            <w:r>
              <w:rPr>
                <w:b/>
              </w:rPr>
              <w:t>200</w:t>
            </w:r>
          </w:p>
        </w:tc>
      </w:tr>
    </w:tbl>
    <w:p w14:paraId="34E21ED7" w14:textId="77777777" w:rsidR="008F0751" w:rsidRDefault="008F0751">
      <w:pPr>
        <w:pStyle w:val="Standard"/>
        <w:spacing w:after="0" w:line="240" w:lineRule="auto"/>
      </w:pPr>
    </w:p>
    <w:p w14:paraId="61C5FB64" w14:textId="77777777" w:rsidR="008F0751" w:rsidRDefault="008F0751">
      <w:pPr>
        <w:pStyle w:val="Standard"/>
        <w:spacing w:after="0" w:line="240" w:lineRule="auto"/>
      </w:pPr>
    </w:p>
    <w:sectPr w:rsidR="008F0751" w:rsidSect="003E5CB5">
      <w:footerReference w:type="default" r:id="rId7"/>
      <w:pgSz w:w="11906" w:h="16838"/>
      <w:pgMar w:top="1134" w:right="1418" w:bottom="1134" w:left="1418" w:header="709"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8433" w14:textId="77777777" w:rsidR="006977C4" w:rsidRDefault="006977C4">
      <w:r>
        <w:separator/>
      </w:r>
    </w:p>
  </w:endnote>
  <w:endnote w:type="continuationSeparator" w:id="0">
    <w:p w14:paraId="09D8C4D6" w14:textId="77777777" w:rsidR="006977C4" w:rsidRDefault="0069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Arabic">
    <w:altName w:val="Calibri"/>
    <w:charset w:val="00"/>
    <w:family w:val="swiss"/>
    <w:pitch w:val="variable"/>
  </w:font>
  <w:font w:name="Liberation Sans">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Segoe UI">
    <w:panose1 w:val="020B0502040204020203"/>
    <w:charset w:val="EE"/>
    <w:family w:val="swiss"/>
    <w:pitch w:val="variable"/>
    <w:sig w:usb0="E4002EFF" w:usb1="C000E47F" w:usb2="00000009" w:usb3="00000000" w:csb0="000001FF" w:csb1="00000000"/>
  </w:font>
  <w:font w:name="Roboto, sans-serif">
    <w:altName w:val="Robot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A822" w14:textId="77777777" w:rsidR="00F82F9F" w:rsidRDefault="00F82F9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0B97" w14:textId="77777777" w:rsidR="006977C4" w:rsidRDefault="006977C4">
      <w:r>
        <w:rPr>
          <w:color w:val="000000"/>
        </w:rPr>
        <w:separator/>
      </w:r>
    </w:p>
  </w:footnote>
  <w:footnote w:type="continuationSeparator" w:id="0">
    <w:p w14:paraId="2445D5ED" w14:textId="77777777" w:rsidR="006977C4" w:rsidRDefault="0069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F1D"/>
    <w:multiLevelType w:val="multilevel"/>
    <w:tmpl w:val="0ED8EA0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C4309F3"/>
    <w:multiLevelType w:val="multilevel"/>
    <w:tmpl w:val="C01C736C"/>
    <w:styleLink w:val="WWNum12"/>
    <w:lvl w:ilvl="0">
      <w:start w:val="1"/>
      <w:numFmt w:val="lowerLetter"/>
      <w:lvlText w:val="%1"/>
      <w:lvlJc w:val="left"/>
      <w:pPr>
        <w:ind w:left="1429" w:hanging="360"/>
      </w:p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 w15:restartNumberingAfterBreak="0">
    <w:nsid w:val="0E367239"/>
    <w:multiLevelType w:val="multilevel"/>
    <w:tmpl w:val="AE1C12A4"/>
    <w:styleLink w:val="WWNum9"/>
    <w:lvl w:ilvl="0">
      <w:start w:val="1"/>
      <w:numFmt w:val="decimal"/>
      <w:lvlText w:val="%1"/>
      <w:lvlJc w:val="left"/>
      <w:pPr>
        <w:ind w:left="126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DF0B7B"/>
    <w:multiLevelType w:val="multilevel"/>
    <w:tmpl w:val="5954427C"/>
    <w:styleLink w:val="WWNum2"/>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2CD682A"/>
    <w:multiLevelType w:val="multilevel"/>
    <w:tmpl w:val="B10EE724"/>
    <w:styleLink w:val="WWNum8"/>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3D80735"/>
    <w:multiLevelType w:val="multilevel"/>
    <w:tmpl w:val="3F10A4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CC72AA6"/>
    <w:multiLevelType w:val="multilevel"/>
    <w:tmpl w:val="C868C6CA"/>
    <w:styleLink w:val="WWNum4"/>
    <w:lvl w:ilvl="0">
      <w:start w:val="1"/>
      <w:numFmt w:val="lowerLetter"/>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2EE4324"/>
    <w:multiLevelType w:val="multilevel"/>
    <w:tmpl w:val="D77AF9DE"/>
    <w:styleLink w:val="WWOutlineListStyle3"/>
    <w:lvl w:ilvl="0">
      <w:start w:val="1"/>
      <w:numFmt w:val="decimal"/>
      <w:pStyle w:val="Nadpis1"/>
      <w:lvlText w:val="%1"/>
      <w:lvlJc w:val="left"/>
      <w:pPr>
        <w:ind w:left="7086" w:hanging="708"/>
      </w:pPr>
    </w:lvl>
    <w:lvl w:ilvl="1">
      <w:start w:val="1"/>
      <w:numFmt w:val="decimal"/>
      <w:pStyle w:val="Nadpis2"/>
      <w:lvlText w:val="%1.%2"/>
      <w:lvlJc w:val="left"/>
      <w:pPr>
        <w:ind w:left="1134" w:hanging="708"/>
      </w:pPr>
      <w:rPr>
        <w:rFonts w:ascii="Arial" w:hAnsi="Arial"/>
        <w:strike w:val="0"/>
        <w:dstrike w:val="0"/>
        <w:color w:val="auto"/>
        <w:sz w:val="22"/>
      </w:rPr>
    </w:lvl>
    <w:lvl w:ilvl="2">
      <w:start w:val="1"/>
      <w:numFmt w:val="decimal"/>
      <w:pStyle w:val="Nadpis3"/>
      <w:lvlText w:val="%1.%2.%3"/>
      <w:lvlJc w:val="left"/>
      <w:pPr>
        <w:ind w:left="2269" w:hanging="708"/>
      </w:pPr>
    </w:lvl>
    <w:lvl w:ilvl="3">
      <w:start w:val="1"/>
      <w:numFmt w:val="decimal"/>
      <w:pStyle w:val="Nadpis4"/>
      <w:lvlText w:val="%1.%2.%3.%4"/>
      <w:lvlJc w:val="left"/>
      <w:pPr>
        <w:ind w:left="3402" w:hanging="708"/>
      </w:pPr>
    </w:lvl>
    <w:lvl w:ilvl="4">
      <w:start w:val="1"/>
      <w:numFmt w:val="decimal"/>
      <w:pStyle w:val="Nadpis5"/>
      <w:lvlText w:val="%1.%2.%3.%4.%5"/>
      <w:lvlJc w:val="left"/>
      <w:pPr>
        <w:ind w:left="4962" w:hanging="708"/>
      </w:pPr>
    </w:lvl>
    <w:lvl w:ilvl="5">
      <w:start w:val="1"/>
      <w:numFmt w:val="decimal"/>
      <w:pStyle w:val="Nadpis6"/>
      <w:lvlText w:val="%1.%2.%3.%4.%5.%6"/>
      <w:lvlJc w:val="left"/>
      <w:pPr>
        <w:ind w:left="5529" w:hanging="708"/>
      </w:pPr>
    </w:lvl>
    <w:lvl w:ilvl="6">
      <w:start w:val="1"/>
      <w:numFmt w:val="decimal"/>
      <w:pStyle w:val="Nadpis7"/>
      <w:lvlText w:val="%1.%2.%3.%4.%5.%6.%7"/>
      <w:lvlJc w:val="left"/>
      <w:pPr>
        <w:ind w:left="4956" w:hanging="708"/>
      </w:pPr>
    </w:lvl>
    <w:lvl w:ilvl="7">
      <w:start w:val="1"/>
      <w:numFmt w:val="decimal"/>
      <w:pStyle w:val="Nadpis8"/>
      <w:lvlText w:val="%1.%2.%3.%4.%5.%6.%7.%8"/>
      <w:lvlJc w:val="left"/>
      <w:pPr>
        <w:ind w:left="5664" w:hanging="708"/>
      </w:pPr>
    </w:lvl>
    <w:lvl w:ilvl="8">
      <w:start w:val="1"/>
      <w:numFmt w:val="decimal"/>
      <w:pStyle w:val="Nadpis9"/>
      <w:lvlText w:val="%1.%2.%3.%4.%5.%6.%7.%8.%9"/>
      <w:lvlJc w:val="left"/>
      <w:pPr>
        <w:ind w:left="6372" w:hanging="708"/>
      </w:pPr>
    </w:lvl>
  </w:abstractNum>
  <w:abstractNum w:abstractNumId="8" w15:restartNumberingAfterBreak="0">
    <w:nsid w:val="2D1D79C7"/>
    <w:multiLevelType w:val="multilevel"/>
    <w:tmpl w:val="4BB85760"/>
    <w:styleLink w:val="WWNum1"/>
    <w:lvl w:ilvl="0">
      <w:start w:val="1"/>
      <w:numFmt w:val="decimal"/>
      <w:lvlText w:val="%1"/>
      <w:lvlJc w:val="left"/>
      <w:pPr>
        <w:ind w:left="7086" w:hanging="708"/>
      </w:pPr>
    </w:lvl>
    <w:lvl w:ilvl="1">
      <w:start w:val="1"/>
      <w:numFmt w:val="decimal"/>
      <w:lvlText w:val="%1.%2"/>
      <w:lvlJc w:val="left"/>
      <w:pPr>
        <w:ind w:left="1134" w:hanging="708"/>
      </w:pPr>
      <w:rPr>
        <w:rFonts w:ascii="Arial" w:hAnsi="Arial"/>
        <w:strike w:val="0"/>
        <w:dstrike w:val="0"/>
        <w:color w:val="auto"/>
        <w:sz w:val="22"/>
      </w:rPr>
    </w:lvl>
    <w:lvl w:ilvl="2">
      <w:start w:val="1"/>
      <w:numFmt w:val="decimal"/>
      <w:lvlText w:val="%1.%2.%3"/>
      <w:lvlJc w:val="left"/>
      <w:pPr>
        <w:ind w:left="2269" w:hanging="708"/>
      </w:pPr>
    </w:lvl>
    <w:lvl w:ilvl="3">
      <w:start w:val="1"/>
      <w:numFmt w:val="decimal"/>
      <w:lvlText w:val="%1.%2.%3.%4"/>
      <w:lvlJc w:val="left"/>
      <w:pPr>
        <w:ind w:left="3402" w:hanging="708"/>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9" w15:restartNumberingAfterBreak="0">
    <w:nsid w:val="2D4458AD"/>
    <w:multiLevelType w:val="multilevel"/>
    <w:tmpl w:val="5D528880"/>
    <w:styleLink w:val="WWOutlineListStyle2"/>
    <w:lvl w:ilvl="0">
      <w:start w:val="1"/>
      <w:numFmt w:val="decimal"/>
      <w:lvlText w:val="%1"/>
      <w:lvlJc w:val="left"/>
      <w:pPr>
        <w:ind w:left="7086" w:hanging="708"/>
      </w:pPr>
    </w:lvl>
    <w:lvl w:ilvl="1">
      <w:start w:val="1"/>
      <w:numFmt w:val="decimal"/>
      <w:lvlText w:val="%1.%2"/>
      <w:lvlJc w:val="left"/>
      <w:pPr>
        <w:ind w:left="1134" w:hanging="708"/>
      </w:pPr>
      <w:rPr>
        <w:rFonts w:ascii="Arial" w:hAnsi="Arial"/>
        <w:strike w:val="0"/>
        <w:dstrike w:val="0"/>
        <w:color w:val="auto"/>
        <w:sz w:val="22"/>
      </w:rPr>
    </w:lvl>
    <w:lvl w:ilvl="2">
      <w:start w:val="1"/>
      <w:numFmt w:val="decimal"/>
      <w:lvlText w:val="%1.%2.%3"/>
      <w:lvlJc w:val="left"/>
      <w:pPr>
        <w:ind w:left="2269" w:hanging="708"/>
      </w:pPr>
    </w:lvl>
    <w:lvl w:ilvl="3">
      <w:start w:val="1"/>
      <w:numFmt w:val="decimal"/>
      <w:lvlText w:val="%1.%2.%3.%4"/>
      <w:lvlJc w:val="left"/>
      <w:pPr>
        <w:ind w:left="3402" w:hanging="708"/>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0" w15:restartNumberingAfterBreak="0">
    <w:nsid w:val="2D7056AA"/>
    <w:multiLevelType w:val="multilevel"/>
    <w:tmpl w:val="ED00BE6A"/>
    <w:styleLink w:val="WWNum7"/>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DEC7F03"/>
    <w:multiLevelType w:val="multilevel"/>
    <w:tmpl w:val="C6F68992"/>
    <w:styleLink w:val="WWNum11"/>
    <w:lvl w:ilvl="0">
      <w:start w:val="1"/>
      <w:numFmt w:val="decimal"/>
      <w:lvlText w:val="%1"/>
      <w:lvlJc w:val="left"/>
      <w:pPr>
        <w:ind w:left="126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8912F12"/>
    <w:multiLevelType w:val="multilevel"/>
    <w:tmpl w:val="084CBA7C"/>
    <w:styleLink w:val="WWOutlineListStyle"/>
    <w:lvl w:ilvl="0">
      <w:start w:val="1"/>
      <w:numFmt w:val="decimal"/>
      <w:lvlText w:val="%1"/>
      <w:lvlJc w:val="left"/>
      <w:pPr>
        <w:ind w:left="7086" w:hanging="708"/>
      </w:pPr>
    </w:lvl>
    <w:lvl w:ilvl="1">
      <w:start w:val="1"/>
      <w:numFmt w:val="decimal"/>
      <w:lvlText w:val="%1.%2"/>
      <w:lvlJc w:val="left"/>
      <w:pPr>
        <w:ind w:left="1134" w:hanging="708"/>
      </w:pPr>
      <w:rPr>
        <w:rFonts w:ascii="Arial" w:hAnsi="Arial"/>
        <w:strike w:val="0"/>
        <w:dstrike w:val="0"/>
        <w:color w:val="auto"/>
        <w:sz w:val="22"/>
      </w:rPr>
    </w:lvl>
    <w:lvl w:ilvl="2">
      <w:start w:val="1"/>
      <w:numFmt w:val="decimal"/>
      <w:lvlText w:val="%1.%2.%3"/>
      <w:lvlJc w:val="left"/>
      <w:pPr>
        <w:ind w:left="2269" w:hanging="708"/>
      </w:pPr>
    </w:lvl>
    <w:lvl w:ilvl="3">
      <w:start w:val="1"/>
      <w:numFmt w:val="decimal"/>
      <w:lvlText w:val="%1.%2.%3.%4"/>
      <w:lvlJc w:val="left"/>
      <w:pPr>
        <w:ind w:left="3402" w:hanging="708"/>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3" w15:restartNumberingAfterBreak="0">
    <w:nsid w:val="4A1C66E7"/>
    <w:multiLevelType w:val="multilevel"/>
    <w:tmpl w:val="FE78C3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D88129C"/>
    <w:multiLevelType w:val="multilevel"/>
    <w:tmpl w:val="39A4AC5E"/>
    <w:styleLink w:val="WWNum3"/>
    <w:lvl w:ilvl="0">
      <w:start w:val="1"/>
      <w:numFmt w:val="lowerLetter"/>
      <w:lvlText w:val="%1"/>
      <w:lvlJc w:val="left"/>
      <w:pPr>
        <w:ind w:left="927" w:hanging="360"/>
      </w:pPr>
      <w:rPr>
        <w:b/>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5" w15:restartNumberingAfterBreak="0">
    <w:nsid w:val="500C1EE3"/>
    <w:multiLevelType w:val="multilevel"/>
    <w:tmpl w:val="4802EAAE"/>
    <w:styleLink w:val="WWNum10"/>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6" w15:restartNumberingAfterBreak="0">
    <w:nsid w:val="564C6A54"/>
    <w:multiLevelType w:val="multilevel"/>
    <w:tmpl w:val="E710D386"/>
    <w:styleLink w:val="WWNum6"/>
    <w:lvl w:ilvl="0">
      <w:start w:val="1"/>
      <w:numFmt w:val="lowerLetter"/>
      <w:lvlText w:val="%1"/>
      <w:lvlJc w:val="left"/>
      <w:pPr>
        <w:ind w:left="927" w:hanging="360"/>
      </w:pPr>
      <w:rPr>
        <w:b/>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7" w15:restartNumberingAfterBreak="0">
    <w:nsid w:val="57756166"/>
    <w:multiLevelType w:val="multilevel"/>
    <w:tmpl w:val="AFE0955E"/>
    <w:styleLink w:val="WWOutlineListStyle1"/>
    <w:lvl w:ilvl="0">
      <w:start w:val="1"/>
      <w:numFmt w:val="decimal"/>
      <w:lvlText w:val="%1"/>
      <w:lvlJc w:val="left"/>
      <w:pPr>
        <w:ind w:left="7086" w:hanging="708"/>
      </w:pPr>
    </w:lvl>
    <w:lvl w:ilvl="1">
      <w:start w:val="1"/>
      <w:numFmt w:val="decimal"/>
      <w:lvlText w:val="%1.%2"/>
      <w:lvlJc w:val="left"/>
      <w:pPr>
        <w:ind w:left="1134" w:hanging="708"/>
      </w:pPr>
      <w:rPr>
        <w:rFonts w:ascii="Arial" w:hAnsi="Arial"/>
        <w:strike w:val="0"/>
        <w:dstrike w:val="0"/>
        <w:color w:val="auto"/>
        <w:sz w:val="22"/>
      </w:rPr>
    </w:lvl>
    <w:lvl w:ilvl="2">
      <w:start w:val="1"/>
      <w:numFmt w:val="decimal"/>
      <w:lvlText w:val="%1.%2.%3"/>
      <w:lvlJc w:val="left"/>
      <w:pPr>
        <w:ind w:left="2269" w:hanging="708"/>
      </w:pPr>
    </w:lvl>
    <w:lvl w:ilvl="3">
      <w:start w:val="1"/>
      <w:numFmt w:val="decimal"/>
      <w:lvlText w:val="%1.%2.%3.%4"/>
      <w:lvlJc w:val="left"/>
      <w:pPr>
        <w:ind w:left="3402" w:hanging="708"/>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8" w15:restartNumberingAfterBreak="0">
    <w:nsid w:val="5A2D2EC4"/>
    <w:multiLevelType w:val="multilevel"/>
    <w:tmpl w:val="948EAD80"/>
    <w:styleLink w:val="Outline"/>
    <w:lvl w:ilvl="0">
      <w:start w:val="1"/>
      <w:numFmt w:val="decimal"/>
      <w:lvlText w:val="%1"/>
      <w:lvlJc w:val="left"/>
      <w:pPr>
        <w:ind w:left="7086" w:hanging="708"/>
      </w:pPr>
    </w:lvl>
    <w:lvl w:ilvl="1">
      <w:start w:val="1"/>
      <w:numFmt w:val="decimal"/>
      <w:lvlText w:val="%1.%2"/>
      <w:lvlJc w:val="left"/>
      <w:pPr>
        <w:ind w:left="1134" w:hanging="708"/>
      </w:pPr>
      <w:rPr>
        <w:rFonts w:ascii="Arial" w:hAnsi="Arial"/>
        <w:strike w:val="0"/>
        <w:dstrike w:val="0"/>
        <w:color w:val="auto"/>
        <w:sz w:val="22"/>
      </w:rPr>
    </w:lvl>
    <w:lvl w:ilvl="2">
      <w:start w:val="1"/>
      <w:numFmt w:val="decimal"/>
      <w:lvlText w:val="%1.%2.%3"/>
      <w:lvlJc w:val="left"/>
      <w:pPr>
        <w:ind w:left="2269" w:hanging="708"/>
      </w:pPr>
    </w:lvl>
    <w:lvl w:ilvl="3">
      <w:start w:val="1"/>
      <w:numFmt w:val="decimal"/>
      <w:lvlText w:val="%1.%2.%3.%4"/>
      <w:lvlJc w:val="left"/>
      <w:pPr>
        <w:ind w:left="3402" w:hanging="708"/>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9" w15:restartNumberingAfterBreak="0">
    <w:nsid w:val="5B0219F2"/>
    <w:multiLevelType w:val="multilevel"/>
    <w:tmpl w:val="3F12233A"/>
    <w:styleLink w:val="WWNum5"/>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0C534EC"/>
    <w:multiLevelType w:val="multilevel"/>
    <w:tmpl w:val="05CA51EE"/>
    <w:styleLink w:val="WWNum13"/>
    <w:lvl w:ilvl="0">
      <w:start w:val="7"/>
      <w:numFmt w:val="decimal"/>
      <w:lvlText w:val="%1"/>
      <w:lvlJc w:val="left"/>
      <w:pPr>
        <w:ind w:left="360" w:hanging="360"/>
      </w:pPr>
    </w:lvl>
    <w:lvl w:ilvl="1">
      <w:start w:val="1"/>
      <w:numFmt w:val="decimal"/>
      <w:lvlText w:val="%1.%2"/>
      <w:lvlJc w:val="left"/>
      <w:pPr>
        <w:ind w:left="360" w:hanging="360"/>
      </w:pPr>
      <w:rPr>
        <w:rFonts w:cs="Arial"/>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88147058">
    <w:abstractNumId w:val="7"/>
  </w:num>
  <w:num w:numId="2" w16cid:durableId="319847621">
    <w:abstractNumId w:val="9"/>
  </w:num>
  <w:num w:numId="3" w16cid:durableId="1313368829">
    <w:abstractNumId w:val="17"/>
  </w:num>
  <w:num w:numId="4" w16cid:durableId="1891645986">
    <w:abstractNumId w:val="12"/>
  </w:num>
  <w:num w:numId="5" w16cid:durableId="1068040785">
    <w:abstractNumId w:val="18"/>
  </w:num>
  <w:num w:numId="6" w16cid:durableId="831486664">
    <w:abstractNumId w:val="0"/>
  </w:num>
  <w:num w:numId="7" w16cid:durableId="982079850">
    <w:abstractNumId w:val="8"/>
  </w:num>
  <w:num w:numId="8" w16cid:durableId="1842694500">
    <w:abstractNumId w:val="3"/>
  </w:num>
  <w:num w:numId="9" w16cid:durableId="191840297">
    <w:abstractNumId w:val="14"/>
  </w:num>
  <w:num w:numId="10" w16cid:durableId="1672757174">
    <w:abstractNumId w:val="6"/>
  </w:num>
  <w:num w:numId="11" w16cid:durableId="1739136133">
    <w:abstractNumId w:val="19"/>
  </w:num>
  <w:num w:numId="12" w16cid:durableId="985089609">
    <w:abstractNumId w:val="16"/>
  </w:num>
  <w:num w:numId="13" w16cid:durableId="1344016558">
    <w:abstractNumId w:val="10"/>
  </w:num>
  <w:num w:numId="14" w16cid:durableId="2006742784">
    <w:abstractNumId w:val="4"/>
  </w:num>
  <w:num w:numId="15" w16cid:durableId="1347753273">
    <w:abstractNumId w:val="2"/>
  </w:num>
  <w:num w:numId="16" w16cid:durableId="1859612650">
    <w:abstractNumId w:val="15"/>
  </w:num>
  <w:num w:numId="17" w16cid:durableId="519777172">
    <w:abstractNumId w:val="11"/>
  </w:num>
  <w:num w:numId="18" w16cid:durableId="733164843">
    <w:abstractNumId w:val="1"/>
  </w:num>
  <w:num w:numId="19" w16cid:durableId="1007825407">
    <w:abstractNumId w:val="20"/>
  </w:num>
  <w:num w:numId="20" w16cid:durableId="815803987">
    <w:abstractNumId w:val="19"/>
    <w:lvlOverride w:ilvl="0">
      <w:startOverride w:val="1"/>
    </w:lvlOverride>
  </w:num>
  <w:num w:numId="21" w16cid:durableId="372389098">
    <w:abstractNumId w:val="16"/>
    <w:lvlOverride w:ilvl="0">
      <w:startOverride w:val="1"/>
    </w:lvlOverride>
  </w:num>
  <w:num w:numId="22" w16cid:durableId="476145627">
    <w:abstractNumId w:val="10"/>
    <w:lvlOverride w:ilvl="0">
      <w:startOverride w:val="1"/>
    </w:lvlOverride>
  </w:num>
  <w:num w:numId="23" w16cid:durableId="1913158526">
    <w:abstractNumId w:val="4"/>
    <w:lvlOverride w:ilvl="0">
      <w:startOverride w:val="1"/>
    </w:lvlOverride>
  </w:num>
  <w:num w:numId="24" w16cid:durableId="1682202993">
    <w:abstractNumId w:val="2"/>
    <w:lvlOverride w:ilvl="0">
      <w:startOverride w:val="1"/>
    </w:lvlOverride>
  </w:num>
  <w:num w:numId="25" w16cid:durableId="366373737">
    <w:abstractNumId w:val="20"/>
    <w:lvlOverride w:ilvl="0">
      <w:startOverride w:val="7"/>
    </w:lvlOverride>
  </w:num>
  <w:num w:numId="26" w16cid:durableId="164129982">
    <w:abstractNumId w:val="13"/>
  </w:num>
  <w:num w:numId="27" w16cid:durableId="1870293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51"/>
    <w:rsid w:val="00001937"/>
    <w:rsid w:val="000075DB"/>
    <w:rsid w:val="00047C6D"/>
    <w:rsid w:val="000672E0"/>
    <w:rsid w:val="000B40CD"/>
    <w:rsid w:val="00116F4E"/>
    <w:rsid w:val="001919D1"/>
    <w:rsid w:val="001E0D40"/>
    <w:rsid w:val="00247DA4"/>
    <w:rsid w:val="002C7A5E"/>
    <w:rsid w:val="002E0E83"/>
    <w:rsid w:val="0032567C"/>
    <w:rsid w:val="00326DA0"/>
    <w:rsid w:val="003E5CB5"/>
    <w:rsid w:val="003F00F1"/>
    <w:rsid w:val="003F2141"/>
    <w:rsid w:val="004336BF"/>
    <w:rsid w:val="004925E7"/>
    <w:rsid w:val="0056668E"/>
    <w:rsid w:val="00573562"/>
    <w:rsid w:val="005759F6"/>
    <w:rsid w:val="00585928"/>
    <w:rsid w:val="005B59BC"/>
    <w:rsid w:val="005D0D20"/>
    <w:rsid w:val="005F2D2A"/>
    <w:rsid w:val="00636CA0"/>
    <w:rsid w:val="006743E1"/>
    <w:rsid w:val="006977C4"/>
    <w:rsid w:val="00703236"/>
    <w:rsid w:val="0070721C"/>
    <w:rsid w:val="00732C92"/>
    <w:rsid w:val="0074390F"/>
    <w:rsid w:val="007565F5"/>
    <w:rsid w:val="00766A91"/>
    <w:rsid w:val="0077674B"/>
    <w:rsid w:val="007C0A26"/>
    <w:rsid w:val="007E6783"/>
    <w:rsid w:val="0080198E"/>
    <w:rsid w:val="00836FE3"/>
    <w:rsid w:val="00876263"/>
    <w:rsid w:val="00877B7F"/>
    <w:rsid w:val="008D3F67"/>
    <w:rsid w:val="008E5F44"/>
    <w:rsid w:val="008F0751"/>
    <w:rsid w:val="00926685"/>
    <w:rsid w:val="009C206B"/>
    <w:rsid w:val="009D3A70"/>
    <w:rsid w:val="009D7591"/>
    <w:rsid w:val="009F7B26"/>
    <w:rsid w:val="00A43BE3"/>
    <w:rsid w:val="00A540AF"/>
    <w:rsid w:val="00A72AD5"/>
    <w:rsid w:val="00AB5E6E"/>
    <w:rsid w:val="00B11C9F"/>
    <w:rsid w:val="00B141C4"/>
    <w:rsid w:val="00B372B8"/>
    <w:rsid w:val="00B44920"/>
    <w:rsid w:val="00BC238E"/>
    <w:rsid w:val="00BC781F"/>
    <w:rsid w:val="00BF58B2"/>
    <w:rsid w:val="00BF5F95"/>
    <w:rsid w:val="00C120CD"/>
    <w:rsid w:val="00C75372"/>
    <w:rsid w:val="00C84331"/>
    <w:rsid w:val="00C95ACB"/>
    <w:rsid w:val="00C96EA8"/>
    <w:rsid w:val="00CA78A0"/>
    <w:rsid w:val="00D3086B"/>
    <w:rsid w:val="00DB45EB"/>
    <w:rsid w:val="00DD55DB"/>
    <w:rsid w:val="00E01A6F"/>
    <w:rsid w:val="00EA0F6B"/>
    <w:rsid w:val="00EB21C2"/>
    <w:rsid w:val="00EF198E"/>
    <w:rsid w:val="00F137B9"/>
    <w:rsid w:val="00F74175"/>
    <w:rsid w:val="00F82F9F"/>
    <w:rsid w:val="00FA0BBC"/>
    <w:rsid w:val="00FC7B1C"/>
    <w:rsid w:val="00FF49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Arabic"/>
        <w:sz w:val="22"/>
        <w:szCs w:val="22"/>
        <w:lang w:val="cs-CZ"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Standard"/>
    <w:next w:val="Nadpis2"/>
    <w:uiPriority w:val="9"/>
    <w:qFormat/>
    <w:pPr>
      <w:keepNext/>
      <w:numPr>
        <w:numId w:val="1"/>
      </w:numPr>
      <w:spacing w:before="480" w:after="120" w:line="280" w:lineRule="atLeast"/>
      <w:jc w:val="both"/>
      <w:outlineLvl w:val="0"/>
    </w:pPr>
    <w:rPr>
      <w:rFonts w:eastAsia="Times New Roman" w:cs="Times New Roman"/>
      <w:b/>
      <w:caps/>
      <w:kern w:val="3"/>
      <w:sz w:val="20"/>
      <w:szCs w:val="20"/>
      <w:lang w:eastAsia="cs-CZ"/>
    </w:rPr>
  </w:style>
  <w:style w:type="paragraph" w:styleId="Nadpis2">
    <w:name w:val="heading 2"/>
    <w:basedOn w:val="Standard"/>
    <w:uiPriority w:val="9"/>
    <w:semiHidden/>
    <w:unhideWhenUsed/>
    <w:qFormat/>
    <w:pPr>
      <w:numPr>
        <w:ilvl w:val="1"/>
        <w:numId w:val="1"/>
      </w:numPr>
      <w:spacing w:after="120" w:line="280" w:lineRule="atLeast"/>
      <w:jc w:val="both"/>
      <w:outlineLvl w:val="1"/>
    </w:pPr>
    <w:rPr>
      <w:rFonts w:eastAsia="Times New Roman" w:cs="Times New Roman"/>
      <w:sz w:val="20"/>
      <w:szCs w:val="20"/>
      <w:lang w:eastAsia="cs-CZ"/>
    </w:rPr>
  </w:style>
  <w:style w:type="paragraph" w:styleId="Nadpis3">
    <w:name w:val="heading 3"/>
    <w:basedOn w:val="Standard"/>
    <w:uiPriority w:val="9"/>
    <w:semiHidden/>
    <w:unhideWhenUsed/>
    <w:qFormat/>
    <w:pPr>
      <w:numPr>
        <w:ilvl w:val="2"/>
        <w:numId w:val="1"/>
      </w:numPr>
      <w:spacing w:after="120" w:line="280" w:lineRule="atLeast"/>
      <w:jc w:val="both"/>
      <w:outlineLvl w:val="2"/>
    </w:pPr>
    <w:rPr>
      <w:rFonts w:eastAsia="Times New Roman" w:cs="Times New Roman"/>
      <w:sz w:val="20"/>
      <w:szCs w:val="20"/>
      <w:lang w:eastAsia="cs-CZ"/>
    </w:rPr>
  </w:style>
  <w:style w:type="paragraph" w:styleId="Nadpis4">
    <w:name w:val="heading 4"/>
    <w:basedOn w:val="Standard"/>
    <w:uiPriority w:val="9"/>
    <w:semiHidden/>
    <w:unhideWhenUsed/>
    <w:qFormat/>
    <w:pPr>
      <w:numPr>
        <w:ilvl w:val="3"/>
        <w:numId w:val="1"/>
      </w:numPr>
      <w:spacing w:after="120" w:line="280" w:lineRule="atLeast"/>
      <w:jc w:val="both"/>
      <w:outlineLvl w:val="3"/>
    </w:pPr>
    <w:rPr>
      <w:rFonts w:eastAsia="Times New Roman" w:cs="Times New Roman"/>
      <w:sz w:val="20"/>
      <w:szCs w:val="20"/>
      <w:lang w:eastAsia="cs-CZ"/>
    </w:rPr>
  </w:style>
  <w:style w:type="paragraph" w:styleId="Nadpis5">
    <w:name w:val="heading 5"/>
    <w:basedOn w:val="Standard"/>
    <w:uiPriority w:val="9"/>
    <w:semiHidden/>
    <w:unhideWhenUsed/>
    <w:qFormat/>
    <w:pPr>
      <w:numPr>
        <w:ilvl w:val="4"/>
        <w:numId w:val="1"/>
      </w:numPr>
      <w:spacing w:after="120" w:line="280" w:lineRule="atLeast"/>
      <w:jc w:val="both"/>
      <w:outlineLvl w:val="4"/>
    </w:pPr>
    <w:rPr>
      <w:rFonts w:eastAsia="Times New Roman" w:cs="Times New Roman"/>
      <w:sz w:val="20"/>
      <w:szCs w:val="20"/>
      <w:lang w:eastAsia="cs-CZ"/>
    </w:rPr>
  </w:style>
  <w:style w:type="paragraph" w:styleId="Nadpis6">
    <w:name w:val="heading 6"/>
    <w:basedOn w:val="Standard"/>
    <w:uiPriority w:val="9"/>
    <w:semiHidden/>
    <w:unhideWhenUsed/>
    <w:qFormat/>
    <w:pPr>
      <w:numPr>
        <w:ilvl w:val="5"/>
        <w:numId w:val="1"/>
      </w:numPr>
      <w:spacing w:after="120" w:line="280" w:lineRule="atLeast"/>
      <w:jc w:val="both"/>
      <w:outlineLvl w:val="5"/>
    </w:pPr>
    <w:rPr>
      <w:rFonts w:eastAsia="Times New Roman" w:cs="Times New Roman"/>
      <w:sz w:val="20"/>
      <w:szCs w:val="20"/>
      <w:lang w:eastAsia="cs-CZ"/>
    </w:rPr>
  </w:style>
  <w:style w:type="paragraph" w:styleId="Nadpis7">
    <w:name w:val="heading 7"/>
    <w:basedOn w:val="Standard"/>
    <w:pPr>
      <w:numPr>
        <w:ilvl w:val="6"/>
        <w:numId w:val="1"/>
      </w:numPr>
      <w:spacing w:after="120" w:line="280" w:lineRule="atLeast"/>
      <w:jc w:val="both"/>
      <w:outlineLvl w:val="6"/>
    </w:pPr>
    <w:rPr>
      <w:rFonts w:eastAsia="Times New Roman" w:cs="Times New Roman"/>
      <w:sz w:val="20"/>
      <w:szCs w:val="20"/>
      <w:lang w:eastAsia="cs-CZ"/>
    </w:rPr>
  </w:style>
  <w:style w:type="paragraph" w:styleId="Nadpis8">
    <w:name w:val="heading 8"/>
    <w:basedOn w:val="Standard"/>
    <w:pPr>
      <w:numPr>
        <w:ilvl w:val="7"/>
        <w:numId w:val="1"/>
      </w:numPr>
      <w:spacing w:after="120" w:line="280" w:lineRule="atLeast"/>
      <w:jc w:val="both"/>
      <w:outlineLvl w:val="7"/>
    </w:pPr>
    <w:rPr>
      <w:rFonts w:eastAsia="Times New Roman" w:cs="Times New Roman"/>
      <w:sz w:val="20"/>
      <w:szCs w:val="20"/>
      <w:lang w:eastAsia="cs-CZ"/>
    </w:rPr>
  </w:style>
  <w:style w:type="paragraph" w:styleId="Nadpis9">
    <w:name w:val="heading 9"/>
    <w:basedOn w:val="Standard"/>
    <w:pPr>
      <w:numPr>
        <w:ilvl w:val="8"/>
        <w:numId w:val="1"/>
      </w:numPr>
      <w:spacing w:after="120" w:line="280" w:lineRule="atLeast"/>
      <w:jc w:val="both"/>
      <w:outlineLvl w:val="8"/>
    </w:pPr>
    <w:rPr>
      <w:rFonts w:eastAsia="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3">
    <w:name w:val="WW_OutlineListStyle_3"/>
    <w:basedOn w:val="Bezseznamu"/>
    <w:pPr>
      <w:numPr>
        <w:numId w:val="1"/>
      </w:numPr>
    </w:pPr>
  </w:style>
  <w:style w:type="paragraph" w:customStyle="1" w:styleId="Standard">
    <w:name w:val="Standard"/>
    <w:pPr>
      <w:widowControl/>
      <w:suppressAutoHyphens/>
      <w:spacing w:after="160" w:line="249" w:lineRule="auto"/>
    </w:pPr>
  </w:style>
  <w:style w:type="paragraph" w:customStyle="1" w:styleId="Heading">
    <w:name w:val="Heading"/>
    <w:basedOn w:val="Standard"/>
    <w:next w:val="Textbody"/>
    <w:pPr>
      <w:keepNext/>
      <w:spacing w:before="240" w:after="120"/>
    </w:pPr>
    <w:rPr>
      <w:rFonts w:ascii="Liberation Sans" w:eastAsia="Noto Sans CJK SC" w:hAnsi="Liberation Sans" w:cs="Noto Sans Devanagari"/>
      <w:sz w:val="28"/>
      <w:szCs w:val="28"/>
    </w:rPr>
  </w:style>
  <w:style w:type="paragraph" w:customStyle="1" w:styleId="Textbody">
    <w:name w:val="Text body"/>
    <w:basedOn w:val="Standard"/>
    <w:pPr>
      <w:spacing w:after="140" w:line="276" w:lineRule="auto"/>
    </w:pPr>
  </w:style>
  <w:style w:type="paragraph" w:styleId="Seznam">
    <w:name w:val="List"/>
    <w:basedOn w:val="Textbody"/>
    <w:rPr>
      <w:rFonts w:cs="Noto Sans Devanagari"/>
    </w:rPr>
  </w:style>
  <w:style w:type="paragraph" w:styleId="Titulek">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rPr>
  </w:style>
  <w:style w:type="paragraph" w:customStyle="1" w:styleId="HeaderandFooter">
    <w:name w:val="Header and Footer"/>
    <w:basedOn w:val="Standard"/>
  </w:style>
  <w:style w:type="paragraph" w:styleId="Zpat">
    <w:name w:val="footer"/>
    <w:basedOn w:val="Standard"/>
    <w:pPr>
      <w:tabs>
        <w:tab w:val="center" w:pos="4536"/>
        <w:tab w:val="right" w:pos="9072"/>
      </w:tabs>
      <w:spacing w:after="0" w:line="240" w:lineRule="auto"/>
    </w:pPr>
  </w:style>
  <w:style w:type="paragraph" w:styleId="Zhlav">
    <w:name w:val="header"/>
    <w:basedOn w:val="Standard"/>
    <w:pPr>
      <w:tabs>
        <w:tab w:val="center" w:pos="4536"/>
        <w:tab w:val="right" w:pos="9072"/>
      </w:tabs>
      <w:spacing w:after="0" w:line="240" w:lineRule="auto"/>
    </w:pPr>
  </w:style>
  <w:style w:type="paragraph" w:customStyle="1" w:styleId="Odstdop">
    <w:name w:val="Odst. č.dop."/>
    <w:pPr>
      <w:widowControl/>
      <w:suppressAutoHyphens/>
      <w:spacing w:before="120"/>
      <w:ind w:firstLine="709"/>
      <w:jc w:val="both"/>
    </w:pPr>
    <w:rPr>
      <w:rFonts w:ascii="Arial" w:eastAsia="Times New Roman" w:hAnsi="Arial" w:cs="Times New Roman"/>
      <w:szCs w:val="20"/>
    </w:rPr>
  </w:style>
  <w:style w:type="paragraph" w:styleId="Textbubliny">
    <w:name w:val="Balloon Text"/>
    <w:basedOn w:val="Standard"/>
    <w:pPr>
      <w:spacing w:after="0" w:line="240" w:lineRule="auto"/>
    </w:pPr>
    <w:rPr>
      <w:rFonts w:ascii="Segoe UI" w:eastAsia="Segoe UI" w:hAnsi="Segoe UI" w:cs="Segoe UI"/>
      <w:sz w:val="18"/>
      <w:szCs w:val="18"/>
    </w:rPr>
  </w:style>
  <w:style w:type="paragraph" w:customStyle="1" w:styleId="CommentText">
    <w:name w:val="Comment Text"/>
    <w:basedOn w:val="Standard"/>
    <w:pPr>
      <w:spacing w:line="240" w:lineRule="auto"/>
    </w:pPr>
    <w:rPr>
      <w:sz w:val="20"/>
      <w:szCs w:val="20"/>
    </w:rPr>
  </w:style>
  <w:style w:type="paragraph" w:customStyle="1" w:styleId="CommentSubject">
    <w:name w:val="Comment Subject"/>
    <w:basedOn w:val="CommentText"/>
    <w:next w:val="CommentText"/>
    <w:rPr>
      <w:b/>
      <w:bCs/>
    </w:rPr>
  </w:style>
  <w:style w:type="paragraph" w:styleId="Odstavecseseznamem">
    <w:name w:val="List Paragraph"/>
    <w:basedOn w:val="Standard"/>
    <w:pPr>
      <w:ind w:left="720"/>
      <w:contextualSpacing/>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Textbody"/>
    <w:pPr>
      <w:spacing w:before="60" w:after="60"/>
      <w:outlineLvl w:val="8"/>
    </w:pPr>
    <w:rPr>
      <w:b/>
      <w:bCs/>
      <w:sz w:val="21"/>
      <w:szCs w:val="21"/>
    </w:rPr>
  </w:style>
  <w:style w:type="character" w:customStyle="1" w:styleId="ZpatChar">
    <w:name w:val="Zápatí Char"/>
    <w:basedOn w:val="Standardnpsmoodstavce"/>
  </w:style>
  <w:style w:type="character" w:styleId="slostrnky">
    <w:name w:val="page number"/>
    <w:basedOn w:val="Standardnpsmoodstavce"/>
  </w:style>
  <w:style w:type="character" w:customStyle="1" w:styleId="nounderline">
    <w:name w:val="nounderline"/>
    <w:basedOn w:val="Standardnpsmoodstavce"/>
  </w:style>
  <w:style w:type="character" w:customStyle="1" w:styleId="preformatted">
    <w:name w:val="preformatted"/>
    <w:basedOn w:val="Standardnpsmoodstavce"/>
  </w:style>
  <w:style w:type="character" w:customStyle="1" w:styleId="nowrap">
    <w:name w:val="nowrap"/>
    <w:basedOn w:val="Standardnpsmoodstavce"/>
  </w:style>
  <w:style w:type="character" w:customStyle="1" w:styleId="ZhlavChar">
    <w:name w:val="Záhlaví Char"/>
    <w:basedOn w:val="Standardnpsmoodstavce"/>
  </w:style>
  <w:style w:type="character" w:customStyle="1" w:styleId="TextbublinyChar">
    <w:name w:val="Text bubliny Char"/>
    <w:basedOn w:val="Standardnpsmoodstavce"/>
    <w:rPr>
      <w:rFonts w:ascii="Segoe UI" w:eastAsia="Segoe UI" w:hAnsi="Segoe UI" w:cs="Segoe UI"/>
      <w:sz w:val="18"/>
      <w:szCs w:val="18"/>
    </w:rPr>
  </w:style>
  <w:style w:type="character" w:customStyle="1" w:styleId="CommentReference">
    <w:name w:val="Comment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Nadpis1Char">
    <w:name w:val="Nadpis 1 Char"/>
    <w:basedOn w:val="Standardnpsmoodstavce"/>
    <w:rPr>
      <w:rFonts w:eastAsia="Times New Roman" w:cs="Times New Roman"/>
      <w:b/>
      <w:caps/>
      <w:kern w:val="3"/>
      <w:sz w:val="20"/>
      <w:szCs w:val="20"/>
      <w:lang w:eastAsia="cs-CZ"/>
    </w:rPr>
  </w:style>
  <w:style w:type="character" w:customStyle="1" w:styleId="Nadpis2Char">
    <w:name w:val="Nadpis 2 Char"/>
    <w:basedOn w:val="Standardnpsmoodstavce"/>
    <w:rPr>
      <w:rFonts w:eastAsia="Times New Roman" w:cs="Times New Roman"/>
      <w:sz w:val="20"/>
      <w:szCs w:val="20"/>
      <w:lang w:eastAsia="cs-CZ"/>
    </w:rPr>
  </w:style>
  <w:style w:type="character" w:customStyle="1" w:styleId="Nadpis3Char">
    <w:name w:val="Nadpis 3 Char"/>
    <w:basedOn w:val="Standardnpsmoodstavce"/>
    <w:rPr>
      <w:rFonts w:eastAsia="Times New Roman" w:cs="Times New Roman"/>
      <w:sz w:val="20"/>
      <w:szCs w:val="20"/>
      <w:lang w:eastAsia="cs-CZ"/>
    </w:rPr>
  </w:style>
  <w:style w:type="character" w:customStyle="1" w:styleId="Nadpis4Char">
    <w:name w:val="Nadpis 4 Char"/>
    <w:basedOn w:val="Standardnpsmoodstavce"/>
    <w:rPr>
      <w:rFonts w:eastAsia="Times New Roman" w:cs="Times New Roman"/>
      <w:sz w:val="20"/>
      <w:szCs w:val="20"/>
      <w:lang w:eastAsia="cs-CZ"/>
    </w:rPr>
  </w:style>
  <w:style w:type="character" w:customStyle="1" w:styleId="Nadpis5Char">
    <w:name w:val="Nadpis 5 Char"/>
    <w:basedOn w:val="Standardnpsmoodstavce"/>
    <w:rPr>
      <w:rFonts w:eastAsia="Times New Roman" w:cs="Times New Roman"/>
      <w:sz w:val="20"/>
      <w:szCs w:val="20"/>
      <w:lang w:eastAsia="cs-CZ"/>
    </w:rPr>
  </w:style>
  <w:style w:type="character" w:customStyle="1" w:styleId="Nadpis6Char">
    <w:name w:val="Nadpis 6 Char"/>
    <w:basedOn w:val="Standardnpsmoodstavce"/>
    <w:rPr>
      <w:rFonts w:eastAsia="Times New Roman" w:cs="Times New Roman"/>
      <w:sz w:val="20"/>
      <w:szCs w:val="20"/>
      <w:lang w:eastAsia="cs-CZ"/>
    </w:rPr>
  </w:style>
  <w:style w:type="character" w:customStyle="1" w:styleId="Nadpis7Char">
    <w:name w:val="Nadpis 7 Char"/>
    <w:basedOn w:val="Standardnpsmoodstavce"/>
    <w:rPr>
      <w:rFonts w:eastAsia="Times New Roman" w:cs="Times New Roman"/>
      <w:sz w:val="20"/>
      <w:szCs w:val="20"/>
      <w:lang w:eastAsia="cs-CZ"/>
    </w:rPr>
  </w:style>
  <w:style w:type="character" w:customStyle="1" w:styleId="Nadpis8Char">
    <w:name w:val="Nadpis 8 Char"/>
    <w:basedOn w:val="Standardnpsmoodstavce"/>
    <w:rPr>
      <w:rFonts w:eastAsia="Times New Roman" w:cs="Times New Roman"/>
      <w:sz w:val="20"/>
      <w:szCs w:val="20"/>
      <w:lang w:eastAsia="cs-CZ"/>
    </w:rPr>
  </w:style>
  <w:style w:type="character" w:customStyle="1" w:styleId="Nadpis9Char">
    <w:name w:val="Nadpis 9 Char"/>
    <w:basedOn w:val="Standardnpsmoodstavce"/>
    <w:rPr>
      <w:rFonts w:eastAsia="Times New Roman" w:cs="Times New Roman"/>
      <w:sz w:val="20"/>
      <w:szCs w:val="20"/>
      <w:lang w:eastAsia="cs-CZ"/>
    </w:rPr>
  </w:style>
  <w:style w:type="character" w:customStyle="1" w:styleId="Internetlink">
    <w:name w:val="Internet link"/>
    <w:basedOn w:val="Standardnpsmoodstavce"/>
    <w:rPr>
      <w:color w:val="0563C1"/>
      <w:u w:val="single"/>
    </w:rPr>
  </w:style>
  <w:style w:type="character" w:styleId="Nevyeenzmnka">
    <w:name w:val="Unresolved Mention"/>
    <w:basedOn w:val="Standardnpsmoodstavce"/>
    <w:rPr>
      <w:color w:val="605E5C"/>
      <w:shd w:val="clear" w:color="auto" w:fill="E1DFDD"/>
    </w:rPr>
  </w:style>
  <w:style w:type="character" w:customStyle="1" w:styleId="ListLabel1">
    <w:name w:val="ListLabel 1"/>
    <w:rPr>
      <w:rFonts w:ascii="Arial" w:eastAsia="Arial" w:hAnsi="Arial" w:cs="Arial"/>
      <w:strike w:val="0"/>
      <w:dstrike w:val="0"/>
      <w:color w:val="auto"/>
      <w:sz w:val="22"/>
    </w:rPr>
  </w:style>
  <w:style w:type="character" w:customStyle="1" w:styleId="ListLabel2">
    <w:name w:val="ListLabel 2"/>
    <w:rPr>
      <w:b/>
    </w:rPr>
  </w:style>
  <w:style w:type="character" w:customStyle="1" w:styleId="ListLabel3">
    <w:name w:val="ListLabel 3"/>
    <w:rPr>
      <w:b/>
    </w:rPr>
  </w:style>
  <w:style w:type="character" w:customStyle="1" w:styleId="ListLabel4">
    <w:name w:val="ListLabel 4"/>
    <w:rPr>
      <w:b/>
    </w:rPr>
  </w:style>
  <w:style w:type="character" w:customStyle="1" w:styleId="ListLabel5">
    <w:name w:val="ListLabel 5"/>
    <w:rPr>
      <w:b/>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b/>
    </w:rPr>
  </w:style>
  <w:style w:type="character" w:customStyle="1" w:styleId="ListLabel9">
    <w:name w:val="ListLabel 9"/>
    <w:rPr>
      <w:b/>
    </w:rPr>
  </w:style>
  <w:style w:type="character" w:customStyle="1" w:styleId="ListLabel10">
    <w:name w:val="ListLabel 10"/>
    <w:rPr>
      <w:rFonts w:cs="Calibri"/>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rPr>
  </w:style>
  <w:style w:type="character" w:customStyle="1" w:styleId="ListLabel20">
    <w:name w:val="ListLabel 20"/>
    <w:rPr>
      <w:rFonts w:cs="Arial"/>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OutlineListStyle2">
    <w:name w:val="WW_OutlineListStyle_2"/>
    <w:basedOn w:val="Bezseznamu"/>
    <w:pPr>
      <w:numPr>
        <w:numId w:val="2"/>
      </w:numPr>
    </w:pPr>
  </w:style>
  <w:style w:type="numbering" w:customStyle="1" w:styleId="WWOutlineListStyle1">
    <w:name w:val="WW_OutlineListStyle_1"/>
    <w:basedOn w:val="Bezseznamu"/>
    <w:pPr>
      <w:numPr>
        <w:numId w:val="3"/>
      </w:numPr>
    </w:pPr>
  </w:style>
  <w:style w:type="numbering" w:customStyle="1" w:styleId="WWOutlineListStyle">
    <w:name w:val="WW_OutlineListStyle"/>
    <w:basedOn w:val="Bezseznamu"/>
    <w:pPr>
      <w:numPr>
        <w:numId w:val="4"/>
      </w:numPr>
    </w:pPr>
  </w:style>
  <w:style w:type="numbering" w:customStyle="1" w:styleId="Outline">
    <w:name w:val="Outline"/>
    <w:basedOn w:val="Bezseznamu"/>
    <w:pPr>
      <w:numPr>
        <w:numId w:val="5"/>
      </w:numPr>
    </w:pPr>
  </w:style>
  <w:style w:type="numbering" w:customStyle="1" w:styleId="NoList1">
    <w:name w:val="No List_1"/>
    <w:basedOn w:val="Bezseznamu"/>
    <w:pPr>
      <w:numPr>
        <w:numId w:val="6"/>
      </w:numPr>
    </w:pPr>
  </w:style>
  <w:style w:type="numbering" w:customStyle="1" w:styleId="WWNum1">
    <w:name w:val="WWNum1"/>
    <w:basedOn w:val="Bezseznamu"/>
    <w:pPr>
      <w:numPr>
        <w:numId w:val="7"/>
      </w:numPr>
    </w:pPr>
  </w:style>
  <w:style w:type="numbering" w:customStyle="1" w:styleId="WWNum2">
    <w:name w:val="WWNum2"/>
    <w:basedOn w:val="Bezseznamu"/>
    <w:pPr>
      <w:numPr>
        <w:numId w:val="8"/>
      </w:numPr>
    </w:pPr>
  </w:style>
  <w:style w:type="numbering" w:customStyle="1" w:styleId="WWNum3">
    <w:name w:val="WWNum3"/>
    <w:basedOn w:val="Bezseznamu"/>
    <w:pPr>
      <w:numPr>
        <w:numId w:val="9"/>
      </w:numPr>
    </w:pPr>
  </w:style>
  <w:style w:type="numbering" w:customStyle="1" w:styleId="WWNum4">
    <w:name w:val="WWNum4"/>
    <w:basedOn w:val="Bezseznamu"/>
    <w:pPr>
      <w:numPr>
        <w:numId w:val="10"/>
      </w:numPr>
    </w:pPr>
  </w:style>
  <w:style w:type="numbering" w:customStyle="1" w:styleId="WWNum5">
    <w:name w:val="WWNum5"/>
    <w:basedOn w:val="Bezseznamu"/>
    <w:pPr>
      <w:numPr>
        <w:numId w:val="11"/>
      </w:numPr>
    </w:pPr>
  </w:style>
  <w:style w:type="numbering" w:customStyle="1" w:styleId="WWNum6">
    <w:name w:val="WWNum6"/>
    <w:basedOn w:val="Bezseznamu"/>
    <w:pPr>
      <w:numPr>
        <w:numId w:val="12"/>
      </w:numPr>
    </w:pPr>
  </w:style>
  <w:style w:type="numbering" w:customStyle="1" w:styleId="WWNum7">
    <w:name w:val="WWNum7"/>
    <w:basedOn w:val="Bezseznamu"/>
    <w:pPr>
      <w:numPr>
        <w:numId w:val="13"/>
      </w:numPr>
    </w:pPr>
  </w:style>
  <w:style w:type="numbering" w:customStyle="1" w:styleId="WWNum8">
    <w:name w:val="WWNum8"/>
    <w:basedOn w:val="Bezseznamu"/>
    <w:pPr>
      <w:numPr>
        <w:numId w:val="14"/>
      </w:numPr>
    </w:pPr>
  </w:style>
  <w:style w:type="numbering" w:customStyle="1" w:styleId="WWNum9">
    <w:name w:val="WWNum9"/>
    <w:basedOn w:val="Bezseznamu"/>
    <w:pPr>
      <w:numPr>
        <w:numId w:val="15"/>
      </w:numPr>
    </w:pPr>
  </w:style>
  <w:style w:type="numbering" w:customStyle="1" w:styleId="WWNum10">
    <w:name w:val="WWNum10"/>
    <w:basedOn w:val="Bezseznamu"/>
    <w:pPr>
      <w:numPr>
        <w:numId w:val="16"/>
      </w:numPr>
    </w:pPr>
  </w:style>
  <w:style w:type="numbering" w:customStyle="1" w:styleId="WWNum11">
    <w:name w:val="WWNum11"/>
    <w:basedOn w:val="Bezseznamu"/>
    <w:pPr>
      <w:numPr>
        <w:numId w:val="17"/>
      </w:numPr>
    </w:pPr>
  </w:style>
  <w:style w:type="numbering" w:customStyle="1" w:styleId="WWNum12">
    <w:name w:val="WWNum12"/>
    <w:basedOn w:val="Bezseznamu"/>
    <w:pPr>
      <w:numPr>
        <w:numId w:val="18"/>
      </w:numPr>
    </w:pPr>
  </w:style>
  <w:style w:type="numbering" w:customStyle="1" w:styleId="WWNum13">
    <w:name w:val="WWNum13"/>
    <w:basedOn w:val="Bezseznamu"/>
    <w:pPr>
      <w:numPr>
        <w:numId w:val="19"/>
      </w:numPr>
    </w:pPr>
  </w:style>
  <w:style w:type="paragraph" w:styleId="Revize">
    <w:name w:val="Revision"/>
    <w:hidden/>
    <w:uiPriority w:val="99"/>
    <w:semiHidden/>
    <w:rsid w:val="001E0D40"/>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41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13790</Characters>
  <Application>Microsoft Office Word</Application>
  <DocSecurity>0</DocSecurity>
  <Lines>114</Lines>
  <Paragraphs>32</Paragraphs>
  <ScaleCrop>false</ScaleCrop>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2024-04-10T05:17:00Z</dcterms:created>
  <dcterms:modified xsi:type="dcterms:W3CDTF">2024-04-10T05:18:00Z</dcterms:modified>
</cp:coreProperties>
</file>