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B354" w14:textId="77777777" w:rsidR="009E5C69" w:rsidRDefault="009E5C69" w:rsidP="009E5C69">
      <w:pPr>
        <w:pStyle w:val="Podnadpis"/>
        <w:spacing w:after="120"/>
        <w:jc w:val="left"/>
        <w:rPr>
          <w:rFonts w:ascii="Tahoma" w:hAnsi="Tahoma" w:cs="Tahoma"/>
          <w:sz w:val="24"/>
          <w:szCs w:val="24"/>
        </w:rPr>
      </w:pPr>
    </w:p>
    <w:p w14:paraId="56EC1A85" w14:textId="3AC24864" w:rsidR="009E5C69" w:rsidRDefault="00A54991" w:rsidP="009E5C69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</w:p>
    <w:p w14:paraId="084DD013" w14:textId="5C6983A4" w:rsidR="00A54991" w:rsidRPr="00EB5AEF" w:rsidRDefault="00A54991" w:rsidP="009E5C69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="00AE4E91" w:rsidRPr="00EB5AEF">
        <w:rPr>
          <w:rFonts w:ascii="Tahoma" w:hAnsi="Tahoma" w:cs="Tahoma"/>
          <w:sz w:val="24"/>
          <w:szCs w:val="24"/>
        </w:rPr>
        <w:t>autorsk</w:t>
      </w:r>
      <w:r w:rsidR="00D1279F" w:rsidRPr="00EB5AEF">
        <w:rPr>
          <w:rFonts w:ascii="Tahoma" w:hAnsi="Tahoma" w:cs="Tahoma"/>
          <w:sz w:val="24"/>
          <w:szCs w:val="24"/>
        </w:rPr>
        <w:t xml:space="preserve">ého </w:t>
      </w:r>
      <w:r w:rsidRPr="00EB5AEF">
        <w:rPr>
          <w:rFonts w:ascii="Tahoma" w:hAnsi="Tahoma" w:cs="Tahoma"/>
          <w:sz w:val="24"/>
          <w:szCs w:val="24"/>
        </w:rPr>
        <w:t>dozor</w:t>
      </w:r>
      <w:r w:rsidR="00D1279F" w:rsidRPr="00EB5AEF">
        <w:rPr>
          <w:rFonts w:ascii="Tahoma" w:hAnsi="Tahoma" w:cs="Tahoma"/>
          <w:sz w:val="24"/>
          <w:szCs w:val="24"/>
        </w:rPr>
        <w:t>u</w:t>
      </w:r>
    </w:p>
    <w:p w14:paraId="2C341EDA" w14:textId="77777777" w:rsidR="00A54991" w:rsidRPr="00080BAF" w:rsidRDefault="00A54991" w:rsidP="002F5FFC">
      <w:pPr>
        <w:pStyle w:val="Nadpis2"/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2F5FFC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4B0F37F" w14:textId="77777777" w:rsidR="0070154A" w:rsidRPr="0070154A" w:rsidRDefault="0070154A" w:rsidP="0070154A">
      <w:pPr>
        <w:numPr>
          <w:ilvl w:val="0"/>
          <w:numId w:val="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0154A">
        <w:rPr>
          <w:rFonts w:ascii="Tahoma" w:hAnsi="Tahoma" w:cs="Tahoma"/>
          <w:b/>
          <w:sz w:val="22"/>
          <w:szCs w:val="22"/>
        </w:rPr>
        <w:t>Obchodní akademie a Vyšší odborná škola sociální, příspěvková organizace Ostrava-Mariánské Hory</w:t>
      </w:r>
    </w:p>
    <w:p w14:paraId="037A12E0" w14:textId="2C00F7EC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 xml:space="preserve">se </w:t>
      </w:r>
      <w:proofErr w:type="gramStart"/>
      <w:r w:rsidRPr="0070154A">
        <w:rPr>
          <w:rFonts w:ascii="Tahoma" w:hAnsi="Tahoma" w:cs="Tahoma"/>
          <w:sz w:val="22"/>
          <w:szCs w:val="22"/>
        </w:rPr>
        <w:t xml:space="preserve">sídlem:   </w:t>
      </w:r>
      <w:proofErr w:type="gramEnd"/>
      <w:r w:rsidRPr="0070154A">
        <w:rPr>
          <w:rFonts w:ascii="Tahoma" w:hAnsi="Tahoma" w:cs="Tahoma"/>
          <w:sz w:val="22"/>
          <w:szCs w:val="22"/>
        </w:rPr>
        <w:t xml:space="preserve"> Karasova 1140/16</w:t>
      </w:r>
      <w:r w:rsidR="00AF5313">
        <w:rPr>
          <w:rFonts w:ascii="Tahoma" w:hAnsi="Tahoma" w:cs="Tahoma"/>
          <w:sz w:val="22"/>
          <w:szCs w:val="22"/>
        </w:rPr>
        <w:t>, 709 00 Ostrava-Mariánské Hory</w:t>
      </w:r>
      <w:r w:rsidRPr="0070154A">
        <w:rPr>
          <w:rFonts w:ascii="Tahoma" w:hAnsi="Tahoma" w:cs="Tahoma"/>
          <w:sz w:val="22"/>
          <w:szCs w:val="22"/>
        </w:rPr>
        <w:tab/>
      </w:r>
    </w:p>
    <w:p w14:paraId="7D32D6A4" w14:textId="05380188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 w:rsidRPr="0070154A">
        <w:rPr>
          <w:rFonts w:ascii="Tahoma" w:hAnsi="Tahoma" w:cs="Tahoma"/>
          <w:sz w:val="22"/>
          <w:szCs w:val="22"/>
        </w:rPr>
        <w:t>zastoupena:,</w:t>
      </w:r>
      <w:proofErr w:type="gramEnd"/>
      <w:r w:rsidRPr="0070154A">
        <w:rPr>
          <w:rFonts w:ascii="Tahoma" w:hAnsi="Tahoma" w:cs="Tahoma"/>
          <w:sz w:val="22"/>
          <w:szCs w:val="22"/>
        </w:rPr>
        <w:t xml:space="preserve"> </w:t>
      </w:r>
      <w:r w:rsidR="00DE47E3" w:rsidRPr="000D2763">
        <w:rPr>
          <w:rFonts w:ascii="Tahoma" w:hAnsi="Tahoma" w:cs="Tahoma"/>
          <w:sz w:val="22"/>
          <w:szCs w:val="22"/>
        </w:rPr>
        <w:t xml:space="preserve">zástupce statutárního orgánu </w:t>
      </w:r>
    </w:p>
    <w:p w14:paraId="2261456B" w14:textId="3C7D8020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IČO: 00602086</w:t>
      </w:r>
      <w:r w:rsidRPr="0070154A">
        <w:rPr>
          <w:rFonts w:ascii="Tahoma" w:hAnsi="Tahoma" w:cs="Tahoma"/>
          <w:sz w:val="22"/>
          <w:szCs w:val="22"/>
        </w:rPr>
        <w:tab/>
      </w:r>
    </w:p>
    <w:p w14:paraId="08B0ECD2" w14:textId="57F49D82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DIČ:</w:t>
      </w:r>
      <w:r w:rsidR="003A3BC3">
        <w:rPr>
          <w:rFonts w:ascii="Tahoma" w:hAnsi="Tahoma" w:cs="Tahoma"/>
          <w:sz w:val="22"/>
          <w:szCs w:val="22"/>
        </w:rPr>
        <w:t xml:space="preserve"> - </w:t>
      </w:r>
      <w:r w:rsidRPr="0070154A">
        <w:rPr>
          <w:rFonts w:ascii="Tahoma" w:hAnsi="Tahoma" w:cs="Tahoma"/>
          <w:sz w:val="22"/>
          <w:szCs w:val="22"/>
        </w:rPr>
        <w:tab/>
      </w:r>
    </w:p>
    <w:p w14:paraId="0679EAB1" w14:textId="77777777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bankovní spojení: Komerční banka Ostrava</w:t>
      </w:r>
      <w:r w:rsidRPr="0070154A">
        <w:rPr>
          <w:rFonts w:ascii="Tahoma" w:hAnsi="Tahoma" w:cs="Tahoma"/>
          <w:sz w:val="22"/>
          <w:szCs w:val="22"/>
        </w:rPr>
        <w:tab/>
      </w:r>
    </w:p>
    <w:p w14:paraId="0E2D36D6" w14:textId="1B93127B" w:rsidR="0070154A" w:rsidRPr="0070154A" w:rsidRDefault="0070154A" w:rsidP="0070154A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číslo účtu: 62235761/0100</w:t>
      </w:r>
    </w:p>
    <w:p w14:paraId="779D5B7F" w14:textId="77777777" w:rsidR="0070154A" w:rsidRPr="0070154A" w:rsidRDefault="0070154A" w:rsidP="0070154A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6ACC1A55" w14:textId="04840DD3" w:rsidR="0070154A" w:rsidRPr="0070154A" w:rsidRDefault="0070154A" w:rsidP="0070154A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, tel.</w:t>
      </w:r>
      <w:proofErr w:type="gramStart"/>
      <w:r w:rsidRPr="0070154A">
        <w:rPr>
          <w:rFonts w:ascii="Tahoma" w:hAnsi="Tahoma" w:cs="Tahoma"/>
          <w:sz w:val="22"/>
          <w:szCs w:val="22"/>
        </w:rPr>
        <w:t>: ,</w:t>
      </w:r>
      <w:proofErr w:type="gramEnd"/>
      <w:r w:rsidRPr="0070154A">
        <w:rPr>
          <w:rFonts w:ascii="Tahoma" w:hAnsi="Tahoma" w:cs="Tahoma"/>
          <w:sz w:val="22"/>
          <w:szCs w:val="22"/>
        </w:rPr>
        <w:t xml:space="preserve"> e</w:t>
      </w:r>
      <w:r w:rsidRPr="0070154A">
        <w:rPr>
          <w:rFonts w:ascii="Tahoma" w:hAnsi="Tahoma" w:cs="Tahoma"/>
          <w:sz w:val="22"/>
          <w:szCs w:val="22"/>
        </w:rPr>
        <w:noBreakHyphen/>
        <w:t>mail: </w:t>
      </w:r>
    </w:p>
    <w:p w14:paraId="331B312E" w14:textId="77777777" w:rsidR="0070154A" w:rsidRPr="0070154A" w:rsidRDefault="0070154A" w:rsidP="0070154A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0154A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3297AE7" w14:textId="23239410" w:rsidR="00A54991" w:rsidRPr="00080BAF" w:rsidRDefault="00220190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ARTENDR s.r.o.</w:t>
      </w:r>
    </w:p>
    <w:p w14:paraId="595CABC9" w14:textId="01A41682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e </w:t>
      </w:r>
      <w:proofErr w:type="gramStart"/>
      <w:r w:rsidR="00A54991" w:rsidRPr="00080BAF">
        <w:rPr>
          <w:rFonts w:ascii="Tahoma" w:hAnsi="Tahoma" w:cs="Tahoma"/>
          <w:sz w:val="22"/>
          <w:szCs w:val="22"/>
        </w:rPr>
        <w:t>sídlem:</w:t>
      </w:r>
      <w:r w:rsidR="00220190">
        <w:rPr>
          <w:rFonts w:ascii="Tahoma" w:hAnsi="Tahoma" w:cs="Tahoma"/>
          <w:sz w:val="22"/>
          <w:szCs w:val="22"/>
        </w:rPr>
        <w:t xml:space="preserve">   </w:t>
      </w:r>
      <w:proofErr w:type="gramEnd"/>
      <w:r w:rsidR="00220190">
        <w:rPr>
          <w:rFonts w:ascii="Tahoma" w:hAnsi="Tahoma" w:cs="Tahoma"/>
          <w:sz w:val="22"/>
          <w:szCs w:val="22"/>
        </w:rPr>
        <w:t xml:space="preserve">  Nádražní 67, 281 51 Velký Osek</w:t>
      </w:r>
      <w:r>
        <w:rPr>
          <w:rFonts w:ascii="Tahoma" w:hAnsi="Tahoma" w:cs="Tahoma"/>
          <w:sz w:val="22"/>
          <w:szCs w:val="22"/>
        </w:rPr>
        <w:tab/>
      </w:r>
    </w:p>
    <w:p w14:paraId="53371CE1" w14:textId="59130B80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 w:rsidR="00220190">
        <w:rPr>
          <w:rFonts w:ascii="Tahoma" w:hAnsi="Tahoma" w:cs="Tahoma"/>
          <w:sz w:val="22"/>
          <w:szCs w:val="22"/>
        </w:rPr>
        <w:t xml:space="preserve">   </w:t>
      </w:r>
      <w:proofErr w:type="gramEnd"/>
      <w:r w:rsidR="00220190">
        <w:rPr>
          <w:rFonts w:ascii="Tahoma" w:hAnsi="Tahoma" w:cs="Tahoma"/>
          <w:sz w:val="22"/>
          <w:szCs w:val="22"/>
        </w:rPr>
        <w:t>, jednatel</w:t>
      </w:r>
      <w:r>
        <w:rPr>
          <w:rFonts w:ascii="Tahoma" w:hAnsi="Tahoma" w:cs="Tahoma"/>
          <w:sz w:val="22"/>
          <w:szCs w:val="22"/>
        </w:rPr>
        <w:tab/>
      </w:r>
    </w:p>
    <w:p w14:paraId="045BBBEF" w14:textId="04113442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220190">
        <w:rPr>
          <w:rFonts w:ascii="Tahoma" w:hAnsi="Tahoma" w:cs="Tahoma"/>
          <w:sz w:val="22"/>
          <w:szCs w:val="22"/>
        </w:rPr>
        <w:t xml:space="preserve"> 24190853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609E3EB5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220190">
        <w:rPr>
          <w:rFonts w:ascii="Tahoma" w:hAnsi="Tahoma" w:cs="Tahoma"/>
          <w:sz w:val="22"/>
          <w:szCs w:val="22"/>
        </w:rPr>
        <w:t xml:space="preserve"> CZ24190853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6FB52163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220190">
        <w:rPr>
          <w:rFonts w:ascii="Tahoma" w:hAnsi="Tahoma" w:cs="Tahoma"/>
          <w:sz w:val="22"/>
          <w:szCs w:val="22"/>
        </w:rPr>
        <w:t xml:space="preserve"> Fio banka, a.s.</w:t>
      </w:r>
      <w:r>
        <w:rPr>
          <w:rFonts w:ascii="Tahoma" w:hAnsi="Tahoma" w:cs="Tahoma"/>
          <w:sz w:val="22"/>
          <w:szCs w:val="22"/>
        </w:rPr>
        <w:tab/>
      </w:r>
    </w:p>
    <w:p w14:paraId="0080AB09" w14:textId="1B39A062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 w:rsidR="00220190">
        <w:rPr>
          <w:rFonts w:ascii="Tahoma" w:hAnsi="Tahoma" w:cs="Tahoma"/>
          <w:sz w:val="22"/>
          <w:szCs w:val="22"/>
        </w:rPr>
        <w:t xml:space="preserve"> 2101208539/2010</w:t>
      </w:r>
      <w:r>
        <w:rPr>
          <w:rFonts w:ascii="Tahoma" w:hAnsi="Tahoma" w:cs="Tahoma"/>
          <w:sz w:val="22"/>
          <w:szCs w:val="22"/>
        </w:rPr>
        <w:tab/>
      </w:r>
    </w:p>
    <w:p w14:paraId="7B516714" w14:textId="490A74D9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220190">
        <w:rPr>
          <w:rFonts w:ascii="Tahoma" w:hAnsi="Tahoma" w:cs="Tahoma"/>
          <w:sz w:val="22"/>
          <w:szCs w:val="22"/>
        </w:rPr>
        <w:t xml:space="preserve">Městským </w:t>
      </w:r>
      <w:r w:rsidRPr="00080BAF">
        <w:rPr>
          <w:rFonts w:ascii="Tahoma" w:hAnsi="Tahoma" w:cs="Tahoma"/>
          <w:sz w:val="22"/>
          <w:szCs w:val="22"/>
        </w:rPr>
        <w:t>soudem v</w:t>
      </w:r>
      <w:r w:rsidR="00220190">
        <w:rPr>
          <w:rFonts w:ascii="Tahoma" w:hAnsi="Tahoma" w:cs="Tahoma"/>
          <w:sz w:val="22"/>
          <w:szCs w:val="22"/>
        </w:rPr>
        <w:t> Praze,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A0361">
        <w:rPr>
          <w:rFonts w:ascii="Tahoma" w:hAnsi="Tahoma" w:cs="Tahoma"/>
          <w:sz w:val="22"/>
          <w:szCs w:val="22"/>
        </w:rPr>
        <w:t>sp</w:t>
      </w:r>
      <w:proofErr w:type="spellEnd"/>
      <w:r w:rsidR="002A0361">
        <w:rPr>
          <w:rFonts w:ascii="Tahoma" w:hAnsi="Tahoma" w:cs="Tahoma"/>
          <w:sz w:val="22"/>
          <w:szCs w:val="22"/>
        </w:rPr>
        <w:t>. zn.</w:t>
      </w:r>
      <w:r w:rsidR="00E009DB">
        <w:rPr>
          <w:rFonts w:ascii="Tahoma" w:hAnsi="Tahoma" w:cs="Tahoma"/>
          <w:sz w:val="22"/>
          <w:szCs w:val="22"/>
        </w:rPr>
        <w:t> </w:t>
      </w:r>
      <w:r w:rsidR="00220190">
        <w:rPr>
          <w:rFonts w:ascii="Tahoma" w:hAnsi="Tahoma" w:cs="Tahoma"/>
          <w:sz w:val="22"/>
          <w:szCs w:val="22"/>
        </w:rPr>
        <w:t>C 187147 (</w:t>
      </w:r>
      <w:r w:rsidRPr="00E009DB">
        <w:rPr>
          <w:rFonts w:ascii="Tahoma" w:hAnsi="Tahoma" w:cs="Tahoma"/>
          <w:sz w:val="22"/>
          <w:szCs w:val="22"/>
        </w:rPr>
        <w:t xml:space="preserve">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1B4ED696" w14:textId="3A8B072B" w:rsidR="003C0711" w:rsidRDefault="003C0711" w:rsidP="003C0711">
      <w:pPr>
        <w:pStyle w:val="slolnkuSmlouvy"/>
        <w:spacing w:before="120"/>
        <w:jc w:val="left"/>
        <w:rPr>
          <w:rFonts w:ascii="Tahoma" w:hAnsi="Tahoma" w:cs="Tahoma"/>
          <w:sz w:val="22"/>
          <w:szCs w:val="22"/>
        </w:rPr>
      </w:pPr>
    </w:p>
    <w:p w14:paraId="029ECBD3" w14:textId="71C1361D" w:rsidR="003C0711" w:rsidRPr="003C0711" w:rsidRDefault="003C0711" w:rsidP="003C0711">
      <w:pPr>
        <w:jc w:val="center"/>
        <w:rPr>
          <w:b/>
        </w:rPr>
      </w:pPr>
      <w:r w:rsidRPr="003C0711">
        <w:rPr>
          <w:b/>
        </w:rPr>
        <w:t>II.</w:t>
      </w:r>
    </w:p>
    <w:p w14:paraId="7CE7ADE5" w14:textId="48A92074" w:rsidR="00A54991" w:rsidRPr="00080BAF" w:rsidRDefault="00A54991" w:rsidP="003C0711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8F23A4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</w:t>
      </w:r>
      <w:r w:rsidR="001265B6" w:rsidRPr="00080BAF">
        <w:rPr>
          <w:rFonts w:ascii="Tahoma" w:hAnsi="Tahoma" w:cs="Tahoma"/>
          <w:sz w:val="22"/>
          <w:szCs w:val="22"/>
        </w:rPr>
        <w:lastRenderedPageBreak/>
        <w:t>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3DBD09F5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6B1FAE">
        <w:rPr>
          <w:rFonts w:ascii="Tahoma" w:hAnsi="Tahoma" w:cs="Tahoma"/>
          <w:sz w:val="22"/>
          <w:szCs w:val="22"/>
        </w:rPr>
        <w:t>„</w:t>
      </w:r>
      <w:r w:rsidR="006B1FAE" w:rsidRPr="006B1FAE">
        <w:rPr>
          <w:rFonts w:ascii="Tahoma" w:hAnsi="Tahoma" w:cs="Tahoma"/>
          <w:sz w:val="22"/>
          <w:szCs w:val="22"/>
        </w:rPr>
        <w:t>Rekonstrukce elektroinstalace</w:t>
      </w:r>
      <w:r w:rsidR="00FE67A1">
        <w:rPr>
          <w:rFonts w:ascii="Tahoma" w:hAnsi="Tahoma" w:cs="Tahoma"/>
          <w:sz w:val="22"/>
          <w:szCs w:val="22"/>
        </w:rPr>
        <w:t>“</w:t>
      </w:r>
      <w:r w:rsidR="0093010F" w:rsidRPr="006B1FAE">
        <w:rPr>
          <w:rFonts w:ascii="Tahoma" w:hAnsi="Tahoma" w:cs="Tahoma"/>
          <w:sz w:val="22"/>
          <w:szCs w:val="22"/>
        </w:rPr>
        <w:t xml:space="preserve"> </w:t>
      </w:r>
      <w:r w:rsidR="0093010F" w:rsidRPr="009268AA">
        <w:rPr>
          <w:rFonts w:ascii="Tahoma" w:hAnsi="Tahoma" w:cs="Tahoma"/>
          <w:sz w:val="22"/>
          <w:szCs w:val="22"/>
        </w:rPr>
        <w:t>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FD307F7" w14:textId="5F70E264" w:rsidR="003C0711" w:rsidRPr="00F7067D" w:rsidRDefault="00A54991" w:rsidP="003C071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projektovou dokumentaci </w:t>
      </w:r>
      <w:r w:rsidR="005E63C3">
        <w:rPr>
          <w:rFonts w:ascii="Tahoma" w:hAnsi="Tahoma" w:cs="Tahoma"/>
          <w:sz w:val="22"/>
          <w:szCs w:val="22"/>
        </w:rPr>
        <w:t>na</w:t>
      </w:r>
      <w:r w:rsidR="001F3E3A">
        <w:rPr>
          <w:rFonts w:ascii="Tahoma" w:hAnsi="Tahoma" w:cs="Tahoma"/>
          <w:sz w:val="22"/>
          <w:szCs w:val="22"/>
        </w:rPr>
        <w:t xml:space="preserve"> kompletní </w:t>
      </w:r>
      <w:r w:rsidR="005E63C3">
        <w:rPr>
          <w:rFonts w:ascii="Tahoma" w:hAnsi="Tahoma" w:cs="Tahoma"/>
          <w:sz w:val="22"/>
          <w:szCs w:val="22"/>
        </w:rPr>
        <w:t>rekonstrukci elektroinstalace</w:t>
      </w:r>
      <w:r w:rsidR="00FB23D1">
        <w:rPr>
          <w:rFonts w:ascii="Tahoma" w:hAnsi="Tahoma" w:cs="Tahoma"/>
          <w:sz w:val="22"/>
          <w:szCs w:val="22"/>
        </w:rPr>
        <w:t xml:space="preserve"> </w:t>
      </w:r>
      <w:r w:rsidR="00F00627">
        <w:rPr>
          <w:rFonts w:ascii="Tahoma" w:hAnsi="Tahoma" w:cs="Tahoma"/>
          <w:sz w:val="22"/>
          <w:szCs w:val="22"/>
        </w:rPr>
        <w:t xml:space="preserve">(silnoproud </w:t>
      </w:r>
      <w:r w:rsidR="006628E4">
        <w:rPr>
          <w:rFonts w:ascii="Tahoma" w:hAnsi="Tahoma" w:cs="Tahoma"/>
          <w:sz w:val="22"/>
          <w:szCs w:val="22"/>
        </w:rPr>
        <w:t>i</w:t>
      </w:r>
      <w:r w:rsidR="00F00627">
        <w:rPr>
          <w:rFonts w:ascii="Tahoma" w:hAnsi="Tahoma" w:cs="Tahoma"/>
          <w:sz w:val="22"/>
          <w:szCs w:val="22"/>
        </w:rPr>
        <w:t xml:space="preserve"> slaboproud </w:t>
      </w:r>
      <w:r w:rsidR="00FD45B6">
        <w:rPr>
          <w:rFonts w:ascii="Tahoma" w:hAnsi="Tahoma" w:cs="Tahoma"/>
          <w:sz w:val="22"/>
          <w:szCs w:val="22"/>
        </w:rPr>
        <w:t xml:space="preserve">vč. </w:t>
      </w:r>
      <w:r w:rsidR="00695FE6" w:rsidRPr="00695FE6">
        <w:rPr>
          <w:rFonts w:ascii="Tahoma" w:hAnsi="Tahoma" w:cs="Tahoma"/>
          <w:sz w:val="22"/>
          <w:szCs w:val="22"/>
        </w:rPr>
        <w:t>příprav</w:t>
      </w:r>
      <w:r w:rsidR="00695FE6">
        <w:rPr>
          <w:rFonts w:ascii="Tahoma" w:hAnsi="Tahoma" w:cs="Tahoma"/>
          <w:sz w:val="22"/>
          <w:szCs w:val="22"/>
        </w:rPr>
        <w:t>y</w:t>
      </w:r>
      <w:r w:rsidR="00695FE6" w:rsidRPr="00695FE6">
        <w:rPr>
          <w:rFonts w:ascii="Tahoma" w:hAnsi="Tahoma" w:cs="Tahoma"/>
          <w:sz w:val="22"/>
          <w:szCs w:val="22"/>
        </w:rPr>
        <w:t xml:space="preserve"> pro instalaci dezinfekčních zařízení – ozónových čističů</w:t>
      </w:r>
      <w:r w:rsidR="006628E4">
        <w:rPr>
          <w:rFonts w:ascii="Tahoma" w:hAnsi="Tahoma" w:cs="Tahoma"/>
          <w:sz w:val="22"/>
          <w:szCs w:val="22"/>
        </w:rPr>
        <w:t>),</w:t>
      </w:r>
      <w:r w:rsidR="00695FE6">
        <w:rPr>
          <w:rFonts w:ascii="Tahoma" w:hAnsi="Tahoma" w:cs="Tahoma"/>
          <w:sz w:val="22"/>
          <w:szCs w:val="22"/>
        </w:rPr>
        <w:t xml:space="preserve"> </w:t>
      </w:r>
      <w:r w:rsidR="005E63C3">
        <w:rPr>
          <w:rFonts w:ascii="Tahoma" w:hAnsi="Tahoma" w:cs="Tahoma"/>
          <w:sz w:val="22"/>
          <w:szCs w:val="22"/>
        </w:rPr>
        <w:t>v</w:t>
      </w:r>
      <w:r w:rsidR="00290217">
        <w:rPr>
          <w:rFonts w:ascii="Tahoma" w:hAnsi="Tahoma" w:cs="Tahoma"/>
          <w:sz w:val="22"/>
          <w:szCs w:val="22"/>
        </w:rPr>
        <w:t xml:space="preserve"> objektu </w:t>
      </w:r>
      <w:r w:rsidR="00FB23D1">
        <w:rPr>
          <w:rFonts w:ascii="Tahoma" w:hAnsi="Tahoma" w:cs="Tahoma"/>
          <w:sz w:val="22"/>
          <w:szCs w:val="22"/>
        </w:rPr>
        <w:t>škol</w:t>
      </w:r>
      <w:r w:rsidR="00290217">
        <w:rPr>
          <w:rFonts w:ascii="Tahoma" w:hAnsi="Tahoma" w:cs="Tahoma"/>
          <w:sz w:val="22"/>
          <w:szCs w:val="22"/>
        </w:rPr>
        <w:t>y</w:t>
      </w:r>
      <w:r w:rsidR="00AC2744">
        <w:rPr>
          <w:rFonts w:ascii="Tahoma" w:hAnsi="Tahoma" w:cs="Tahoma"/>
          <w:sz w:val="22"/>
          <w:szCs w:val="22"/>
        </w:rPr>
        <w:t xml:space="preserve"> na adrese </w:t>
      </w:r>
      <w:r w:rsidR="00AC2744" w:rsidRPr="0070154A">
        <w:rPr>
          <w:rFonts w:ascii="Tahoma" w:hAnsi="Tahoma" w:cs="Tahoma"/>
          <w:sz w:val="22"/>
          <w:szCs w:val="22"/>
        </w:rPr>
        <w:t>Karasova 1140/16</w:t>
      </w:r>
      <w:r w:rsidR="00AC2744">
        <w:rPr>
          <w:rFonts w:ascii="Tahoma" w:hAnsi="Tahoma" w:cs="Tahoma"/>
          <w:sz w:val="22"/>
          <w:szCs w:val="22"/>
        </w:rPr>
        <w:t>, 709 00 Ostrava-Mariánské Hory</w:t>
      </w:r>
      <w:r w:rsidR="0030781A">
        <w:rPr>
          <w:rFonts w:ascii="Tahoma" w:hAnsi="Tahoma" w:cs="Tahoma"/>
          <w:sz w:val="22"/>
          <w:szCs w:val="22"/>
        </w:rPr>
        <w:t xml:space="preserve"> (dále také jako „dílo“)</w:t>
      </w:r>
      <w:r w:rsidR="00291009">
        <w:rPr>
          <w:rFonts w:ascii="Tahoma" w:hAnsi="Tahoma" w:cs="Tahoma"/>
          <w:sz w:val="22"/>
          <w:szCs w:val="22"/>
        </w:rPr>
        <w:t>.</w:t>
      </w:r>
      <w:r w:rsidR="00C206D8">
        <w:rPr>
          <w:rFonts w:ascii="Tahoma" w:hAnsi="Tahoma" w:cs="Tahoma"/>
          <w:sz w:val="22"/>
          <w:szCs w:val="22"/>
        </w:rPr>
        <w:t xml:space="preserve"> </w:t>
      </w:r>
      <w:r w:rsidR="00DD4352">
        <w:rPr>
          <w:rFonts w:ascii="Tahoma" w:hAnsi="Tahoma" w:cs="Tahoma"/>
          <w:sz w:val="22"/>
          <w:szCs w:val="22"/>
        </w:rPr>
        <w:t xml:space="preserve">Stavební část akce </w:t>
      </w:r>
      <w:r w:rsidR="00DD4352" w:rsidRPr="00DD4352">
        <w:rPr>
          <w:rFonts w:ascii="Tahoma" w:hAnsi="Tahoma" w:cs="Tahoma"/>
          <w:sz w:val="22"/>
          <w:szCs w:val="22"/>
        </w:rPr>
        <w:t>by měla proběhnout v letech 2025 a 2026 (období měsíců červenec a srpen)</w:t>
      </w:r>
      <w:r w:rsidR="00DD4352">
        <w:rPr>
          <w:rFonts w:ascii="Tahoma" w:hAnsi="Tahoma" w:cs="Tahoma"/>
          <w:sz w:val="22"/>
          <w:szCs w:val="22"/>
        </w:rPr>
        <w:t xml:space="preserve"> a proto </w:t>
      </w:r>
      <w:r w:rsidR="00A34C2B" w:rsidRPr="00A34C2B">
        <w:rPr>
          <w:rFonts w:ascii="Tahoma" w:hAnsi="Tahoma" w:cs="Tahoma"/>
          <w:sz w:val="22"/>
          <w:szCs w:val="22"/>
        </w:rPr>
        <w:t xml:space="preserve">bude </w:t>
      </w:r>
      <w:r w:rsidR="00DD4352">
        <w:rPr>
          <w:rFonts w:ascii="Tahoma" w:hAnsi="Tahoma" w:cs="Tahoma"/>
          <w:sz w:val="22"/>
          <w:szCs w:val="22"/>
        </w:rPr>
        <w:t xml:space="preserve">dílo </w:t>
      </w:r>
      <w:r w:rsidR="00A34C2B" w:rsidRPr="00A34C2B">
        <w:rPr>
          <w:rFonts w:ascii="Tahoma" w:hAnsi="Tahoma" w:cs="Tahoma"/>
          <w:sz w:val="22"/>
          <w:szCs w:val="22"/>
        </w:rPr>
        <w:t>rozčleněn</w:t>
      </w:r>
      <w:r w:rsidR="00A34C2B">
        <w:rPr>
          <w:rFonts w:ascii="Tahoma" w:hAnsi="Tahoma" w:cs="Tahoma"/>
          <w:sz w:val="22"/>
          <w:szCs w:val="22"/>
        </w:rPr>
        <w:t>o</w:t>
      </w:r>
      <w:r w:rsidR="00A34C2B" w:rsidRPr="00A34C2B">
        <w:rPr>
          <w:rFonts w:ascii="Tahoma" w:hAnsi="Tahoma" w:cs="Tahoma"/>
          <w:sz w:val="22"/>
          <w:szCs w:val="22"/>
        </w:rPr>
        <w:t xml:space="preserve"> do dvou samostatně ukončených</w:t>
      </w:r>
      <w:r w:rsidR="0013539B">
        <w:rPr>
          <w:rFonts w:ascii="Tahoma" w:hAnsi="Tahoma" w:cs="Tahoma"/>
          <w:sz w:val="22"/>
          <w:szCs w:val="22"/>
        </w:rPr>
        <w:t xml:space="preserve"> stavebních </w:t>
      </w:r>
      <w:r w:rsidR="00A34C2B" w:rsidRPr="00A34C2B">
        <w:rPr>
          <w:rFonts w:ascii="Tahoma" w:hAnsi="Tahoma" w:cs="Tahoma"/>
          <w:sz w:val="22"/>
          <w:szCs w:val="22"/>
        </w:rPr>
        <w:t>etap, a to včetně položkového rozpočtu.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06D8" w:rsidRPr="00C206D8">
        <w:rPr>
          <w:rFonts w:ascii="Tahoma" w:hAnsi="Tahoma" w:cs="Tahoma"/>
          <w:sz w:val="22"/>
          <w:szCs w:val="22"/>
        </w:rPr>
        <w:t>Další s</w:t>
      </w:r>
      <w:r w:rsidR="00974006" w:rsidRPr="00C206D8">
        <w:rPr>
          <w:rFonts w:ascii="Tahoma" w:hAnsi="Tahoma" w:cs="Tahoma"/>
          <w:sz w:val="22"/>
          <w:szCs w:val="22"/>
        </w:rPr>
        <w:t>pecifikace díla je uvedena v</w:t>
      </w:r>
      <w:r w:rsidR="00291009" w:rsidRPr="00C206D8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 w:rsidRPr="00C206D8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22E5C0FD" w:rsidR="003756E0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21BF9">
        <w:rPr>
          <w:rFonts w:ascii="Tahoma" w:hAnsi="Tahoma" w:cs="Tahoma"/>
          <w:sz w:val="22"/>
          <w:szCs w:val="22"/>
        </w:rPr>
        <w:t>Předmětem této části díla je</w:t>
      </w:r>
      <w:r w:rsidR="00F56C30" w:rsidRPr="00821BF9">
        <w:rPr>
          <w:rFonts w:ascii="Tahoma" w:hAnsi="Tahoma" w:cs="Tahoma"/>
          <w:sz w:val="22"/>
          <w:szCs w:val="22"/>
        </w:rPr>
        <w:t xml:space="preserve"> </w:t>
      </w:r>
      <w:r w:rsidR="0030781A" w:rsidRPr="00821BF9">
        <w:rPr>
          <w:rFonts w:ascii="Tahoma" w:hAnsi="Tahoma" w:cs="Tahoma"/>
          <w:sz w:val="22"/>
          <w:szCs w:val="22"/>
        </w:rPr>
        <w:t>zaměření těch částí objektu</w:t>
      </w:r>
      <w:r w:rsidRPr="00821BF9">
        <w:rPr>
          <w:rFonts w:ascii="Tahoma" w:hAnsi="Tahoma" w:cs="Tahoma"/>
          <w:sz w:val="22"/>
          <w:szCs w:val="22"/>
        </w:rPr>
        <w:t xml:space="preserve">, které budou dotčeny stavebními úpravami. </w:t>
      </w:r>
      <w:r w:rsidR="00733FC3" w:rsidRPr="00FA3759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Pr="00FA3759">
        <w:rPr>
          <w:rFonts w:ascii="Tahoma" w:hAnsi="Tahoma" w:cs="Tahoma"/>
          <w:sz w:val="22"/>
          <w:szCs w:val="22"/>
        </w:rPr>
        <w:t xml:space="preserve">Zdokumentován 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 budovy (stavby)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</w:t>
      </w:r>
      <w:r w:rsidR="009E7D5E">
        <w:rPr>
          <w:rFonts w:ascii="Tahoma" w:hAnsi="Tahoma" w:cs="Tahoma"/>
          <w:sz w:val="22"/>
          <w:szCs w:val="22"/>
        </w:rPr>
        <w:t>vyhodnoti</w:t>
      </w:r>
      <w:r w:rsidR="003756E0" w:rsidRPr="00FA3759">
        <w:rPr>
          <w:rFonts w:ascii="Tahoma" w:hAnsi="Tahoma" w:cs="Tahoma"/>
          <w:sz w:val="22"/>
          <w:szCs w:val="22"/>
        </w:rPr>
        <w:t>t v rozsahu nezbytně nutném pro zpracování díla.</w:t>
      </w:r>
    </w:p>
    <w:p w14:paraId="6660D3B2" w14:textId="6ED122B3" w:rsidR="005E63C3" w:rsidRPr="00FA3759" w:rsidRDefault="005E63C3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budou dále veškeré průzkumy potřebné pro zpracování projektové dokumentace.</w:t>
      </w:r>
    </w:p>
    <w:p w14:paraId="3F3E9E92" w14:textId="05783BE5" w:rsidR="00644C3A" w:rsidRPr="00080BAF" w:rsidRDefault="00A54991" w:rsidP="007C158D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72909F50" w14:textId="0461FD49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územním </w:t>
      </w:r>
      <w:r w:rsidRPr="00080BAF">
        <w:rPr>
          <w:rFonts w:ascii="Tahoma" w:hAnsi="Tahoma" w:cs="Tahoma"/>
          <w:sz w:val="22"/>
          <w:szCs w:val="22"/>
        </w:rPr>
        <w:lastRenderedPageBreak/>
        <w:t>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a od okamžiku nabytí účinnosti zákona č. 283/2021 Sb., stavební zákon, ve znění pozdějších předpisů, stanovené tímto zákonem (zákon č. 183/2006 Sb. a zákon </w:t>
      </w:r>
      <w:r w:rsidR="003C0711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br/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č. 283/2021 Sb. se dále jednotně označují jen jako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6DDD8617" w14:textId="77777777" w:rsidR="005E63C3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0" w:name="_Hlk124428707"/>
      <w:r>
        <w:rPr>
          <w:rFonts w:ascii="Tahoma" w:hAnsi="Tahoma" w:cs="Tahoma"/>
          <w:b/>
          <w:bCs/>
          <w:sz w:val="22"/>
          <w:szCs w:val="22"/>
        </w:rPr>
        <w:t>V rámci této části díla zhotovitel zajistí rovněž</w:t>
      </w:r>
      <w:r w:rsidR="005E63C3">
        <w:rPr>
          <w:rFonts w:ascii="Tahoma" w:hAnsi="Tahoma" w:cs="Tahoma"/>
          <w:b/>
          <w:bCs/>
          <w:sz w:val="22"/>
          <w:szCs w:val="22"/>
        </w:rPr>
        <w:t>:</w:t>
      </w:r>
    </w:p>
    <w:p w14:paraId="782BFE8F" w14:textId="23139069" w:rsidR="006C55CD" w:rsidRDefault="006C55CD" w:rsidP="005E63C3">
      <w:pPr>
        <w:pStyle w:val="Smlouva-eslo"/>
        <w:widowControl/>
        <w:numPr>
          <w:ilvl w:val="0"/>
          <w:numId w:val="43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písemné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 stanovisko stavebního úřadu,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Pr="006C55CD">
        <w:rPr>
          <w:rFonts w:ascii="Tahoma" w:hAnsi="Tahoma" w:cs="Tahoma"/>
          <w:b/>
          <w:bCs/>
          <w:sz w:val="22"/>
          <w:szCs w:val="22"/>
        </w:rPr>
        <w:t>povolení pro provedení 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0711">
        <w:rPr>
          <w:rFonts w:ascii="Tahoma" w:hAnsi="Tahoma" w:cs="Tahoma"/>
          <w:b/>
          <w:bCs/>
          <w:sz w:val="22"/>
          <w:szCs w:val="22"/>
        </w:rPr>
        <w:br/>
      </w:r>
      <w:r w:rsidR="00DB2467">
        <w:rPr>
          <w:rFonts w:ascii="Tahoma" w:hAnsi="Tahoma" w:cs="Tahoma"/>
          <w:b/>
          <w:bCs/>
          <w:sz w:val="22"/>
          <w:szCs w:val="22"/>
        </w:rPr>
        <w:t>V případě</w:t>
      </w:r>
      <w:r w:rsidR="00DB2467" w:rsidRPr="00DB2467">
        <w:rPr>
          <w:rFonts w:ascii="Tahoma" w:hAnsi="Tahoma" w:cs="Tahoma"/>
          <w:b/>
          <w:bCs/>
          <w:sz w:val="22"/>
          <w:szCs w:val="22"/>
        </w:rPr>
        <w:t xml:space="preserve">, že si zhotovitel, jakožto odborná osoba vyhodnotí, že stavba dle této smlouvy nebude vyžadovat jakékoliv povolení stavebního úřadu, bude součástí projektové dokumentace písemné sdělení zhotovitele o této skutečnosti včetně zdůvodnění. </w:t>
      </w:r>
    </w:p>
    <w:p w14:paraId="31AD5200" w14:textId="1A1A775D" w:rsidR="005E63C3" w:rsidRPr="006C55CD" w:rsidRDefault="007C110B" w:rsidP="005E63C3">
      <w:pPr>
        <w:pStyle w:val="Smlouva-eslo"/>
        <w:widowControl/>
        <w:numPr>
          <w:ilvl w:val="0"/>
          <w:numId w:val="43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</w:t>
      </w:r>
      <w:r w:rsidR="005E63C3">
        <w:rPr>
          <w:rFonts w:ascii="Tahoma" w:hAnsi="Tahoma" w:cs="Tahoma"/>
          <w:b/>
          <w:bCs/>
          <w:sz w:val="22"/>
          <w:szCs w:val="22"/>
        </w:rPr>
        <w:t xml:space="preserve">ísemné stanovisko Moravskoslezského datového centra, příspěvkové organizace (dále „MSDC“), </w:t>
      </w:r>
      <w:r>
        <w:rPr>
          <w:rFonts w:ascii="Tahoma" w:hAnsi="Tahoma" w:cs="Tahoma"/>
          <w:b/>
          <w:bCs/>
          <w:sz w:val="22"/>
          <w:szCs w:val="22"/>
        </w:rPr>
        <w:t xml:space="preserve">zda zpracovaná projektová dokumentace za část slaboproud, splňuje požadavky Standard konektivity škol </w:t>
      </w:r>
      <w:r w:rsidR="003C0711"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 xml:space="preserve">a školských zařízení MSK. Úplnosti a správnosti předaných kompletních podkladů zpracované projektové dokumentace za část slaboproud bude zástupcem MSDC potvrzeno e-mailem zaslaným zhotoviteli </w:t>
      </w:r>
      <w:r w:rsidR="003C0711"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>a v kopii objednateli.</w:t>
      </w:r>
    </w:p>
    <w:bookmarkEnd w:id="0"/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103F99F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756FA8E2" w:rsidR="00E24CEE" w:rsidRPr="00FE2669" w:rsidRDefault="006A5A36" w:rsidP="00F6331A">
      <w:pPr>
        <w:pStyle w:val="Smlouva-eslo"/>
        <w:widowControl/>
        <w:spacing w:before="60" w:line="240" w:lineRule="auto"/>
        <w:ind w:left="36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</w:t>
      </w:r>
      <w:r w:rsidR="00DF24EA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</w:t>
      </w:r>
      <w:r w:rsidR="00DF24EA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0CFE3593" w14:textId="77777777" w:rsidR="008F23A4" w:rsidRDefault="008F23A4" w:rsidP="00F6331A">
      <w:pPr>
        <w:pStyle w:val="Smlouva-eslo"/>
        <w:widowControl/>
        <w:spacing w:before="60" w:line="240" w:lineRule="auto"/>
        <w:ind w:left="369"/>
        <w:rPr>
          <w:rFonts w:ascii="Tahoma" w:hAnsi="Tahoma" w:cs="Tahoma"/>
          <w:sz w:val="22"/>
          <w:szCs w:val="22"/>
        </w:rPr>
      </w:pPr>
    </w:p>
    <w:p w14:paraId="3BF0DC39" w14:textId="3088F8BE" w:rsidR="00644C3A" w:rsidRDefault="00644C3A" w:rsidP="00F6331A">
      <w:pPr>
        <w:pStyle w:val="Smlouva-eslo"/>
        <w:widowControl/>
        <w:spacing w:before="60" w:line="240" w:lineRule="auto"/>
        <w:ind w:left="369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>a</w:t>
      </w:r>
      <w:r w:rsidR="00DF24EA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 xml:space="preserve">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4C18C4CC" w:rsidR="00C970BE" w:rsidRPr="00996B77" w:rsidRDefault="00C970BE" w:rsidP="00F6331A">
      <w:pPr>
        <w:pStyle w:val="Smlouva-eslo"/>
        <w:widowControl/>
        <w:spacing w:before="60" w:line="240" w:lineRule="auto"/>
        <w:ind w:left="369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  <w:r w:rsidR="007C110B">
        <w:rPr>
          <w:rFonts w:ascii="Tahoma" w:hAnsi="Tahoma" w:cs="Tahoma"/>
          <w:sz w:val="22"/>
          <w:szCs w:val="22"/>
        </w:rPr>
        <w:t xml:space="preserve"> Rekonstrukce elektroinstalace bude probíhat s ohledem na provoz školy, tzn. především o</w:t>
      </w:r>
      <w:r w:rsidR="00DF24EA">
        <w:rPr>
          <w:rFonts w:ascii="Tahoma" w:hAnsi="Tahoma" w:cs="Tahoma"/>
          <w:sz w:val="22"/>
          <w:szCs w:val="22"/>
        </w:rPr>
        <w:t> </w:t>
      </w:r>
      <w:r w:rsidR="007C110B">
        <w:rPr>
          <w:rFonts w:ascii="Tahoma" w:hAnsi="Tahoma" w:cs="Tahoma"/>
          <w:sz w:val="22"/>
          <w:szCs w:val="22"/>
        </w:rPr>
        <w:t>letních prázdninách.</w:t>
      </w:r>
    </w:p>
    <w:bookmarkEnd w:id="1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782A7170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2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3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3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2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4" w:name="_Hlk150510430"/>
      <w:proofErr w:type="spellStart"/>
      <w:r w:rsidR="0015700E">
        <w:rPr>
          <w:rFonts w:ascii="Tahoma" w:hAnsi="Tahoma" w:cs="Tahoma"/>
          <w:sz w:val="22"/>
          <w:szCs w:val="22"/>
        </w:rPr>
        <w:t>docx</w:t>
      </w:r>
      <w:bookmarkEnd w:id="4"/>
      <w:proofErr w:type="spellEnd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="00022804">
        <w:rPr>
          <w:rFonts w:ascii="Tahoma" w:hAnsi="Tahoma" w:cs="Tahoma"/>
          <w:sz w:val="22"/>
          <w:szCs w:val="22"/>
        </w:rPr>
        <w:t>/</w:t>
      </w:r>
      <w:proofErr w:type="spellStart"/>
      <w:r w:rsidR="00022804">
        <w:rPr>
          <w:rFonts w:ascii="Tahoma" w:hAnsi="Tahoma" w:cs="Tahoma"/>
          <w:sz w:val="22"/>
          <w:szCs w:val="22"/>
        </w:rPr>
        <w:t>xlsx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3E3E8C79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</w:t>
      </w:r>
      <w:r w:rsidR="003C0711">
        <w:rPr>
          <w:rFonts w:ascii="Tahoma" w:hAnsi="Tahoma" w:cs="Tahoma"/>
          <w:sz w:val="22"/>
          <w:szCs w:val="22"/>
        </w:rPr>
        <w:br/>
      </w:r>
      <w:r w:rsidRPr="00644C3A">
        <w:rPr>
          <w:rFonts w:ascii="Tahoma" w:hAnsi="Tahoma" w:cs="Tahoma"/>
          <w:sz w:val="22"/>
          <w:szCs w:val="22"/>
        </w:rPr>
        <w:t>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2x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="00293783" w:rsidRPr="00775F19">
        <w:rPr>
          <w:rFonts w:ascii="Tahoma" w:hAnsi="Tahoma" w:cs="Tahoma"/>
          <w:sz w:val="22"/>
          <w:szCs w:val="22"/>
        </w:rPr>
        <w:t>na</w:t>
      </w:r>
      <w:r w:rsidR="00293783">
        <w:rPr>
          <w:rFonts w:ascii="Tahoma" w:hAnsi="Tahoma" w:cs="Tahoma"/>
          <w:sz w:val="22"/>
          <w:szCs w:val="22"/>
        </w:rPr>
        <w:t> přenosném datovém</w:t>
      </w:r>
      <w:r w:rsidR="008A768D">
        <w:rPr>
          <w:rFonts w:ascii="Tahoma" w:hAnsi="Tahoma" w:cs="Tahoma"/>
          <w:sz w:val="22"/>
          <w:szCs w:val="22"/>
        </w:rPr>
        <w:t xml:space="preserve"> nosiči</w:t>
      </w:r>
      <w:r w:rsidR="00DC6A3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</w:t>
      </w:r>
      <w:proofErr w:type="spellStart"/>
      <w:r w:rsidR="00F701ED">
        <w:rPr>
          <w:rFonts w:ascii="Tahoma" w:hAnsi="Tahoma" w:cs="Tahoma"/>
          <w:sz w:val="22"/>
          <w:szCs w:val="22"/>
        </w:rPr>
        <w:t>docx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="00081825">
        <w:rPr>
          <w:rFonts w:ascii="Tahoma" w:hAnsi="Tahoma" w:cs="Tahoma"/>
          <w:sz w:val="22"/>
          <w:szCs w:val="22"/>
        </w:rPr>
        <w:t>/</w:t>
      </w:r>
      <w:proofErr w:type="spellStart"/>
      <w:r w:rsidR="00081825">
        <w:rPr>
          <w:rFonts w:ascii="Tahoma" w:hAnsi="Tahoma" w:cs="Tahoma"/>
          <w:sz w:val="22"/>
          <w:szCs w:val="22"/>
        </w:rPr>
        <w:t>xls</w:t>
      </w:r>
      <w:r w:rsidR="00F07EC2">
        <w:rPr>
          <w:rFonts w:ascii="Tahoma" w:hAnsi="Tahoma" w:cs="Tahoma"/>
          <w:sz w:val="22"/>
          <w:szCs w:val="22"/>
        </w:rPr>
        <w:t>x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DB7F97">
        <w:rPr>
          <w:rFonts w:ascii="Tahoma" w:hAnsi="Tahoma" w:cs="Tahoma"/>
          <w:sz w:val="22"/>
          <w:szCs w:val="22"/>
        </w:rPr>
        <w:t>en nosič</w:t>
      </w:r>
      <w:r w:rsidR="00FE4A8F" w:rsidRPr="00644C3A">
        <w:rPr>
          <w:rFonts w:ascii="Tahoma" w:hAnsi="Tahoma" w:cs="Tahoma"/>
          <w:sz w:val="22"/>
          <w:szCs w:val="22"/>
        </w:rPr>
        <w:t xml:space="preserve"> nebude obsahovat rozpočty, tato skutečnost bude na </w:t>
      </w:r>
      <w:r w:rsidR="00917416">
        <w:rPr>
          <w:rFonts w:ascii="Tahoma" w:hAnsi="Tahoma" w:cs="Tahoma"/>
          <w:sz w:val="22"/>
          <w:szCs w:val="22"/>
        </w:rPr>
        <w:t>nosiči</w:t>
      </w:r>
      <w:r w:rsidR="00FE4A8F" w:rsidRPr="00644C3A">
        <w:rPr>
          <w:rFonts w:ascii="Tahoma" w:hAnsi="Tahoma" w:cs="Tahoma"/>
          <w:sz w:val="22"/>
          <w:szCs w:val="22"/>
        </w:rPr>
        <w:t xml:space="preserve"> zřetelně označena).</w:t>
      </w:r>
    </w:p>
    <w:p w14:paraId="718BD240" w14:textId="18516718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</w:t>
      </w:r>
      <w:bookmarkStart w:id="5" w:name="_Hlk160102196"/>
      <w:r w:rsidR="00A55BE2">
        <w:rPr>
          <w:rFonts w:ascii="Tahoma" w:hAnsi="Tahoma" w:cs="Tahoma"/>
          <w:snapToGrid w:val="0"/>
          <w:sz w:val="22"/>
          <w:szCs w:val="22"/>
        </w:rPr>
        <w:t xml:space="preserve">USB </w:t>
      </w:r>
      <w:proofErr w:type="spellStart"/>
      <w:r w:rsidR="00A55BE2"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 w:rsidR="00A55BE2">
        <w:rPr>
          <w:rFonts w:ascii="Tahoma" w:hAnsi="Tahoma" w:cs="Tahoma"/>
          <w:snapToGrid w:val="0"/>
          <w:sz w:val="22"/>
          <w:szCs w:val="22"/>
        </w:rPr>
        <w:t xml:space="preserve"> disk</w:t>
      </w:r>
      <w:bookmarkEnd w:id="5"/>
      <w:r w:rsidR="00A55BE2">
        <w:rPr>
          <w:rFonts w:ascii="Tahoma" w:hAnsi="Tahoma" w:cs="Tahoma"/>
          <w:snapToGrid w:val="0"/>
          <w:sz w:val="22"/>
          <w:szCs w:val="22"/>
        </w:rPr>
        <w:t>).</w:t>
      </w:r>
    </w:p>
    <w:p w14:paraId="2FC9D4A0" w14:textId="0DA90EC9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</w:t>
      </w:r>
      <w:r w:rsidR="003C0711">
        <w:rPr>
          <w:rFonts w:ascii="Tahoma" w:hAnsi="Tahoma" w:cs="Tahoma"/>
          <w:sz w:val="22"/>
          <w:szCs w:val="22"/>
        </w:rPr>
        <w:br/>
      </w:r>
      <w:r w:rsidR="003C071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7675F468" w:rsidR="00BE2CB8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Pr="007C110B">
        <w:rPr>
          <w:rFonts w:ascii="Tahoma" w:hAnsi="Tahoma" w:cs="Tahoma"/>
          <w:b/>
          <w:bCs/>
          <w:sz w:val="22"/>
          <w:szCs w:val="22"/>
        </w:rPr>
        <w:t>do </w:t>
      </w:r>
      <w:r w:rsidR="00091561">
        <w:rPr>
          <w:rFonts w:ascii="Tahoma" w:hAnsi="Tahoma" w:cs="Tahoma"/>
          <w:b/>
          <w:bCs/>
          <w:sz w:val="22"/>
          <w:szCs w:val="22"/>
        </w:rPr>
        <w:t>150</w:t>
      </w:r>
      <w:r w:rsidR="005E5D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110B">
        <w:rPr>
          <w:rFonts w:ascii="Tahoma" w:hAnsi="Tahoma" w:cs="Tahoma"/>
          <w:b/>
          <w:sz w:val="22"/>
          <w:szCs w:val="22"/>
        </w:rPr>
        <w:t>dnů</w:t>
      </w:r>
      <w:r w:rsidRPr="007C110B">
        <w:rPr>
          <w:rFonts w:ascii="Tahoma" w:hAnsi="Tahoma" w:cs="Tahoma"/>
          <w:sz w:val="22"/>
          <w:szCs w:val="22"/>
        </w:rPr>
        <w:t xml:space="preserve"> </w:t>
      </w:r>
      <w:r w:rsidRPr="00815226">
        <w:rPr>
          <w:rFonts w:ascii="Tahoma" w:hAnsi="Tahoma" w:cs="Tahoma"/>
          <w:sz w:val="22"/>
          <w:szCs w:val="22"/>
        </w:rPr>
        <w:t>ode dne nabytí účinnosti této smlouvy.</w:t>
      </w:r>
    </w:p>
    <w:p w14:paraId="4345086A" w14:textId="4C5447ED" w:rsidR="00A54991" w:rsidRPr="00572C5A" w:rsidRDefault="00A54991" w:rsidP="00844F1B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bCs/>
          <w:sz w:val="22"/>
          <w:szCs w:val="22"/>
        </w:rPr>
      </w:pPr>
      <w:r w:rsidRPr="00572C5A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681C96" w:rsidRPr="00572C5A">
        <w:rPr>
          <w:rFonts w:ascii="Tahoma" w:hAnsi="Tahoma" w:cs="Tahoma"/>
          <w:sz w:val="22"/>
          <w:szCs w:val="22"/>
        </w:rPr>
        <w:t>budova</w:t>
      </w:r>
      <w:r w:rsidR="00FB23D1" w:rsidRPr="00572C5A">
        <w:rPr>
          <w:rFonts w:ascii="Tahoma" w:hAnsi="Tahoma" w:cs="Tahoma"/>
          <w:sz w:val="22"/>
          <w:szCs w:val="22"/>
        </w:rPr>
        <w:t xml:space="preserve"> </w:t>
      </w:r>
      <w:r w:rsidR="00256A86" w:rsidRPr="00572C5A">
        <w:rPr>
          <w:rFonts w:ascii="Tahoma" w:hAnsi="Tahoma" w:cs="Tahoma"/>
          <w:bCs/>
          <w:sz w:val="22"/>
          <w:szCs w:val="22"/>
        </w:rPr>
        <w:t xml:space="preserve">Obchodní akademie a Vyšší odborné školy sociální, příspěvková organizace Ostrava-Mariánské Hory na adrese </w:t>
      </w:r>
      <w:r w:rsidR="00572C5A">
        <w:rPr>
          <w:rFonts w:ascii="Tahoma" w:hAnsi="Tahoma" w:cs="Tahoma"/>
          <w:bCs/>
          <w:sz w:val="22"/>
          <w:szCs w:val="22"/>
        </w:rPr>
        <w:t>ul.</w:t>
      </w:r>
      <w:r w:rsidR="00256A86" w:rsidRPr="0070154A">
        <w:rPr>
          <w:rFonts w:ascii="Tahoma" w:hAnsi="Tahoma" w:cs="Tahoma"/>
          <w:bCs/>
          <w:sz w:val="22"/>
          <w:szCs w:val="22"/>
        </w:rPr>
        <w:t xml:space="preserve"> Karasova 1140/16</w:t>
      </w:r>
      <w:r w:rsidR="00256A86" w:rsidRPr="00572C5A">
        <w:rPr>
          <w:rFonts w:ascii="Tahoma" w:hAnsi="Tahoma" w:cs="Tahoma"/>
          <w:bCs/>
          <w:sz w:val="22"/>
          <w:szCs w:val="22"/>
        </w:rPr>
        <w:t>, 709 00 Ostrava-Mariánské Hory</w:t>
      </w:r>
      <w:r w:rsidR="0024100D" w:rsidRPr="00572C5A">
        <w:rPr>
          <w:rFonts w:ascii="Tahoma" w:hAnsi="Tahoma" w:cs="Tahoma"/>
          <w:bCs/>
          <w:sz w:val="22"/>
          <w:szCs w:val="22"/>
        </w:rPr>
        <w:t>.</w:t>
      </w:r>
    </w:p>
    <w:p w14:paraId="7ED7BA70" w14:textId="167D2396" w:rsidR="007C110B" w:rsidRPr="00256A86" w:rsidRDefault="007C110B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bCs/>
          <w:sz w:val="22"/>
          <w:szCs w:val="22"/>
        </w:rPr>
      </w:pPr>
      <w:r w:rsidRPr="00256A86">
        <w:rPr>
          <w:rFonts w:ascii="Tahoma" w:hAnsi="Tahoma" w:cs="Tahoma"/>
          <w:bCs/>
          <w:sz w:val="22"/>
          <w:szCs w:val="22"/>
        </w:rPr>
        <w:t>Zhotovitel je povinen bezprostředně po zahájení prací na díle dle čl. III této smlouvy oznámit tuto skutečnost MSDC, a to e-mailem na adresu</w:t>
      </w:r>
      <w:r w:rsidR="001818D2">
        <w:rPr>
          <w:rFonts w:ascii="Tahoma" w:hAnsi="Tahoma" w:cs="Tahoma"/>
          <w:bCs/>
          <w:sz w:val="22"/>
          <w:szCs w:val="22"/>
        </w:rPr>
        <w:t>..</w:t>
      </w:r>
      <w:r w:rsidRPr="00256A86">
        <w:rPr>
          <w:rFonts w:ascii="Tahoma" w:hAnsi="Tahoma" w:cs="Tahoma"/>
          <w:bCs/>
          <w:sz w:val="22"/>
          <w:szCs w:val="22"/>
        </w:rPr>
        <w:t>.</w:t>
      </w:r>
    </w:p>
    <w:p w14:paraId="4A6096B6" w14:textId="0F59FFB4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5FC6FA0E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009FC538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3C0711">
        <w:rPr>
          <w:rFonts w:ascii="Tahoma" w:hAnsi="Tahoma" w:cs="Tahoma"/>
          <w:sz w:val="22"/>
          <w:szCs w:val="22"/>
        </w:rPr>
        <w:br/>
      </w:r>
      <w:r w:rsidR="00815226">
        <w:rPr>
          <w:rFonts w:ascii="Tahoma" w:hAnsi="Tahoma" w:cs="Tahoma"/>
          <w:sz w:val="22"/>
          <w:szCs w:val="22"/>
        </w:rPr>
        <w:t>10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7FC64A48" w14:textId="1332ECE6" w:rsidR="003C0711" w:rsidRPr="00F131FC" w:rsidRDefault="00BE2CB8" w:rsidP="003C071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2078AC14" w14:textId="0ADEA113" w:rsidR="00F131FC" w:rsidRPr="00F131FC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proofErr w:type="gramStart"/>
      <w:r w:rsidRPr="00080BAF">
        <w:rPr>
          <w:rFonts w:ascii="Tahoma" w:hAnsi="Tahoma" w:cs="Tahoma"/>
          <w:sz w:val="22"/>
          <w:szCs w:val="22"/>
        </w:rPr>
        <w:t>e-mail:</w:t>
      </w:r>
      <w:r w:rsidR="001818D2">
        <w:rPr>
          <w:rFonts w:ascii="Tahoma" w:hAnsi="Tahoma" w:cs="Tahoma"/>
          <w:sz w:val="22"/>
          <w:szCs w:val="22"/>
        </w:rPr>
        <w:t>..</w:t>
      </w:r>
      <w:r w:rsidR="00734073">
        <w:rPr>
          <w:rFonts w:ascii="Tahoma" w:hAnsi="Tahoma" w:cs="Tahoma"/>
          <w:sz w:val="22"/>
          <w:szCs w:val="22"/>
        </w:rPr>
        <w:t>.</w:t>
      </w:r>
      <w:proofErr w:type="gramEnd"/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F131FC">
        <w:rPr>
          <w:rFonts w:ascii="Tahoma" w:hAnsi="Tahoma" w:cs="Tahoma"/>
          <w:i/>
          <w:color w:val="FF0000"/>
          <w:sz w:val="22"/>
          <w:szCs w:val="22"/>
        </w:rPr>
        <w:br/>
      </w:r>
      <w:r w:rsidR="00543FE8" w:rsidRPr="00DF118D">
        <w:rPr>
          <w:rFonts w:ascii="Tahoma" w:hAnsi="Tahoma" w:cs="Tahoma"/>
          <w:b/>
          <w:bCs/>
          <w:sz w:val="22"/>
          <w:szCs w:val="22"/>
        </w:rPr>
        <w:t>V případě, že zhotovitel obdrží dotaz přímo od účastníka zadávacího řízení</w:t>
      </w:r>
    </w:p>
    <w:p w14:paraId="7F8105B1" w14:textId="60225736" w:rsidR="00D70043" w:rsidRPr="00543FE8" w:rsidRDefault="00543FE8" w:rsidP="00F131FC">
      <w:pPr>
        <w:pStyle w:val="slovanPododstavecSmlouvy"/>
        <w:numPr>
          <w:ilvl w:val="0"/>
          <w:numId w:val="0"/>
        </w:numPr>
        <w:ind w:left="714"/>
      </w:pPr>
      <w:bookmarkStart w:id="6" w:name="_GoBack"/>
      <w:bookmarkEnd w:id="6"/>
      <w:r w:rsidRPr="00DF118D">
        <w:rPr>
          <w:rFonts w:ascii="Tahoma" w:hAnsi="Tahoma" w:cs="Tahoma"/>
          <w:b/>
          <w:bCs/>
          <w:sz w:val="22"/>
          <w:szCs w:val="22"/>
        </w:rPr>
        <w:lastRenderedPageBreak/>
        <w:t xml:space="preserve">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15233E54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041ACBA6" w14:textId="58BE8670" w:rsidR="007C110B" w:rsidRDefault="007C110B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s MSDC ohledně zapracování těchto požadavků.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51C9DD2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1704A61D" w:rsidR="000978B9" w:rsidRDefault="0074378B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0978B9" w:rsidRPr="00080BAF">
        <w:rPr>
          <w:rFonts w:ascii="Tahoma" w:hAnsi="Tahoma" w:cs="Tahoma"/>
          <w:sz w:val="22"/>
          <w:szCs w:val="22"/>
        </w:rPr>
        <w:t>II.</w:t>
      </w:r>
      <w:r w:rsidR="000978B9">
        <w:rPr>
          <w:rFonts w:ascii="Tahoma" w:hAnsi="Tahoma" w:cs="Tahoma"/>
          <w:sz w:val="22"/>
          <w:szCs w:val="22"/>
        </w:rPr>
        <w:br/>
      </w:r>
      <w:r w:rsidR="000978B9"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633F4A59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734073">
        <w:rPr>
          <w:rFonts w:ascii="Tahoma" w:hAnsi="Tahoma" w:cs="Tahoma"/>
          <w:sz w:val="22"/>
          <w:szCs w:val="22"/>
        </w:rPr>
        <w:t>780 000,00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5C62EA2A" w:rsidR="000978B9" w:rsidRDefault="000978B9" w:rsidP="007458AB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734073">
        <w:rPr>
          <w:rFonts w:ascii="Tahoma" w:hAnsi="Tahoma" w:cs="Tahoma"/>
          <w:sz w:val="22"/>
          <w:szCs w:val="22"/>
        </w:rPr>
        <w:t>163 800,00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772426CB" w:rsidR="000978B9" w:rsidRDefault="000978B9" w:rsidP="007458AB">
      <w:pPr>
        <w:pStyle w:val="Zkladntextodsazen2"/>
        <w:tabs>
          <w:tab w:val="right" w:pos="4395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7458AB">
        <w:rPr>
          <w:rFonts w:ascii="Tahoma" w:hAnsi="Tahoma" w:cs="Tahoma"/>
          <w:sz w:val="22"/>
          <w:szCs w:val="22"/>
        </w:rPr>
        <w:t xml:space="preserve"> </w:t>
      </w:r>
      <w:r w:rsidR="007458AB">
        <w:rPr>
          <w:rFonts w:ascii="Tahoma" w:hAnsi="Tahoma" w:cs="Tahoma"/>
          <w:sz w:val="22"/>
          <w:szCs w:val="22"/>
        </w:rPr>
        <w:tab/>
      </w:r>
      <w:r w:rsidR="00734073" w:rsidRPr="00734073">
        <w:rPr>
          <w:rFonts w:ascii="Tahoma" w:hAnsi="Tahoma" w:cs="Tahoma"/>
          <w:b/>
          <w:sz w:val="22"/>
          <w:szCs w:val="22"/>
        </w:rPr>
        <w:t>943 800,00</w:t>
      </w:r>
      <w:r w:rsidR="00C2739E" w:rsidRPr="00734073">
        <w:rPr>
          <w:rFonts w:ascii="Tahoma" w:hAnsi="Tahoma" w:cs="Tahoma"/>
          <w:b/>
          <w:sz w:val="22"/>
          <w:szCs w:val="22"/>
        </w:rPr>
        <w:t> </w:t>
      </w:r>
      <w:r w:rsidRPr="00734073"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7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8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2B590DA" w14:textId="1F699BB5" w:rsidR="00F131FC" w:rsidRPr="00EE2953" w:rsidRDefault="00F24AA7" w:rsidP="00844F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2953">
        <w:rPr>
          <w:rFonts w:ascii="Tahoma" w:hAnsi="Tahoma" w:cs="Tahoma"/>
          <w:sz w:val="22"/>
          <w:szCs w:val="22"/>
        </w:rPr>
        <w:t>Cena za dílo bude uhrazena</w:t>
      </w:r>
      <w:r w:rsidR="00394FA7" w:rsidRPr="00EE2953">
        <w:rPr>
          <w:rFonts w:ascii="Tahoma" w:hAnsi="Tahoma" w:cs="Tahoma"/>
          <w:sz w:val="22"/>
          <w:szCs w:val="22"/>
        </w:rPr>
        <w:t xml:space="preserve"> jednorázově</w:t>
      </w:r>
      <w:r w:rsidRPr="00EE2953">
        <w:rPr>
          <w:rFonts w:ascii="Tahoma" w:hAnsi="Tahoma" w:cs="Tahoma"/>
          <w:sz w:val="22"/>
          <w:szCs w:val="22"/>
        </w:rPr>
        <w:t xml:space="preserve"> po předání</w:t>
      </w:r>
      <w:r w:rsidR="00397780" w:rsidRPr="00EE2953">
        <w:rPr>
          <w:rFonts w:ascii="Tahoma" w:hAnsi="Tahoma" w:cs="Tahoma"/>
          <w:sz w:val="22"/>
          <w:szCs w:val="22"/>
        </w:rPr>
        <w:t xml:space="preserve"> a převzetí</w:t>
      </w:r>
      <w:r w:rsidRPr="00EE2953">
        <w:rPr>
          <w:rFonts w:ascii="Tahoma" w:hAnsi="Tahoma" w:cs="Tahoma"/>
          <w:sz w:val="22"/>
          <w:szCs w:val="22"/>
        </w:rPr>
        <w:t xml:space="preserve"> </w:t>
      </w:r>
      <w:r w:rsidR="00C6305D" w:rsidRPr="00EE2953">
        <w:rPr>
          <w:rFonts w:ascii="Tahoma" w:hAnsi="Tahoma" w:cs="Tahoma"/>
          <w:sz w:val="22"/>
          <w:szCs w:val="22"/>
        </w:rPr>
        <w:t>díla</w:t>
      </w:r>
      <w:r w:rsidR="00394FA7" w:rsidRPr="00EE2953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lastRenderedPageBreak/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0CCE8D47" w14:textId="569FAD68" w:rsidR="000B0B76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7458AB">
        <w:rPr>
          <w:rFonts w:ascii="Tahoma" w:hAnsi="Tahoma" w:cs="Tahoma"/>
          <w:sz w:val="22"/>
          <w:szCs w:val="22"/>
        </w:rPr>
        <w:t>Rekonstrukce elektroinstalace</w:t>
      </w:r>
      <w:r w:rsidR="00237E47">
        <w:rPr>
          <w:rFonts w:ascii="Tahoma" w:hAnsi="Tahoma" w:cs="Tahoma"/>
          <w:sz w:val="22"/>
          <w:szCs w:val="22"/>
        </w:rPr>
        <w:t>“</w:t>
      </w:r>
      <w:r w:rsidR="00B27316">
        <w:rPr>
          <w:rFonts w:ascii="Tahoma" w:hAnsi="Tahoma" w:cs="Tahoma"/>
          <w:sz w:val="22"/>
          <w:szCs w:val="22"/>
        </w:rPr>
        <w:t>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DBB46F8" w14:textId="0532CA1B" w:rsidR="003C0711" w:rsidRPr="00F131FC" w:rsidRDefault="00A54991" w:rsidP="00F131FC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9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zhotovitel bude ke dni poskytnutí úplaty nebo ke dni uskutečnění zdanitelného plnění </w:t>
      </w:r>
      <w:r w:rsidRPr="00591207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0E7E14D7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1207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1207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Objednatel nenese odpovědnost </w:t>
      </w:r>
      <w:r w:rsidRPr="00B848A1">
        <w:rPr>
          <w:rFonts w:ascii="Tahoma" w:hAnsi="Tahoma" w:cs="Tahoma"/>
          <w:sz w:val="22"/>
          <w:szCs w:val="22"/>
        </w:rPr>
        <w:lastRenderedPageBreak/>
        <w:t>za případné penále a jiné postihy vyměřené či stanovené správcem daně zhotoviteli v souvislosti s potenciálně pozdní úhradou DPH, tj. po datu splatnosti této daně.</w:t>
      </w:r>
    </w:p>
    <w:bookmarkEnd w:id="9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7BC22931" w14:textId="201B3263" w:rsidR="003C0711" w:rsidRPr="00F131FC" w:rsidRDefault="00A54991" w:rsidP="003C0711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</w:t>
      </w:r>
      <w:proofErr w:type="gramStart"/>
      <w:r w:rsidR="001B3FF5" w:rsidRPr="00391D64">
        <w:rPr>
          <w:rFonts w:ascii="Tahoma" w:hAnsi="Tahoma" w:cs="Tahoma"/>
          <w:sz w:val="22"/>
          <w:szCs w:val="22"/>
        </w:rPr>
        <w:t>1 </w:t>
      </w:r>
      <w:r w:rsidR="001B3FF5" w:rsidRPr="00A07147">
        <w:rPr>
          <w:rFonts w:ascii="Tahoma" w:hAnsi="Tahoma" w:cs="Tahoma"/>
          <w:sz w:val="22"/>
          <w:szCs w:val="22"/>
        </w:rPr>
        <w:t>– 2</w:t>
      </w:r>
      <w:proofErr w:type="gramEnd"/>
      <w:r w:rsidR="001B3FF5" w:rsidRPr="00A07147">
        <w:rPr>
          <w:rFonts w:ascii="Tahoma" w:hAnsi="Tahoma" w:cs="Tahoma"/>
          <w:sz w:val="22"/>
          <w:szCs w:val="22"/>
        </w:rPr>
        <w:t>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B430339" w14:textId="6DB2B20B" w:rsidR="00F131FC" w:rsidRPr="00EE2953" w:rsidRDefault="00A54991" w:rsidP="00844F1B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2953">
        <w:rPr>
          <w:rFonts w:ascii="Tahoma" w:hAnsi="Tahoma" w:cs="Tahoma"/>
          <w:sz w:val="22"/>
          <w:szCs w:val="22"/>
        </w:rPr>
        <w:t>V případě poruše</w:t>
      </w:r>
      <w:r w:rsidR="00AF5D07" w:rsidRPr="00EE2953">
        <w:rPr>
          <w:rFonts w:ascii="Tahoma" w:hAnsi="Tahoma" w:cs="Tahoma"/>
          <w:sz w:val="22"/>
          <w:szCs w:val="22"/>
        </w:rPr>
        <w:t>ní povinnosti sjednané v čl. VI</w:t>
      </w:r>
      <w:r w:rsidR="00346EF5" w:rsidRPr="00EE2953">
        <w:rPr>
          <w:rFonts w:ascii="Tahoma" w:hAnsi="Tahoma" w:cs="Tahoma"/>
          <w:sz w:val="22"/>
          <w:szCs w:val="22"/>
        </w:rPr>
        <w:t xml:space="preserve"> odst. </w:t>
      </w:r>
      <w:r w:rsidR="005A7225" w:rsidRPr="00EE2953">
        <w:rPr>
          <w:rFonts w:ascii="Tahoma" w:hAnsi="Tahoma" w:cs="Tahoma"/>
          <w:sz w:val="22"/>
          <w:szCs w:val="22"/>
        </w:rPr>
        <w:t>1</w:t>
      </w:r>
      <w:r w:rsidR="00346EF5" w:rsidRPr="00EE2953">
        <w:rPr>
          <w:rFonts w:ascii="Tahoma" w:hAnsi="Tahoma" w:cs="Tahoma"/>
          <w:sz w:val="22"/>
          <w:szCs w:val="22"/>
        </w:rPr>
        <w:t xml:space="preserve"> písm. </w:t>
      </w:r>
      <w:r w:rsidR="00010646" w:rsidRPr="00EE2953">
        <w:rPr>
          <w:rFonts w:ascii="Tahoma" w:hAnsi="Tahoma" w:cs="Tahoma"/>
          <w:sz w:val="22"/>
          <w:szCs w:val="22"/>
        </w:rPr>
        <w:t>f</w:t>
      </w:r>
      <w:r w:rsidRPr="00EE2953">
        <w:rPr>
          <w:rFonts w:ascii="Tahoma" w:hAnsi="Tahoma" w:cs="Tahoma"/>
          <w:sz w:val="22"/>
          <w:szCs w:val="22"/>
        </w:rPr>
        <w:t xml:space="preserve">) této smlouvy, dojde-li porušením této povinnosti k prodlení s plněním díla, je zhotovitel povinen zaplatit objednateli </w:t>
      </w:r>
      <w:r w:rsidR="005A7225" w:rsidRPr="00EE2953">
        <w:rPr>
          <w:rFonts w:ascii="Tahoma" w:hAnsi="Tahoma" w:cs="Tahoma"/>
          <w:sz w:val="22"/>
          <w:szCs w:val="22"/>
        </w:rPr>
        <w:t>za každý případ</w:t>
      </w:r>
      <w:r w:rsidR="003846C2" w:rsidRPr="00EE2953">
        <w:rPr>
          <w:rFonts w:ascii="Tahoma" w:hAnsi="Tahoma" w:cs="Tahoma"/>
          <w:sz w:val="22"/>
          <w:szCs w:val="22"/>
        </w:rPr>
        <w:t xml:space="preserve"> </w:t>
      </w:r>
      <w:r w:rsidRPr="00EE2953">
        <w:rPr>
          <w:rFonts w:ascii="Tahoma" w:hAnsi="Tahoma" w:cs="Tahoma"/>
          <w:sz w:val="22"/>
          <w:szCs w:val="22"/>
        </w:rPr>
        <w:t>smluvní pokutu ve výši 5.000</w:t>
      </w:r>
      <w:r w:rsidR="00AF5D07" w:rsidRPr="00EE2953">
        <w:rPr>
          <w:rFonts w:ascii="Tahoma" w:hAnsi="Tahoma" w:cs="Tahoma"/>
          <w:color w:val="FF00FF"/>
          <w:sz w:val="22"/>
          <w:szCs w:val="22"/>
        </w:rPr>
        <w:t> </w:t>
      </w:r>
      <w:r w:rsidRPr="00EE2953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5CDF7E2E" w:rsidR="001E2378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6BCA4495" w14:textId="2EAFD703" w:rsidR="00F131FC" w:rsidRPr="00EE2953" w:rsidRDefault="7D45B5FC" w:rsidP="00844F1B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EE2953">
        <w:rPr>
          <w:rFonts w:ascii="Tahoma" w:hAnsi="Tahoma" w:cs="Tahoma"/>
          <w:sz w:val="22"/>
          <w:szCs w:val="22"/>
        </w:rPr>
        <w:t>účast na odevzdání</w:t>
      </w:r>
      <w:r w:rsidR="0BCAC390" w:rsidRPr="00EE2953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00EE2953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485CB4E6" w:rsidR="00A54991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0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4EFE091A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C42AC4">
        <w:rPr>
          <w:rFonts w:ascii="Tahoma" w:hAnsi="Tahoma" w:cs="Tahoma"/>
          <w:sz w:val="22"/>
          <w:szCs w:val="22"/>
        </w:rPr>
        <w:t>30 000,00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2ADE64AB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C42AC4">
        <w:rPr>
          <w:rFonts w:ascii="Tahoma" w:hAnsi="Tahoma" w:cs="Tahoma"/>
          <w:sz w:val="22"/>
          <w:szCs w:val="22"/>
        </w:rPr>
        <w:t xml:space="preserve"> 6 300,00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60DA24C5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C42AC4">
        <w:rPr>
          <w:rFonts w:ascii="Tahoma" w:hAnsi="Tahoma" w:cs="Tahoma"/>
          <w:sz w:val="22"/>
          <w:szCs w:val="22"/>
        </w:rPr>
        <w:t>36 300,00</w:t>
      </w:r>
      <w:r w:rsidR="00336A49" w:rsidRPr="00336A49">
        <w:rPr>
          <w:rFonts w:ascii="Tahoma" w:hAnsi="Tahoma" w:cs="Tahoma"/>
          <w:b/>
          <w:sz w:val="22"/>
          <w:szCs w:val="22"/>
        </w:rPr>
        <w:t> </w:t>
      </w:r>
      <w:r w:rsidRPr="00D00237">
        <w:rPr>
          <w:rFonts w:ascii="Tahoma" w:hAnsi="Tahoma" w:cs="Tahoma"/>
          <w:bCs/>
          <w:sz w:val="22"/>
          <w:szCs w:val="22"/>
        </w:rPr>
        <w:t>Kč</w:t>
      </w:r>
    </w:p>
    <w:bookmarkEnd w:id="10"/>
    <w:p w14:paraId="708C3CF3" w14:textId="77777777" w:rsidR="00A54991" w:rsidRPr="00080BAF" w:rsidRDefault="00A54991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2224041E" w:rsidR="00F2650D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11716D">
        <w:rPr>
          <w:rFonts w:ascii="Tahoma" w:hAnsi="Tahoma" w:cs="Tahoma"/>
          <w:sz w:val="22"/>
          <w:szCs w:val="22"/>
        </w:rPr>
        <w:t xml:space="preserve"> Rekonstrukce elektroinstalace</w:t>
      </w:r>
      <w:r w:rsidR="00580B03" w:rsidRPr="0011716D">
        <w:rPr>
          <w:rFonts w:ascii="Tahoma" w:hAnsi="Tahoma" w:cs="Tahoma"/>
          <w:sz w:val="22"/>
          <w:szCs w:val="22"/>
        </w:rPr>
        <w:t>“</w:t>
      </w:r>
      <w:r w:rsidR="00B27316">
        <w:rPr>
          <w:rFonts w:ascii="Tahoma" w:hAnsi="Tahoma" w:cs="Tahoma"/>
          <w:sz w:val="22"/>
          <w:szCs w:val="22"/>
        </w:rPr>
        <w:t>,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59705E47" w:rsidR="00AA2C16" w:rsidRPr="0011716D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1716D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11716D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1716D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74B300C2" w:rsidR="00A54991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</w:t>
      </w:r>
      <w:r w:rsidRPr="00080BAF">
        <w:rPr>
          <w:rFonts w:ascii="Tahoma" w:hAnsi="Tahoma" w:cs="Tahoma"/>
          <w:sz w:val="22"/>
          <w:szCs w:val="22"/>
        </w:rPr>
        <w:lastRenderedPageBreak/>
        <w:t>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154C9CB2" w:rsidR="00FA7D62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37240B8B" w14:textId="77777777" w:rsidR="003C0711" w:rsidRPr="00080BAF" w:rsidRDefault="003C0711" w:rsidP="003C0711">
      <w:pPr>
        <w:pStyle w:val="Smlouva2"/>
        <w:spacing w:before="120"/>
        <w:jc w:val="both"/>
        <w:rPr>
          <w:rFonts w:ascii="Tahoma" w:hAnsi="Tahoma" w:cs="Tahoma"/>
          <w:b w:val="0"/>
          <w:bCs/>
          <w:sz w:val="22"/>
          <w:szCs w:val="22"/>
        </w:rPr>
      </w:pP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lastRenderedPageBreak/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2E571A3" w14:textId="77777777" w:rsidR="00674097" w:rsidRDefault="00237164" w:rsidP="00674097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674097">
        <w:rPr>
          <w:rFonts w:ascii="Tahoma" w:hAnsi="Tahoma" w:cs="Tahoma"/>
          <w:sz w:val="22"/>
          <w:szCs w:val="22"/>
        </w:rPr>
        <w:t>500 tis.</w:t>
      </w:r>
      <w:r w:rsidRPr="00674097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</w:t>
      </w:r>
      <w:r w:rsidRPr="00674097">
        <w:rPr>
          <w:rFonts w:ascii="Tahoma" w:hAnsi="Tahoma" w:cs="Tahoma"/>
          <w:sz w:val="22"/>
          <w:szCs w:val="22"/>
        </w:rPr>
        <w:t xml:space="preserve">spoluúčastí max. </w:t>
      </w:r>
      <w:r w:rsidR="00297EC5" w:rsidRPr="00674097">
        <w:rPr>
          <w:rFonts w:ascii="Tahoma" w:hAnsi="Tahoma" w:cs="Tahoma"/>
          <w:sz w:val="22"/>
          <w:szCs w:val="22"/>
        </w:rPr>
        <w:t>5</w:t>
      </w:r>
      <w:r w:rsidRPr="00674097">
        <w:rPr>
          <w:rFonts w:ascii="Tahoma" w:hAnsi="Tahoma" w:cs="Tahoma"/>
          <w:sz w:val="22"/>
          <w:szCs w:val="22"/>
        </w:rPr>
        <w:t>0 tis. Kč</w:t>
      </w:r>
      <w:r w:rsidR="007F3B78" w:rsidRPr="00674097">
        <w:rPr>
          <w:rFonts w:ascii="Tahoma" w:hAnsi="Tahoma" w:cs="Tahoma"/>
          <w:sz w:val="22"/>
          <w:szCs w:val="22"/>
        </w:rPr>
        <w:t>.</w:t>
      </w:r>
    </w:p>
    <w:p w14:paraId="6D718011" w14:textId="68003B89" w:rsidR="00A828B7" w:rsidRPr="00674097" w:rsidRDefault="00237164" w:rsidP="00674097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74097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 w:rsidRPr="00674097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 w:rsidRPr="00674097">
        <w:rPr>
          <w:rFonts w:ascii="Tahoma" w:hAnsi="Tahoma" w:cs="Tahoma"/>
          <w:sz w:val="22"/>
          <w:szCs w:val="22"/>
        </w:rPr>
        <w:t xml:space="preserve"> výzvy objednatele</w:t>
      </w:r>
      <w:r w:rsidRPr="00674097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</w:t>
      </w:r>
      <w:r w:rsidR="00DF24EA">
        <w:rPr>
          <w:rFonts w:ascii="Tahoma" w:hAnsi="Tahoma" w:cs="Tahoma"/>
          <w:sz w:val="22"/>
          <w:szCs w:val="22"/>
        </w:rPr>
        <w:t> </w:t>
      </w:r>
      <w:proofErr w:type="spellStart"/>
      <w:r w:rsidRPr="00674097">
        <w:rPr>
          <w:rFonts w:ascii="Tahoma" w:hAnsi="Tahoma" w:cs="Tahoma"/>
          <w:sz w:val="22"/>
          <w:szCs w:val="22"/>
        </w:rPr>
        <w:t>sublimity</w:t>
      </w:r>
      <w:proofErr w:type="spellEnd"/>
      <w:r w:rsidRPr="00674097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0C584737" w14:textId="51B901C4" w:rsidR="006C3EAD" w:rsidRDefault="00580B03" w:rsidP="0080002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0071C1FB" w:rsidR="006C3EAD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</w:t>
      </w:r>
      <w:r w:rsidR="00674097">
        <w:rPr>
          <w:rStyle w:val="normaltextrun"/>
          <w:rFonts w:ascii="Tahoma" w:hAnsi="Tahoma" w:cs="Tahoma"/>
          <w:sz w:val="22"/>
          <w:szCs w:val="22"/>
        </w:rPr>
        <w:t xml:space="preserve"> dle odst. 1 tohoto článku smlouvy</w:t>
      </w:r>
      <w:r>
        <w:rPr>
          <w:rStyle w:val="normaltextrun"/>
          <w:rFonts w:ascii="Tahoma" w:hAnsi="Tahoma" w:cs="Tahoma"/>
          <w:sz w:val="22"/>
          <w:szCs w:val="22"/>
        </w:rPr>
        <w:t>.</w:t>
      </w:r>
    </w:p>
    <w:p w14:paraId="52562016" w14:textId="1296D8B1" w:rsidR="006C3EAD" w:rsidRPr="00EE2953" w:rsidRDefault="006C3EAD" w:rsidP="00844F1B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E2953"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 w:rsidRPr="00EE2953"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 w:rsidRPr="00EE2953"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</w:t>
      </w:r>
      <w:r w:rsidR="003C0711" w:rsidRPr="00EE2953">
        <w:rPr>
          <w:rStyle w:val="normaltextrun"/>
          <w:rFonts w:ascii="Tahoma" w:hAnsi="Tahoma" w:cs="Tahoma"/>
          <w:sz w:val="22"/>
          <w:szCs w:val="22"/>
        </w:rPr>
        <w:br/>
      </w:r>
      <w:r w:rsidRPr="00EE2953">
        <w:rPr>
          <w:rStyle w:val="normaltextrun"/>
          <w:rFonts w:ascii="Tahoma" w:hAnsi="Tahoma" w:cs="Tahoma"/>
          <w:sz w:val="22"/>
          <w:szCs w:val="22"/>
        </w:rPr>
        <w:lastRenderedPageBreak/>
        <w:t>pokutu, povinnosti nahradit škodu a povinnosti zachovat důvěrnost informací souvisejících s plněním dle této smlouvy.</w:t>
      </w:r>
    </w:p>
    <w:p w14:paraId="4D19DFC2" w14:textId="2E2CB846" w:rsidR="006C3EAD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0096A93" w14:textId="3F926836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69493DE5" w14:textId="03C7B87F" w:rsidR="001A1B4C" w:rsidRPr="003C0711" w:rsidRDefault="45EB66C1" w:rsidP="001A1B4C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6478029B" w14:textId="026CB5E1" w:rsidR="001A1B4C" w:rsidRPr="00A16E40" w:rsidRDefault="5B2BB587" w:rsidP="00844F1B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00A16E40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</w:t>
      </w:r>
      <w:r w:rsidRPr="00B27316">
        <w:rPr>
          <w:rFonts w:ascii="Tahoma" w:hAnsi="Tahoma" w:cs="Tahoma"/>
          <w:sz w:val="22"/>
          <w:szCs w:val="22"/>
        </w:rPr>
        <w:t>stránkách</w:t>
      </w:r>
      <w:r w:rsidR="001A1B4C" w:rsidRPr="00B27316">
        <w:rPr>
          <w:rFonts w:ascii="Tahoma" w:hAnsi="Tahoma" w:cs="Tahoma"/>
          <w:sz w:val="22"/>
          <w:szCs w:val="22"/>
        </w:rPr>
        <w:t xml:space="preserve"> </w:t>
      </w:r>
      <w:r w:rsidR="00B27316" w:rsidRPr="0070154A">
        <w:rPr>
          <w:rFonts w:ascii="Tahoma" w:hAnsi="Tahoma" w:cs="Tahoma"/>
          <w:sz w:val="22"/>
          <w:szCs w:val="22"/>
        </w:rPr>
        <w:t>Obchodní akademie a Vyšší odborn</w:t>
      </w:r>
      <w:r w:rsidR="00B27316">
        <w:rPr>
          <w:rFonts w:ascii="Tahoma" w:hAnsi="Tahoma" w:cs="Tahoma"/>
          <w:sz w:val="22"/>
          <w:szCs w:val="22"/>
        </w:rPr>
        <w:t>é</w:t>
      </w:r>
      <w:r w:rsidR="00B27316" w:rsidRPr="0070154A">
        <w:rPr>
          <w:rFonts w:ascii="Tahoma" w:hAnsi="Tahoma" w:cs="Tahoma"/>
          <w:sz w:val="22"/>
          <w:szCs w:val="22"/>
        </w:rPr>
        <w:t xml:space="preserve"> škol</w:t>
      </w:r>
      <w:r w:rsidR="00B27316">
        <w:rPr>
          <w:rFonts w:ascii="Tahoma" w:hAnsi="Tahoma" w:cs="Tahoma"/>
          <w:sz w:val="22"/>
          <w:szCs w:val="22"/>
        </w:rPr>
        <w:t>y</w:t>
      </w:r>
      <w:r w:rsidR="00B27316" w:rsidRPr="0070154A">
        <w:rPr>
          <w:rFonts w:ascii="Tahoma" w:hAnsi="Tahoma" w:cs="Tahoma"/>
          <w:sz w:val="22"/>
          <w:szCs w:val="22"/>
        </w:rPr>
        <w:t xml:space="preserve"> sociální, </w:t>
      </w:r>
      <w:r w:rsidR="008C7C42">
        <w:rPr>
          <w:rFonts w:ascii="Tahoma" w:hAnsi="Tahoma" w:cs="Tahoma"/>
          <w:sz w:val="22"/>
          <w:szCs w:val="22"/>
        </w:rPr>
        <w:t xml:space="preserve">příspěvkové </w:t>
      </w:r>
      <w:r w:rsidR="008C7C42">
        <w:rPr>
          <w:rFonts w:ascii="Tahoma" w:hAnsi="Tahoma" w:cs="Tahoma"/>
          <w:sz w:val="22"/>
          <w:szCs w:val="22"/>
        </w:rPr>
        <w:lastRenderedPageBreak/>
        <w:t>organizace:</w:t>
      </w:r>
      <w:r w:rsidR="00090D4D" w:rsidRPr="00A16E40">
        <w:rPr>
          <w:rFonts w:ascii="Tahoma" w:hAnsi="Tahoma" w:cs="Tahoma"/>
          <w:sz w:val="22"/>
          <w:szCs w:val="22"/>
        </w:rPr>
        <w:t xml:space="preserve"> </w:t>
      </w:r>
      <w:r w:rsidR="004E775D">
        <w:rPr>
          <w:rFonts w:ascii="Tahoma" w:hAnsi="Tahoma" w:cs="Tahoma"/>
          <w:sz w:val="22"/>
          <w:szCs w:val="22"/>
        </w:rPr>
        <w:t>www.</w:t>
      </w:r>
      <w:r w:rsidR="004C6CB7">
        <w:rPr>
          <w:rFonts w:ascii="Tahoma" w:hAnsi="Tahoma" w:cs="Tahoma"/>
          <w:sz w:val="22"/>
          <w:szCs w:val="22"/>
        </w:rPr>
        <w:t>oa-vos</w:t>
      </w:r>
      <w:r w:rsidR="004E775D">
        <w:rPr>
          <w:rFonts w:ascii="Tahoma" w:hAnsi="Tahoma" w:cs="Tahoma"/>
          <w:sz w:val="22"/>
          <w:szCs w:val="22"/>
        </w:rPr>
        <w:t>.cz.</w:t>
      </w:r>
    </w:p>
    <w:p w14:paraId="3FCDCB21" w14:textId="0C5D9EDC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0E242E">
        <w:rPr>
          <w:rFonts w:ascii="Tahoma" w:hAnsi="Tahoma" w:cs="Tahoma"/>
          <w:sz w:val="22"/>
          <w:szCs w:val="22"/>
        </w:rPr>
        <w:t>třech</w:t>
      </w:r>
      <w:r w:rsidR="45EB66C1" w:rsidRPr="20E3AF27">
        <w:rPr>
          <w:rFonts w:ascii="Tahoma" w:hAnsi="Tahoma" w:cs="Tahoma"/>
          <w:sz w:val="22"/>
          <w:szCs w:val="22"/>
        </w:rPr>
        <w:t xml:space="preserve"> stejnopisech </w:t>
      </w:r>
      <w:r w:rsidR="003C0711">
        <w:rPr>
          <w:rFonts w:ascii="Tahoma" w:hAnsi="Tahoma" w:cs="Tahoma"/>
          <w:sz w:val="22"/>
          <w:szCs w:val="22"/>
        </w:rPr>
        <w:br/>
      </w:r>
      <w:r w:rsidR="45EB66C1" w:rsidRPr="20E3AF27">
        <w:rPr>
          <w:rFonts w:ascii="Tahoma" w:hAnsi="Tahoma" w:cs="Tahoma"/>
          <w:sz w:val="22"/>
          <w:szCs w:val="22"/>
        </w:rPr>
        <w:t xml:space="preserve">s platností originálu podepsaných oprávněnými zástupci smluvních stran, přičemž objednatel obdrží </w:t>
      </w:r>
      <w:r w:rsidR="650E4929" w:rsidRPr="000E242E">
        <w:rPr>
          <w:rFonts w:ascii="Tahoma" w:hAnsi="Tahoma" w:cs="Tahoma"/>
          <w:sz w:val="22"/>
          <w:szCs w:val="22"/>
        </w:rPr>
        <w:t>dvě</w:t>
      </w:r>
      <w:r w:rsidR="45EB66C1" w:rsidRPr="20E3AF27">
        <w:rPr>
          <w:rFonts w:ascii="Tahoma" w:hAnsi="Tahoma" w:cs="Tahoma"/>
          <w:sz w:val="22"/>
          <w:szCs w:val="22"/>
        </w:rPr>
        <w:t xml:space="preserve"> a zhotovitel </w:t>
      </w:r>
      <w:r w:rsidR="45EB66C1" w:rsidRPr="000E242E">
        <w:rPr>
          <w:rFonts w:ascii="Tahoma" w:hAnsi="Tahoma" w:cs="Tahoma"/>
          <w:sz w:val="22"/>
          <w:szCs w:val="22"/>
        </w:rPr>
        <w:t>jedno</w:t>
      </w:r>
      <w:r w:rsidR="45EB66C1" w:rsidRPr="20E3AF27">
        <w:rPr>
          <w:rFonts w:ascii="Tahoma" w:hAnsi="Tahoma" w:cs="Tahoma"/>
          <w:sz w:val="22"/>
          <w:szCs w:val="22"/>
        </w:rPr>
        <w:t xml:space="preserve"> 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54F67A7E" w14:textId="5D6F8EE9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1BCA6487" w14:textId="52D859E4" w:rsidR="0080002D" w:rsidRDefault="0080002D" w:rsidP="0080002D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50FD5EC3" w14:textId="77777777" w:rsidR="00DF24EA" w:rsidRDefault="00DF24EA" w:rsidP="0080002D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29066F7B" w14:textId="0B63330E" w:rsidR="001A1B4C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0002D">
        <w:rPr>
          <w:rFonts w:ascii="Tahoma" w:hAnsi="Tahoma" w:cs="Tahoma"/>
          <w:color w:val="000000"/>
          <w:sz w:val="22"/>
          <w:szCs w:val="22"/>
        </w:rPr>
        <w:t xml:space="preserve">V ……………………. dne ………………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80002D">
        <w:rPr>
          <w:rFonts w:ascii="Tahoma" w:hAnsi="Tahoma" w:cs="Tahoma"/>
          <w:color w:val="000000"/>
          <w:sz w:val="22"/>
          <w:szCs w:val="22"/>
        </w:rPr>
        <w:t>V …………………… dne ………………</w:t>
      </w:r>
    </w:p>
    <w:p w14:paraId="77AA6145" w14:textId="5E629551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07072B02" w14:textId="39099264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3F41D5AD" w14:textId="5BAF3566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6BA064F1" w14:textId="2935CB5F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79E9" wp14:editId="394ADA41">
                <wp:simplePos x="0" y="0"/>
                <wp:positionH relativeFrom="column">
                  <wp:posOffset>99060</wp:posOffset>
                </wp:positionH>
                <wp:positionV relativeFrom="paragraph">
                  <wp:posOffset>66040</wp:posOffset>
                </wp:positionV>
                <wp:extent cx="21050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2AE2349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5.2pt" to="173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B2C4C" wp14:editId="6DF76CFD">
                <wp:simplePos x="0" y="0"/>
                <wp:positionH relativeFrom="column">
                  <wp:posOffset>3609975</wp:posOffset>
                </wp:positionH>
                <wp:positionV relativeFrom="paragraph">
                  <wp:posOffset>66040</wp:posOffset>
                </wp:positionV>
                <wp:extent cx="21050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33055B52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  <w:t xml:space="preserve">      za objednatele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za zhotovitele</w:t>
      </w:r>
    </w:p>
    <w:p w14:paraId="27C3F1A4" w14:textId="19D5FE37" w:rsidR="000D2763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</w:p>
    <w:p w14:paraId="7DED5348" w14:textId="2AE049E5" w:rsidR="0080002D" w:rsidRP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0D2763">
        <w:rPr>
          <w:rFonts w:ascii="Tahoma" w:hAnsi="Tahoma" w:cs="Tahoma"/>
          <w:sz w:val="22"/>
          <w:szCs w:val="22"/>
        </w:rPr>
        <w:t>Zástupce statutárního orgánu</w:t>
      </w:r>
    </w:p>
    <w:sectPr w:rsidR="0080002D" w:rsidRPr="0080002D" w:rsidSect="00EE295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418" w:bottom="1560" w:left="1418" w:header="709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42BB" w14:textId="77777777" w:rsidR="00D00237" w:rsidRDefault="00D00237">
      <w:r>
        <w:separator/>
      </w:r>
    </w:p>
  </w:endnote>
  <w:endnote w:type="continuationSeparator" w:id="0">
    <w:p w14:paraId="672074E9" w14:textId="77777777" w:rsidR="00D00237" w:rsidRDefault="00D00237">
      <w:r>
        <w:continuationSeparator/>
      </w:r>
    </w:p>
  </w:endnote>
  <w:endnote w:type="continuationNotice" w:id="1">
    <w:p w14:paraId="11007D10" w14:textId="77777777" w:rsidR="00D00237" w:rsidRDefault="00D00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D37B" w14:textId="09A8092B" w:rsidR="00D00237" w:rsidRDefault="00D002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D00237" w:rsidRDefault="00D002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2796" w14:textId="35E2A680" w:rsidR="00D00237" w:rsidRPr="00C16FF0" w:rsidRDefault="00D0023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137272B" wp14:editId="3AE1FAEF">
          <wp:simplePos x="0" y="0"/>
          <wp:positionH relativeFrom="margin">
            <wp:align>right</wp:align>
          </wp:positionH>
          <wp:positionV relativeFrom="paragraph">
            <wp:posOffset>-312903</wp:posOffset>
          </wp:positionV>
          <wp:extent cx="1115695" cy="483150"/>
          <wp:effectExtent l="0" t="0" r="825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8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4E842EB2">
              <wp:simplePos x="0" y="0"/>
              <wp:positionH relativeFrom="page">
                <wp:posOffset>0</wp:posOffset>
              </wp:positionH>
              <wp:positionV relativeFrom="page">
                <wp:posOffset>10448924</wp:posOffset>
              </wp:positionV>
              <wp:extent cx="7560310" cy="53975"/>
              <wp:effectExtent l="0" t="0" r="0" b="3175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3540A57F" w:rsidR="00D00237" w:rsidRPr="00EB5AEF" w:rsidRDefault="00D0023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22.75pt;width:595.3pt;height:4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" o:allowincell="f" filled="f" stroked="f" strokeweight=".5pt">
              <v:textbox inset="20pt,0,,0">
                <w:txbxContent>
                  <w:p w14:paraId="5AB79DFC" w14:textId="3540A57F" w:rsidR="00D00237" w:rsidRPr="00EB5AEF" w:rsidRDefault="00D0023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16FF0">
      <w:rPr>
        <w:rFonts w:ascii="Tahoma" w:hAnsi="Tahoma" w:cs="Tahoma"/>
        <w:sz w:val="20"/>
        <w:szCs w:val="20"/>
      </w:rPr>
      <w:t>PD</w:t>
    </w:r>
    <w:r>
      <w:rPr>
        <w:rFonts w:ascii="Tahoma" w:hAnsi="Tahoma" w:cs="Tahoma"/>
        <w:sz w:val="20"/>
        <w:szCs w:val="20"/>
      </w:rPr>
      <w:t xml:space="preserve"> a autorský dozor</w:t>
    </w:r>
    <w:r w:rsidRPr="00C16FF0">
      <w:rPr>
        <w:rFonts w:ascii="Tahoma" w:hAnsi="Tahoma" w:cs="Tahoma"/>
        <w:sz w:val="20"/>
        <w:szCs w:val="20"/>
      </w:rPr>
      <w:t xml:space="preserve"> stavby „</w:t>
    </w:r>
    <w:r>
      <w:rPr>
        <w:rFonts w:ascii="Tahoma" w:hAnsi="Tahoma" w:cs="Tahoma"/>
        <w:sz w:val="20"/>
        <w:szCs w:val="20"/>
      </w:rPr>
      <w:t xml:space="preserve">Rekonstrukce elektroinstalace“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EB80" w14:textId="40F579BC" w:rsidR="00D00237" w:rsidRDefault="00D0023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D00237" w:rsidRPr="00EB5AEF" w:rsidRDefault="00D0023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PkhaSwdAwAAQ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EDFA3DC" w14:textId="050230AD" w:rsidR="00D00237" w:rsidRPr="00EB5AEF" w:rsidRDefault="00D0023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DCBE0" w14:textId="77777777" w:rsidR="00D00237" w:rsidRDefault="00D00237">
      <w:r>
        <w:separator/>
      </w:r>
    </w:p>
  </w:footnote>
  <w:footnote w:type="continuationSeparator" w:id="0">
    <w:p w14:paraId="2E518783" w14:textId="77777777" w:rsidR="00D00237" w:rsidRDefault="00D00237">
      <w:r>
        <w:continuationSeparator/>
      </w:r>
    </w:p>
  </w:footnote>
  <w:footnote w:type="continuationNotice" w:id="1">
    <w:p w14:paraId="0AEC1469" w14:textId="77777777" w:rsidR="00D00237" w:rsidRDefault="00D00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F8D1" w14:textId="77777777" w:rsidR="00D00237" w:rsidRPr="00D15FB8" w:rsidRDefault="00D00237" w:rsidP="009E5C69">
    <w:pPr>
      <w:pStyle w:val="Bezmezer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839A58E" wp14:editId="2690DFC6">
          <wp:simplePos x="0" y="0"/>
          <wp:positionH relativeFrom="margin">
            <wp:align>left</wp:align>
          </wp:positionH>
          <wp:positionV relativeFrom="paragraph">
            <wp:posOffset>-128270</wp:posOffset>
          </wp:positionV>
          <wp:extent cx="1737360" cy="778510"/>
          <wp:effectExtent l="0" t="0" r="0" b="254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D15FB8">
      <w:t>Obchodní akademie a Vyšší odborná škola sociální</w:t>
    </w:r>
    <w:r>
      <w:t>,</w:t>
    </w:r>
  </w:p>
  <w:p w14:paraId="259A2C9D" w14:textId="77777777" w:rsidR="00D00237" w:rsidRPr="00D15FB8" w:rsidRDefault="00D00237" w:rsidP="009E5C69">
    <w:pPr>
      <w:pStyle w:val="Bezmezer"/>
    </w:pPr>
    <w:r>
      <w:t xml:space="preserve">            </w:t>
    </w:r>
    <w:r w:rsidRPr="00D15FB8">
      <w:t>Ostrava-Mariánské Hory, příspěvková organizace</w:t>
    </w:r>
  </w:p>
  <w:p w14:paraId="26AE4FD7" w14:textId="77777777" w:rsidR="00D00237" w:rsidRPr="00D15FB8" w:rsidRDefault="00D00237" w:rsidP="009E5C69">
    <w:pPr>
      <w:pStyle w:val="Bezmezer"/>
      <w:rPr>
        <w:b/>
        <w:bCs/>
      </w:rPr>
    </w:pPr>
    <w:r>
      <w:rPr>
        <w:b/>
        <w:bCs/>
      </w:rPr>
      <w:t xml:space="preserve">             </w:t>
    </w:r>
    <w:r w:rsidRPr="00D15FB8">
      <w:rPr>
        <w:b/>
        <w:bCs/>
      </w:rPr>
      <w:t xml:space="preserve">Karasova 16, 709 </w:t>
    </w:r>
    <w:proofErr w:type="gramStart"/>
    <w:r w:rsidRPr="00D15FB8">
      <w:rPr>
        <w:b/>
        <w:bCs/>
      </w:rPr>
      <w:t xml:space="preserve">00 </w:t>
    </w:r>
    <w:r>
      <w:rPr>
        <w:b/>
        <w:bCs/>
      </w:rPr>
      <w:t xml:space="preserve"> </w:t>
    </w:r>
    <w:r w:rsidRPr="00D15FB8">
      <w:rPr>
        <w:b/>
        <w:bCs/>
      </w:rPr>
      <w:t>Ostrava</w:t>
    </w:r>
    <w:proofErr w:type="gramEnd"/>
    <w:r w:rsidRPr="00D15FB8">
      <w:rPr>
        <w:b/>
        <w:bCs/>
      </w:rPr>
      <w:t>-Mariánské</w:t>
    </w:r>
    <w:r w:rsidRPr="00D15FB8">
      <w:t xml:space="preserve"> </w:t>
    </w:r>
    <w:r w:rsidRPr="00D15FB8">
      <w:rPr>
        <w:b/>
        <w:bCs/>
      </w:rPr>
      <w:t>Hory</w:t>
    </w:r>
  </w:p>
  <w:p w14:paraId="5D347056" w14:textId="77777777" w:rsidR="00D00237" w:rsidRDefault="00D002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02EAB"/>
    <w:multiLevelType w:val="hybridMultilevel"/>
    <w:tmpl w:val="A600C5DA"/>
    <w:lvl w:ilvl="0" w:tplc="EB862E40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6A51AE1"/>
    <w:multiLevelType w:val="singleLevel"/>
    <w:tmpl w:val="3B8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2"/>
  </w:num>
  <w:num w:numId="10">
    <w:abstractNumId w:val="21"/>
  </w:num>
  <w:num w:numId="11">
    <w:abstractNumId w:val="35"/>
  </w:num>
  <w:num w:numId="12">
    <w:abstractNumId w:val="23"/>
  </w:num>
  <w:num w:numId="13">
    <w:abstractNumId w:val="10"/>
  </w:num>
  <w:num w:numId="14">
    <w:abstractNumId w:val="22"/>
  </w:num>
  <w:num w:numId="15">
    <w:abstractNumId w:val="17"/>
  </w:num>
  <w:num w:numId="16">
    <w:abstractNumId w:val="0"/>
  </w:num>
  <w:num w:numId="17">
    <w:abstractNumId w:val="14"/>
  </w:num>
  <w:num w:numId="18">
    <w:abstractNumId w:val="28"/>
  </w:num>
  <w:num w:numId="19">
    <w:abstractNumId w:val="7"/>
  </w:num>
  <w:num w:numId="20">
    <w:abstractNumId w:val="20"/>
  </w:num>
  <w:num w:numId="21">
    <w:abstractNumId w:val="15"/>
  </w:num>
  <w:num w:numId="22">
    <w:abstractNumId w:val="3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4"/>
  </w:num>
  <w:num w:numId="28">
    <w:abstractNumId w:val="19"/>
  </w:num>
  <w:num w:numId="29">
    <w:abstractNumId w:val="33"/>
  </w:num>
  <w:num w:numId="30">
    <w:abstractNumId w:val="9"/>
  </w:num>
  <w:num w:numId="31">
    <w:abstractNumId w:val="30"/>
  </w:num>
  <w:num w:numId="32">
    <w:abstractNumId w:val="5"/>
  </w:num>
  <w:num w:numId="33">
    <w:abstractNumId w:val="8"/>
  </w:num>
  <w:num w:numId="34">
    <w:abstractNumId w:val="18"/>
  </w:num>
  <w:num w:numId="35">
    <w:abstractNumId w:val="32"/>
  </w:num>
  <w:num w:numId="36">
    <w:abstractNumId w:val="16"/>
  </w:num>
  <w:num w:numId="37">
    <w:abstractNumId w:val="6"/>
  </w:num>
  <w:num w:numId="38">
    <w:abstractNumId w:val="34"/>
  </w:num>
  <w:num w:numId="39">
    <w:abstractNumId w:val="26"/>
  </w:num>
  <w:num w:numId="40">
    <w:abstractNumId w:val="25"/>
  </w:num>
  <w:num w:numId="41">
    <w:abstractNumId w:val="27"/>
  </w:num>
  <w:num w:numId="42">
    <w:abstractNumId w:val="11"/>
  </w:num>
  <w:num w:numId="4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0D4D"/>
    <w:rsid w:val="00091561"/>
    <w:rsid w:val="0009229A"/>
    <w:rsid w:val="00093539"/>
    <w:rsid w:val="000978B9"/>
    <w:rsid w:val="000A11E7"/>
    <w:rsid w:val="000A4E0E"/>
    <w:rsid w:val="000A59FF"/>
    <w:rsid w:val="000A5AF9"/>
    <w:rsid w:val="000A6B74"/>
    <w:rsid w:val="000B0B76"/>
    <w:rsid w:val="000B13DA"/>
    <w:rsid w:val="000B2ED9"/>
    <w:rsid w:val="000B4B85"/>
    <w:rsid w:val="000C0A38"/>
    <w:rsid w:val="000C13AD"/>
    <w:rsid w:val="000C3B97"/>
    <w:rsid w:val="000D2763"/>
    <w:rsid w:val="000D2A2C"/>
    <w:rsid w:val="000D39BB"/>
    <w:rsid w:val="000D40A7"/>
    <w:rsid w:val="000D6B01"/>
    <w:rsid w:val="000E1EDA"/>
    <w:rsid w:val="000E2228"/>
    <w:rsid w:val="000E242E"/>
    <w:rsid w:val="000E34AD"/>
    <w:rsid w:val="000E65A7"/>
    <w:rsid w:val="000E7F33"/>
    <w:rsid w:val="000F107C"/>
    <w:rsid w:val="000F15E8"/>
    <w:rsid w:val="000F3C73"/>
    <w:rsid w:val="000F56DE"/>
    <w:rsid w:val="001003E2"/>
    <w:rsid w:val="00100457"/>
    <w:rsid w:val="001017B8"/>
    <w:rsid w:val="00104090"/>
    <w:rsid w:val="001124BD"/>
    <w:rsid w:val="00112741"/>
    <w:rsid w:val="00115C9B"/>
    <w:rsid w:val="0011716D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539B"/>
    <w:rsid w:val="001361E7"/>
    <w:rsid w:val="001408BB"/>
    <w:rsid w:val="00140925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62C9"/>
    <w:rsid w:val="00166D17"/>
    <w:rsid w:val="00167912"/>
    <w:rsid w:val="0017068A"/>
    <w:rsid w:val="001801B9"/>
    <w:rsid w:val="001818D2"/>
    <w:rsid w:val="0018247F"/>
    <w:rsid w:val="00184C7C"/>
    <w:rsid w:val="00190E4C"/>
    <w:rsid w:val="0019192D"/>
    <w:rsid w:val="00192F18"/>
    <w:rsid w:val="00194340"/>
    <w:rsid w:val="001944C6"/>
    <w:rsid w:val="001A1B4C"/>
    <w:rsid w:val="001A5A36"/>
    <w:rsid w:val="001A5C93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3E3A"/>
    <w:rsid w:val="001F49B7"/>
    <w:rsid w:val="001F6AAF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0190"/>
    <w:rsid w:val="00225737"/>
    <w:rsid w:val="0022593C"/>
    <w:rsid w:val="00227405"/>
    <w:rsid w:val="00227587"/>
    <w:rsid w:val="00235A98"/>
    <w:rsid w:val="00237164"/>
    <w:rsid w:val="00237E47"/>
    <w:rsid w:val="0024016D"/>
    <w:rsid w:val="0024100D"/>
    <w:rsid w:val="00241E7E"/>
    <w:rsid w:val="00242433"/>
    <w:rsid w:val="002475F2"/>
    <w:rsid w:val="0025006B"/>
    <w:rsid w:val="0025200D"/>
    <w:rsid w:val="002521A5"/>
    <w:rsid w:val="002529F9"/>
    <w:rsid w:val="00256906"/>
    <w:rsid w:val="00256A86"/>
    <w:rsid w:val="00257326"/>
    <w:rsid w:val="00264F1E"/>
    <w:rsid w:val="0027622E"/>
    <w:rsid w:val="0028089B"/>
    <w:rsid w:val="00281B2B"/>
    <w:rsid w:val="00281C85"/>
    <w:rsid w:val="002832C5"/>
    <w:rsid w:val="0028335A"/>
    <w:rsid w:val="00290217"/>
    <w:rsid w:val="00291009"/>
    <w:rsid w:val="0029297E"/>
    <w:rsid w:val="00293783"/>
    <w:rsid w:val="00293EC4"/>
    <w:rsid w:val="00293F67"/>
    <w:rsid w:val="0029411A"/>
    <w:rsid w:val="00297EC5"/>
    <w:rsid w:val="00297F60"/>
    <w:rsid w:val="002A0361"/>
    <w:rsid w:val="002A197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2F5FFC"/>
    <w:rsid w:val="00300F1A"/>
    <w:rsid w:val="00306D7F"/>
    <w:rsid w:val="0030781A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592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85E41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3BC3"/>
    <w:rsid w:val="003A5EE9"/>
    <w:rsid w:val="003A65B7"/>
    <w:rsid w:val="003A6BC7"/>
    <w:rsid w:val="003B2D62"/>
    <w:rsid w:val="003C0711"/>
    <w:rsid w:val="003C255F"/>
    <w:rsid w:val="003C57ED"/>
    <w:rsid w:val="003C776E"/>
    <w:rsid w:val="003D0BD5"/>
    <w:rsid w:val="003D1E86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05EA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3A6B"/>
    <w:rsid w:val="004C4DB5"/>
    <w:rsid w:val="004C6CB7"/>
    <w:rsid w:val="004C79B9"/>
    <w:rsid w:val="004D50CC"/>
    <w:rsid w:val="004D57E5"/>
    <w:rsid w:val="004D5955"/>
    <w:rsid w:val="004D7D2F"/>
    <w:rsid w:val="004E118F"/>
    <w:rsid w:val="004E38E9"/>
    <w:rsid w:val="004E6F72"/>
    <w:rsid w:val="004E734A"/>
    <w:rsid w:val="004E775D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2C5A"/>
    <w:rsid w:val="00573418"/>
    <w:rsid w:val="005751E4"/>
    <w:rsid w:val="00575607"/>
    <w:rsid w:val="00577FAF"/>
    <w:rsid w:val="00580B03"/>
    <w:rsid w:val="005816B4"/>
    <w:rsid w:val="00583ED1"/>
    <w:rsid w:val="00586E84"/>
    <w:rsid w:val="00591207"/>
    <w:rsid w:val="005931FC"/>
    <w:rsid w:val="0059456B"/>
    <w:rsid w:val="00594DBB"/>
    <w:rsid w:val="005974E1"/>
    <w:rsid w:val="005A2C6E"/>
    <w:rsid w:val="005A3DF7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E5D1F"/>
    <w:rsid w:val="005E63C3"/>
    <w:rsid w:val="005E76E8"/>
    <w:rsid w:val="005F142F"/>
    <w:rsid w:val="005F709F"/>
    <w:rsid w:val="00601259"/>
    <w:rsid w:val="00601946"/>
    <w:rsid w:val="00602E77"/>
    <w:rsid w:val="00603623"/>
    <w:rsid w:val="00604A13"/>
    <w:rsid w:val="00605D19"/>
    <w:rsid w:val="006068DD"/>
    <w:rsid w:val="00606942"/>
    <w:rsid w:val="006076BC"/>
    <w:rsid w:val="00610019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46684"/>
    <w:rsid w:val="006510C7"/>
    <w:rsid w:val="00651D4F"/>
    <w:rsid w:val="0065238D"/>
    <w:rsid w:val="00656C88"/>
    <w:rsid w:val="006628E4"/>
    <w:rsid w:val="00663A87"/>
    <w:rsid w:val="00667311"/>
    <w:rsid w:val="00672F34"/>
    <w:rsid w:val="00673B9A"/>
    <w:rsid w:val="00674097"/>
    <w:rsid w:val="00681A8B"/>
    <w:rsid w:val="00681C96"/>
    <w:rsid w:val="0068282F"/>
    <w:rsid w:val="0068451F"/>
    <w:rsid w:val="00684F20"/>
    <w:rsid w:val="006878E3"/>
    <w:rsid w:val="0069245E"/>
    <w:rsid w:val="006952CF"/>
    <w:rsid w:val="00695FE6"/>
    <w:rsid w:val="006A0240"/>
    <w:rsid w:val="006A5A36"/>
    <w:rsid w:val="006A71E7"/>
    <w:rsid w:val="006B09FF"/>
    <w:rsid w:val="006B17B7"/>
    <w:rsid w:val="006B1FAE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0154A"/>
    <w:rsid w:val="007017CA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B13"/>
    <w:rsid w:val="00733FC3"/>
    <w:rsid w:val="00734073"/>
    <w:rsid w:val="00735629"/>
    <w:rsid w:val="00735DB1"/>
    <w:rsid w:val="0073724A"/>
    <w:rsid w:val="0073781E"/>
    <w:rsid w:val="007427FE"/>
    <w:rsid w:val="0074378B"/>
    <w:rsid w:val="007458AB"/>
    <w:rsid w:val="00745C69"/>
    <w:rsid w:val="00754373"/>
    <w:rsid w:val="00757031"/>
    <w:rsid w:val="007577F8"/>
    <w:rsid w:val="007614B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49B9"/>
    <w:rsid w:val="00795F58"/>
    <w:rsid w:val="00797774"/>
    <w:rsid w:val="007A003A"/>
    <w:rsid w:val="007A4787"/>
    <w:rsid w:val="007A6685"/>
    <w:rsid w:val="007B202F"/>
    <w:rsid w:val="007B4FEE"/>
    <w:rsid w:val="007B6401"/>
    <w:rsid w:val="007B65F6"/>
    <w:rsid w:val="007B7556"/>
    <w:rsid w:val="007B776F"/>
    <w:rsid w:val="007C110B"/>
    <w:rsid w:val="007C158D"/>
    <w:rsid w:val="007C37C2"/>
    <w:rsid w:val="007D086E"/>
    <w:rsid w:val="007D2EC2"/>
    <w:rsid w:val="007D3452"/>
    <w:rsid w:val="007E7437"/>
    <w:rsid w:val="007F3B78"/>
    <w:rsid w:val="007F3EEF"/>
    <w:rsid w:val="0080002D"/>
    <w:rsid w:val="008007B4"/>
    <w:rsid w:val="008025AA"/>
    <w:rsid w:val="00806319"/>
    <w:rsid w:val="0081052A"/>
    <w:rsid w:val="00815226"/>
    <w:rsid w:val="00816685"/>
    <w:rsid w:val="00821BF9"/>
    <w:rsid w:val="0082378B"/>
    <w:rsid w:val="00826B2A"/>
    <w:rsid w:val="00827A13"/>
    <w:rsid w:val="00831D7D"/>
    <w:rsid w:val="00835733"/>
    <w:rsid w:val="00837C7E"/>
    <w:rsid w:val="0084171C"/>
    <w:rsid w:val="00843C42"/>
    <w:rsid w:val="00844F1B"/>
    <w:rsid w:val="00850A6A"/>
    <w:rsid w:val="008521F5"/>
    <w:rsid w:val="0085316B"/>
    <w:rsid w:val="00857D8A"/>
    <w:rsid w:val="00857E0D"/>
    <w:rsid w:val="00862F3B"/>
    <w:rsid w:val="00864AF7"/>
    <w:rsid w:val="00865D5F"/>
    <w:rsid w:val="00866101"/>
    <w:rsid w:val="0086735B"/>
    <w:rsid w:val="00872392"/>
    <w:rsid w:val="00873B03"/>
    <w:rsid w:val="00876ACA"/>
    <w:rsid w:val="00882FF6"/>
    <w:rsid w:val="008839F5"/>
    <w:rsid w:val="008846C9"/>
    <w:rsid w:val="00885144"/>
    <w:rsid w:val="008852EB"/>
    <w:rsid w:val="00893E02"/>
    <w:rsid w:val="008A3798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43C8"/>
    <w:rsid w:val="008B642D"/>
    <w:rsid w:val="008B7F40"/>
    <w:rsid w:val="008C25B2"/>
    <w:rsid w:val="008C59F4"/>
    <w:rsid w:val="008C63CD"/>
    <w:rsid w:val="008C7C42"/>
    <w:rsid w:val="008D11F3"/>
    <w:rsid w:val="008D7374"/>
    <w:rsid w:val="008E1DE5"/>
    <w:rsid w:val="008E4625"/>
    <w:rsid w:val="008E4C7E"/>
    <w:rsid w:val="008E6FF8"/>
    <w:rsid w:val="008F1053"/>
    <w:rsid w:val="008F1160"/>
    <w:rsid w:val="008F1D20"/>
    <w:rsid w:val="008F23A4"/>
    <w:rsid w:val="008F5108"/>
    <w:rsid w:val="00907B34"/>
    <w:rsid w:val="00907E0A"/>
    <w:rsid w:val="00917416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49D6"/>
    <w:rsid w:val="009C6A1A"/>
    <w:rsid w:val="009D0440"/>
    <w:rsid w:val="009D3B64"/>
    <w:rsid w:val="009D4574"/>
    <w:rsid w:val="009D5BA0"/>
    <w:rsid w:val="009E19B0"/>
    <w:rsid w:val="009E1AC5"/>
    <w:rsid w:val="009E1DF5"/>
    <w:rsid w:val="009E2A02"/>
    <w:rsid w:val="009E5C69"/>
    <w:rsid w:val="009E6235"/>
    <w:rsid w:val="009E7D5E"/>
    <w:rsid w:val="00A06CA7"/>
    <w:rsid w:val="00A07147"/>
    <w:rsid w:val="00A13D5E"/>
    <w:rsid w:val="00A14D04"/>
    <w:rsid w:val="00A16E40"/>
    <w:rsid w:val="00A25F92"/>
    <w:rsid w:val="00A26A58"/>
    <w:rsid w:val="00A27AB1"/>
    <w:rsid w:val="00A30355"/>
    <w:rsid w:val="00A30D69"/>
    <w:rsid w:val="00A31355"/>
    <w:rsid w:val="00A339BC"/>
    <w:rsid w:val="00A34C2B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828B7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2744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13"/>
    <w:rsid w:val="00AF53A2"/>
    <w:rsid w:val="00AF568F"/>
    <w:rsid w:val="00AF5D07"/>
    <w:rsid w:val="00AF6CC0"/>
    <w:rsid w:val="00B012B4"/>
    <w:rsid w:val="00B050A1"/>
    <w:rsid w:val="00B05500"/>
    <w:rsid w:val="00B06F6A"/>
    <w:rsid w:val="00B11EEE"/>
    <w:rsid w:val="00B124F9"/>
    <w:rsid w:val="00B136DA"/>
    <w:rsid w:val="00B144BB"/>
    <w:rsid w:val="00B23006"/>
    <w:rsid w:val="00B25458"/>
    <w:rsid w:val="00B27316"/>
    <w:rsid w:val="00B27330"/>
    <w:rsid w:val="00B30F85"/>
    <w:rsid w:val="00B31BFF"/>
    <w:rsid w:val="00B3272A"/>
    <w:rsid w:val="00B33167"/>
    <w:rsid w:val="00B3409F"/>
    <w:rsid w:val="00B367AA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15"/>
    <w:rsid w:val="00B84ADB"/>
    <w:rsid w:val="00B93471"/>
    <w:rsid w:val="00BA2DE2"/>
    <w:rsid w:val="00BB20D0"/>
    <w:rsid w:val="00BB4E24"/>
    <w:rsid w:val="00BC195D"/>
    <w:rsid w:val="00BC3BF1"/>
    <w:rsid w:val="00BC4DAC"/>
    <w:rsid w:val="00BC56E2"/>
    <w:rsid w:val="00BC7EB7"/>
    <w:rsid w:val="00BD142E"/>
    <w:rsid w:val="00BD2164"/>
    <w:rsid w:val="00BD23DF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06D8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2AC4"/>
    <w:rsid w:val="00C457A6"/>
    <w:rsid w:val="00C46B2C"/>
    <w:rsid w:val="00C53F2B"/>
    <w:rsid w:val="00C6305D"/>
    <w:rsid w:val="00C64723"/>
    <w:rsid w:val="00C66241"/>
    <w:rsid w:val="00C74A0F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6DE"/>
    <w:rsid w:val="00CC1E1A"/>
    <w:rsid w:val="00CC6C7F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0237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782D"/>
    <w:rsid w:val="00D70043"/>
    <w:rsid w:val="00D7238C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3930"/>
    <w:rsid w:val="00DA7179"/>
    <w:rsid w:val="00DB233E"/>
    <w:rsid w:val="00DB2467"/>
    <w:rsid w:val="00DB39EE"/>
    <w:rsid w:val="00DB3E1A"/>
    <w:rsid w:val="00DB5CAC"/>
    <w:rsid w:val="00DB68B6"/>
    <w:rsid w:val="00DB7F97"/>
    <w:rsid w:val="00DC0365"/>
    <w:rsid w:val="00DC2E08"/>
    <w:rsid w:val="00DC6A31"/>
    <w:rsid w:val="00DC712D"/>
    <w:rsid w:val="00DD0D9E"/>
    <w:rsid w:val="00DD0F04"/>
    <w:rsid w:val="00DD0FE6"/>
    <w:rsid w:val="00DD1818"/>
    <w:rsid w:val="00DD4352"/>
    <w:rsid w:val="00DE29AC"/>
    <w:rsid w:val="00DE3FBF"/>
    <w:rsid w:val="00DE47E3"/>
    <w:rsid w:val="00DE4C2C"/>
    <w:rsid w:val="00DE779F"/>
    <w:rsid w:val="00DF0CD2"/>
    <w:rsid w:val="00DF118D"/>
    <w:rsid w:val="00DF1EEF"/>
    <w:rsid w:val="00DF24EA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351D8"/>
    <w:rsid w:val="00E415C2"/>
    <w:rsid w:val="00E50D99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C737F"/>
    <w:rsid w:val="00ED4227"/>
    <w:rsid w:val="00ED604E"/>
    <w:rsid w:val="00ED7BF8"/>
    <w:rsid w:val="00EE006C"/>
    <w:rsid w:val="00EE0ED3"/>
    <w:rsid w:val="00EE22B3"/>
    <w:rsid w:val="00EE2953"/>
    <w:rsid w:val="00EE2984"/>
    <w:rsid w:val="00EE4904"/>
    <w:rsid w:val="00EE518C"/>
    <w:rsid w:val="00EE5557"/>
    <w:rsid w:val="00EE79A3"/>
    <w:rsid w:val="00EF2906"/>
    <w:rsid w:val="00EF5256"/>
    <w:rsid w:val="00EF5CDC"/>
    <w:rsid w:val="00EF6383"/>
    <w:rsid w:val="00EF642D"/>
    <w:rsid w:val="00F00627"/>
    <w:rsid w:val="00F0062D"/>
    <w:rsid w:val="00F02954"/>
    <w:rsid w:val="00F0388C"/>
    <w:rsid w:val="00F0613E"/>
    <w:rsid w:val="00F07EC2"/>
    <w:rsid w:val="00F10144"/>
    <w:rsid w:val="00F10467"/>
    <w:rsid w:val="00F131FC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331A"/>
    <w:rsid w:val="00F66999"/>
    <w:rsid w:val="00F701ED"/>
    <w:rsid w:val="00F7067D"/>
    <w:rsid w:val="00F742DA"/>
    <w:rsid w:val="00F74B8D"/>
    <w:rsid w:val="00F76497"/>
    <w:rsid w:val="00F767F6"/>
    <w:rsid w:val="00F8163D"/>
    <w:rsid w:val="00FA3759"/>
    <w:rsid w:val="00FA7300"/>
    <w:rsid w:val="00FA7D62"/>
    <w:rsid w:val="00FB1AD2"/>
    <w:rsid w:val="00FB23D1"/>
    <w:rsid w:val="00FB4782"/>
    <w:rsid w:val="00FB4D98"/>
    <w:rsid w:val="00FB6108"/>
    <w:rsid w:val="00FC29D6"/>
    <w:rsid w:val="00FC3DF8"/>
    <w:rsid w:val="00FC4355"/>
    <w:rsid w:val="00FC5D83"/>
    <w:rsid w:val="00FC628B"/>
    <w:rsid w:val="00FD45B6"/>
    <w:rsid w:val="00FD4698"/>
    <w:rsid w:val="00FE25A3"/>
    <w:rsid w:val="00FE4A8F"/>
    <w:rsid w:val="00FE67A1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paragraph" w:customStyle="1" w:styleId="CharCharChar8">
    <w:name w:val="Char Char Char"/>
    <w:basedOn w:val="Normln"/>
    <w:rsid w:val="001A1B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A37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5955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5C69"/>
    <w:rPr>
      <w:rFonts w:ascii="Tahoma" w:eastAsiaTheme="minorEastAsi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bc638-c2a3-4337-b843-873ff21f8d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5" ma:contentTypeDescription="Vytvoří nový dokument" ma:contentTypeScope="" ma:versionID="cbac581d581c830ea8185536580598cd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951b625225a1d07881add0b0663054fb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dabc638-c2a3-4337-b843-873ff21f8d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7B77A9-8B90-4A7B-9D2B-2602302E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A5409-3C53-4BEF-8CF5-8C2123D0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5725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Ludmila Kostalova</cp:lastModifiedBy>
  <cp:revision>6</cp:revision>
  <cp:lastPrinted>2011-06-13T22:43:00Z</cp:lastPrinted>
  <dcterms:created xsi:type="dcterms:W3CDTF">2024-03-26T16:34:00Z</dcterms:created>
  <dcterms:modified xsi:type="dcterms:W3CDTF">2024-04-09T10:57:00Z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