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7221200154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CTP</w:t>
      </w:r>
      <w:r>
        <w:rPr>
          <w:spacing w:val="-6"/>
        </w:rPr>
        <w:t> </w:t>
      </w:r>
      <w:r>
        <w:rPr/>
        <w:t>Energy</w:t>
      </w:r>
      <w:r>
        <w:rPr>
          <w:spacing w:val="-4"/>
        </w:rPr>
        <w:t> </w:t>
      </w:r>
      <w:r>
        <w:rPr/>
        <w:t>CZ,</w:t>
      </w:r>
      <w:r>
        <w:rPr>
          <w:spacing w:val="-6"/>
        </w:rPr>
        <w:t> </w:t>
      </w:r>
      <w:r>
        <w:rPr/>
        <w:t>spol.</w:t>
      </w:r>
      <w:r>
        <w:rPr>
          <w:spacing w:val="-7"/>
        </w:rPr>
        <w:t> </w:t>
      </w:r>
      <w:r>
        <w:rPr/>
        <w:t>s</w:t>
      </w:r>
      <w:r>
        <w:rPr>
          <w:spacing w:val="-3"/>
        </w:rPr>
        <w:t> </w:t>
      </w:r>
      <w:r>
        <w:rPr>
          <w:spacing w:val="-4"/>
        </w:rPr>
        <w:t>r.o.</w:t>
      </w:r>
    </w:p>
    <w:p>
      <w:pPr>
        <w:pStyle w:val="BodyText"/>
        <w:ind w:left="102"/>
      </w:pPr>
      <w:r>
        <w:rPr/>
        <w:t>obchodní společnost zapsaná v obchodním rejstříku vedeném Krajským soudem v Českých Budějovicích, oddíl C, vložka 27314</w:t>
      </w:r>
    </w:p>
    <w:p>
      <w:pPr>
        <w:pStyle w:val="BodyText"/>
        <w:tabs>
          <w:tab w:pos="2982" w:val="left" w:leader="none"/>
        </w:tabs>
        <w:spacing w:line="265" w:lineRule="exact"/>
        <w:ind w:left="102"/>
      </w:pPr>
      <w:r>
        <w:rPr/>
        <w:t>se</w:t>
      </w:r>
      <w:r>
        <w:rPr>
          <w:spacing w:val="-5"/>
        </w:rPr>
        <w:t> </w:t>
      </w:r>
      <w:r>
        <w:rPr>
          <w:spacing w:val="-2"/>
        </w:rPr>
        <w:t>sídlem:</w:t>
      </w:r>
      <w:r>
        <w:rPr/>
        <w:tab/>
        <w:t>CTPark</w:t>
      </w:r>
      <w:r>
        <w:rPr>
          <w:spacing w:val="-7"/>
        </w:rPr>
        <w:t> </w:t>
      </w:r>
      <w:r>
        <w:rPr/>
        <w:t>Humpolec</w:t>
      </w:r>
      <w:r>
        <w:rPr>
          <w:spacing w:val="-6"/>
        </w:rPr>
        <w:t> </w:t>
      </w:r>
      <w:r>
        <w:rPr/>
        <w:t>1571,</w:t>
      </w:r>
      <w:r>
        <w:rPr>
          <w:spacing w:val="-7"/>
        </w:rPr>
        <w:t> </w:t>
      </w:r>
      <w:r>
        <w:rPr/>
        <w:t>396</w:t>
      </w:r>
      <w:r>
        <w:rPr>
          <w:spacing w:val="-1"/>
        </w:rPr>
        <w:t> </w:t>
      </w:r>
      <w:r>
        <w:rPr/>
        <w:t>01</w:t>
      </w:r>
      <w:r>
        <w:rPr>
          <w:spacing w:val="-6"/>
        </w:rPr>
        <w:t> </w:t>
      </w:r>
      <w:r>
        <w:rPr>
          <w:spacing w:val="-2"/>
        </w:rPr>
        <w:t>Humpolec</w:t>
      </w:r>
    </w:p>
    <w:p>
      <w:pPr>
        <w:pStyle w:val="BodyText"/>
        <w:tabs>
          <w:tab w:pos="2982" w:val="left" w:leader="none"/>
        </w:tabs>
        <w:spacing w:before="1"/>
        <w:ind w:left="102"/>
      </w:pPr>
      <w:r>
        <w:rPr>
          <w:spacing w:val="-4"/>
        </w:rPr>
        <w:t>IČO:</w:t>
      </w:r>
      <w:r>
        <w:rPr>
          <w:rFonts w:ascii="Times New Roman" w:hAnsi="Times New Roman"/>
        </w:rPr>
        <w:tab/>
      </w:r>
      <w:r>
        <w:rPr>
          <w:spacing w:val="-2"/>
        </w:rPr>
        <w:t>06873324</w:t>
      </w:r>
    </w:p>
    <w:p>
      <w:pPr>
        <w:pStyle w:val="BodyText"/>
        <w:tabs>
          <w:tab w:pos="2982" w:val="left" w:leader="none"/>
        </w:tabs>
        <w:ind w:left="102"/>
      </w:pPr>
      <w:r>
        <w:rPr>
          <w:spacing w:val="-2"/>
        </w:rPr>
        <w:t>zastoupená:</w:t>
      </w:r>
      <w:r>
        <w:rPr/>
        <w:tab/>
        <w:t>Pavlem</w:t>
      </w:r>
      <w:r>
        <w:rPr>
          <w:spacing w:val="-4"/>
        </w:rPr>
        <w:t> </w:t>
      </w:r>
      <w:r>
        <w:rPr/>
        <w:t>Š</w:t>
      </w:r>
      <w:r>
        <w:rPr>
          <w:spacing w:val="-2"/>
        </w:rPr>
        <w:t> </w:t>
      </w:r>
      <w:r>
        <w:rPr/>
        <w:t>i</w:t>
      </w:r>
      <w:r>
        <w:rPr>
          <w:spacing w:val="-2"/>
        </w:rPr>
        <w:t> </w:t>
      </w:r>
      <w:r>
        <w:rPr/>
        <w:t>l</w:t>
      </w:r>
      <w:r>
        <w:rPr>
          <w:spacing w:val="-2"/>
        </w:rPr>
        <w:t> </w:t>
      </w:r>
      <w:r>
        <w:rPr/>
        <w:t>l</w:t>
      </w:r>
      <w:r>
        <w:rPr>
          <w:spacing w:val="-2"/>
        </w:rPr>
        <w:t> </w:t>
      </w:r>
      <w:r>
        <w:rPr/>
        <w:t>i</w:t>
      </w:r>
      <w:r>
        <w:rPr>
          <w:spacing w:val="-2"/>
        </w:rPr>
        <w:t> </w:t>
      </w:r>
      <w:r>
        <w:rPr/>
        <w:t>n</w:t>
      </w:r>
      <w:r>
        <w:rPr>
          <w:spacing w:val="-2"/>
        </w:rPr>
        <w:t> </w:t>
      </w:r>
      <w:r>
        <w:rPr/>
        <w:t>g</w:t>
      </w:r>
      <w:r>
        <w:rPr>
          <w:spacing w:val="-2"/>
        </w:rPr>
        <w:t> </w:t>
      </w:r>
      <w:r>
        <w:rPr/>
        <w:t>e</w:t>
      </w:r>
      <w:r>
        <w:rPr>
          <w:spacing w:val="-1"/>
        </w:rPr>
        <w:t> </w:t>
      </w:r>
      <w:r>
        <w:rPr/>
        <w:t>m,</w:t>
      </w:r>
      <w:r>
        <w:rPr>
          <w:spacing w:val="-3"/>
        </w:rPr>
        <w:t> </w:t>
      </w:r>
      <w:r>
        <w:rPr/>
        <w:t>na</w:t>
      </w:r>
      <w:r>
        <w:rPr>
          <w:spacing w:val="-3"/>
        </w:rPr>
        <w:t> </w:t>
      </w:r>
      <w:r>
        <w:rPr/>
        <w:t>základě</w:t>
      </w:r>
      <w:r>
        <w:rPr>
          <w:spacing w:val="-3"/>
        </w:rPr>
        <w:t> </w:t>
      </w:r>
      <w:r>
        <w:rPr/>
        <w:t>plné</w:t>
      </w:r>
      <w:r>
        <w:rPr>
          <w:spacing w:val="-3"/>
        </w:rPr>
        <w:t> </w:t>
      </w:r>
      <w:r>
        <w:rPr/>
        <w:t>moci</w:t>
      </w:r>
      <w:r>
        <w:rPr>
          <w:spacing w:val="-1"/>
        </w:rPr>
        <w:t> </w:t>
      </w:r>
      <w:r>
        <w:rPr/>
        <w:t>ze</w:t>
      </w:r>
      <w:r>
        <w:rPr>
          <w:spacing w:val="-3"/>
        </w:rPr>
        <w:t> </w:t>
      </w:r>
      <w:r>
        <w:rPr/>
        <w:t>dne</w:t>
      </w:r>
      <w:r>
        <w:rPr>
          <w:spacing w:val="-3"/>
        </w:rPr>
        <w:t> </w:t>
      </w:r>
      <w:r>
        <w:rPr/>
        <w:t>17.</w:t>
      </w:r>
      <w:r>
        <w:rPr>
          <w:spacing w:val="-3"/>
        </w:rPr>
        <w:t> </w:t>
      </w:r>
      <w:r>
        <w:rPr/>
        <w:t>7.</w:t>
      </w:r>
      <w:r>
        <w:rPr>
          <w:spacing w:val="-3"/>
        </w:rPr>
        <w:t> </w:t>
      </w:r>
      <w:r>
        <w:rPr>
          <w:spacing w:val="-4"/>
        </w:rPr>
        <w:t>2023</w:t>
      </w:r>
    </w:p>
    <w:p>
      <w:pPr>
        <w:pStyle w:val="BodyText"/>
        <w:tabs>
          <w:tab w:pos="2982" w:val="left" w:leader="none"/>
        </w:tabs>
        <w:ind w:left="102"/>
      </w:pPr>
      <w:r>
        <w:rPr/>
        <w:t>bankovní</w:t>
      </w:r>
      <w:r>
        <w:rPr>
          <w:spacing w:val="-11"/>
        </w:rPr>
        <w:t> </w:t>
      </w:r>
      <w:r>
        <w:rPr>
          <w:spacing w:val="-2"/>
        </w:rPr>
        <w:t>spojení:</w:t>
      </w:r>
      <w:r>
        <w:rPr/>
        <w:tab/>
      </w:r>
      <w:r>
        <w:rPr>
          <w:spacing w:val="-2"/>
        </w:rPr>
        <w:t>Raiffeisenbank</w:t>
      </w:r>
      <w:r>
        <w:rPr>
          <w:spacing w:val="14"/>
        </w:rPr>
        <w:t> </w:t>
      </w:r>
      <w:r>
        <w:rPr>
          <w:spacing w:val="-4"/>
        </w:rPr>
        <w:t>a.s.</w:t>
      </w:r>
    </w:p>
    <w:p>
      <w:pPr>
        <w:pStyle w:val="BodyText"/>
        <w:tabs>
          <w:tab w:pos="2982" w:val="left" w:leader="none"/>
        </w:tabs>
        <w:spacing w:before="1"/>
        <w:ind w:left="102" w:right="5046"/>
      </w:pPr>
      <w:r>
        <w:rPr/>
        <w:t>číslo účtu:</w:t>
        <w:tab/>
      </w:r>
      <w:r>
        <w:rPr>
          <w:spacing w:val="-2"/>
        </w:rPr>
        <w:t>5080137367/5500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7221200154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 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w:t>
      </w:r>
      <w:r>
        <w:rPr>
          <w:spacing w:val="-1"/>
          <w:sz w:val="20"/>
        </w:rPr>
        <w:t> </w:t>
      </w:r>
      <w:r>
        <w:rPr>
          <w:sz w:val="20"/>
        </w:rPr>
        <w:t>Výzvou RES+ č.</w:t>
      </w:r>
      <w:r>
        <w:rPr>
          <w:spacing w:val="-1"/>
          <w:sz w:val="20"/>
        </w:rPr>
        <w:t> </w:t>
      </w:r>
      <w:r>
        <w:rPr>
          <w:sz w:val="20"/>
        </w:rPr>
        <w:t>2/2022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pStyle w:val="Heading1"/>
        <w:spacing w:before="1"/>
        <w:ind w:left="102" w:right="0"/>
        <w:jc w:val="left"/>
      </w:pPr>
      <w:r>
        <w:rPr/>
        <w:t>„CTP</w:t>
      </w:r>
      <w:r>
        <w:rPr>
          <w:spacing w:val="-7"/>
        </w:rPr>
        <w:t> </w:t>
      </w:r>
      <w:r>
        <w:rPr>
          <w:spacing w:val="-5"/>
        </w:rPr>
        <w:t>E1“</w:t>
      </w:r>
    </w:p>
    <w:p>
      <w:pPr>
        <w:spacing w:after="0"/>
        <w:jc w:val="left"/>
        <w:sectPr>
          <w:type w:val="continuous"/>
          <w:pgSz w:w="12240" w:h="15840"/>
          <w:pgMar w:header="708" w:footer="771" w:top="2040" w:bottom="960" w:left="1600" w:right="1020"/>
          <w:cols w:num="2" w:equalWidth="0">
            <w:col w:w="3611" w:space="673"/>
            <w:col w:w="5336"/>
          </w:cols>
        </w:sectPr>
      </w:pPr>
    </w:p>
    <w:p>
      <w:pPr>
        <w:pStyle w:val="ListParagraph"/>
        <w:numPr>
          <w:ilvl w:val="0"/>
          <w:numId w:val="1"/>
        </w:numPr>
        <w:tabs>
          <w:tab w:pos="386" w:val="left" w:leader="none"/>
        </w:tabs>
        <w:spacing w:line="240" w:lineRule="auto" w:before="121" w:after="0"/>
        <w:ind w:left="385" w:right="118"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w:t>
      </w:r>
      <w:r>
        <w:rPr>
          <w:b/>
          <w:spacing w:val="-2"/>
          <w:sz w:val="20"/>
        </w:rPr>
        <w:t> </w:t>
      </w:r>
      <w:r>
        <w:rPr>
          <w:b/>
          <w:sz w:val="20"/>
        </w:rPr>
        <w:t>406</w:t>
      </w:r>
      <w:r>
        <w:rPr>
          <w:b/>
          <w:spacing w:val="-1"/>
          <w:sz w:val="20"/>
        </w:rPr>
        <w:t> </w:t>
      </w:r>
      <w:r>
        <w:rPr>
          <w:b/>
          <w:sz w:val="20"/>
        </w:rPr>
        <w:t>144,92 Kč </w:t>
      </w:r>
      <w:r>
        <w:rPr>
          <w:sz w:val="20"/>
        </w:rPr>
        <w:t>(slovy: osm milionů čtyři sta šest tisíc sto čtyřicet čtyři korun českých a devadesát dva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70 241 445,63 Kč.</w:t>
      </w:r>
    </w:p>
    <w:p>
      <w:pPr>
        <w:pStyle w:val="ListParagraph"/>
        <w:numPr>
          <w:ilvl w:val="0"/>
          <w:numId w:val="2"/>
        </w:numPr>
        <w:tabs>
          <w:tab w:pos="386" w:val="left" w:leader="none"/>
        </w:tabs>
        <w:spacing w:line="240" w:lineRule="auto" w:before="121" w:after="0"/>
        <w:ind w:left="385" w:right="0" w:hanging="280"/>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2"/>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113" w:hanging="358"/>
        <w:jc w:val="left"/>
        <w:rPr>
          <w:sz w:val="20"/>
        </w:rPr>
      </w:pPr>
      <w:r>
        <w:rPr>
          <w:sz w:val="20"/>
        </w:rPr>
        <w:t>splní</w:t>
      </w:r>
      <w:r>
        <w:rPr>
          <w:spacing w:val="-7"/>
          <w:sz w:val="20"/>
        </w:rPr>
        <w:t> </w:t>
      </w:r>
      <w:r>
        <w:rPr>
          <w:sz w:val="20"/>
        </w:rPr>
        <w:t>účel</w:t>
      </w:r>
      <w:r>
        <w:rPr>
          <w:spacing w:val="-7"/>
          <w:sz w:val="20"/>
        </w:rPr>
        <w:t> </w:t>
      </w:r>
      <w:r>
        <w:rPr>
          <w:sz w:val="20"/>
        </w:rPr>
        <w:t>akce</w:t>
      </w:r>
      <w:r>
        <w:rPr>
          <w:spacing w:val="-5"/>
          <w:sz w:val="20"/>
        </w:rPr>
        <w:t> </w:t>
      </w:r>
      <w:r>
        <w:rPr>
          <w:sz w:val="20"/>
        </w:rPr>
        <w:t>„CTP</w:t>
      </w:r>
      <w:r>
        <w:rPr>
          <w:spacing w:val="-8"/>
          <w:sz w:val="20"/>
        </w:rPr>
        <w:t> </w:t>
      </w:r>
      <w:r>
        <w:rPr>
          <w:sz w:val="20"/>
        </w:rPr>
        <w:t>E1“</w:t>
      </w:r>
      <w:r>
        <w:rPr>
          <w:spacing w:val="-5"/>
          <w:sz w:val="20"/>
        </w:rPr>
        <w:t> </w:t>
      </w:r>
      <w:r>
        <w:rPr>
          <w:sz w:val="20"/>
        </w:rPr>
        <w:t>tím,</w:t>
      </w:r>
      <w:r>
        <w:rPr>
          <w:spacing w:val="-7"/>
          <w:sz w:val="20"/>
        </w:rPr>
        <w:t> </w:t>
      </w:r>
      <w:r>
        <w:rPr>
          <w:sz w:val="20"/>
        </w:rPr>
        <w:t>že</w:t>
      </w:r>
      <w:r>
        <w:rPr>
          <w:spacing w:val="-8"/>
          <w:sz w:val="20"/>
        </w:rPr>
        <w:t> </w:t>
      </w:r>
      <w:r>
        <w:rPr>
          <w:sz w:val="20"/>
        </w:rPr>
        <w:t>akce</w:t>
      </w:r>
      <w:r>
        <w:rPr>
          <w:spacing w:val="-8"/>
          <w:sz w:val="20"/>
        </w:rPr>
        <w:t> </w:t>
      </w:r>
      <w:r>
        <w:rPr>
          <w:sz w:val="20"/>
        </w:rPr>
        <w:t>bude</w:t>
      </w:r>
      <w:r>
        <w:rPr>
          <w:spacing w:val="-8"/>
          <w:sz w:val="20"/>
        </w:rPr>
        <w:t> </w:t>
      </w:r>
      <w:r>
        <w:rPr>
          <w:sz w:val="20"/>
        </w:rPr>
        <w:t>provedena</w:t>
      </w:r>
      <w:r>
        <w:rPr>
          <w:spacing w:val="-7"/>
          <w:sz w:val="20"/>
        </w:rPr>
        <w:t> </w:t>
      </w:r>
      <w:r>
        <w:rPr>
          <w:sz w:val="20"/>
        </w:rPr>
        <w:t>v souladu</w:t>
      </w:r>
      <w:r>
        <w:rPr>
          <w:spacing w:val="-5"/>
          <w:sz w:val="20"/>
        </w:rPr>
        <w:t> </w:t>
      </w:r>
      <w:r>
        <w:rPr>
          <w:sz w:val="20"/>
        </w:rPr>
        <w:t>s</w:t>
      </w:r>
      <w:r>
        <w:rPr>
          <w:spacing w:val="-2"/>
          <w:sz w:val="20"/>
        </w:rPr>
        <w:t> </w:t>
      </w:r>
      <w:r>
        <w:rPr>
          <w:sz w:val="20"/>
        </w:rPr>
        <w:t>Výzvou,</w:t>
      </w:r>
      <w:r>
        <w:rPr>
          <w:spacing w:val="-7"/>
          <w:sz w:val="20"/>
        </w:rPr>
        <w:t> </w:t>
      </w:r>
      <w:r>
        <w:rPr>
          <w:sz w:val="20"/>
        </w:rPr>
        <w:t>žádostí</w:t>
      </w:r>
      <w:r>
        <w:rPr>
          <w:spacing w:val="-7"/>
          <w:sz w:val="20"/>
        </w:rPr>
        <w:t> </w:t>
      </w:r>
      <w:r>
        <w:rPr>
          <w:sz w:val="20"/>
        </w:rPr>
        <w:t>o</w:t>
      </w:r>
      <w:r>
        <w:rPr>
          <w:spacing w:val="-4"/>
          <w:sz w:val="20"/>
        </w:rPr>
        <w:t> </w:t>
      </w:r>
      <w:r>
        <w:rPr>
          <w:sz w:val="20"/>
        </w:rPr>
        <w:t>podporu</w:t>
      </w:r>
      <w:r>
        <w:rPr>
          <w:spacing w:val="-6"/>
          <w:sz w:val="20"/>
        </w:rPr>
        <w:t> </w:t>
      </w:r>
      <w:r>
        <w:rPr>
          <w:sz w:val="20"/>
        </w:rPr>
        <w:t>a</w:t>
      </w:r>
      <w:r>
        <w:rPr>
          <w:spacing w:val="-7"/>
          <w:sz w:val="20"/>
        </w:rPr>
        <w:t> </w:t>
      </w:r>
      <w:r>
        <w:rPr>
          <w:sz w:val="20"/>
        </w:rPr>
        <w:t>jejími přílohami a touto Smlouvou,</w:t>
      </w:r>
    </w:p>
    <w:p>
      <w:pPr>
        <w:pStyle w:val="ListParagraph"/>
        <w:numPr>
          <w:ilvl w:val="1"/>
          <w:numId w:val="4"/>
        </w:numPr>
        <w:tabs>
          <w:tab w:pos="746" w:val="left" w:leader="none"/>
          <w:tab w:pos="1651" w:val="left" w:leader="none"/>
          <w:tab w:pos="2591" w:val="left" w:leader="none"/>
          <w:tab w:pos="3301" w:val="left" w:leader="none"/>
          <w:tab w:pos="3603" w:val="left" w:leader="none"/>
          <w:tab w:pos="4571" w:val="left" w:leader="none"/>
          <w:tab w:pos="5206" w:val="left" w:leader="none"/>
          <w:tab w:pos="6549" w:val="left" w:leader="none"/>
          <w:tab w:pos="7628" w:val="left" w:leader="none"/>
          <w:tab w:pos="8021" w:val="left" w:leader="none"/>
          <w:tab w:pos="8794" w:val="left" w:leader="none"/>
        </w:tabs>
        <w:spacing w:line="240" w:lineRule="auto" w:before="121" w:after="0"/>
        <w:ind w:left="745" w:right="114"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2 151,56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7"/>
                <w:sz w:val="20"/>
              </w:rPr>
              <w:t> </w:t>
            </w:r>
            <w:r>
              <w:rPr>
                <w:sz w:val="20"/>
              </w:rPr>
              <w:t>instalovaný</w:t>
            </w:r>
            <w:r>
              <w:rPr>
                <w:spacing w:val="-5"/>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2151.56</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1826.64</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4417.92</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1699.20</w:t>
            </w:r>
          </w:p>
        </w:tc>
      </w:tr>
    </w:tbl>
    <w:p>
      <w:pPr>
        <w:pStyle w:val="ListParagraph"/>
        <w:numPr>
          <w:ilvl w:val="1"/>
          <w:numId w:val="4"/>
        </w:numPr>
        <w:tabs>
          <w:tab w:pos="743" w:val="left" w:leader="none"/>
        </w:tabs>
        <w:spacing w:line="240" w:lineRule="auto" w:before="122"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 ode dne účinnosti této Smlouvy do předložení podkladů pro ZVA podle písmene f),</w:t>
      </w:r>
    </w:p>
    <w:p>
      <w:pPr>
        <w:pStyle w:val="ListParagraph"/>
        <w:numPr>
          <w:ilvl w:val="1"/>
          <w:numId w:val="4"/>
        </w:numPr>
        <w:tabs>
          <w:tab w:pos="743" w:val="left" w:leader="none"/>
        </w:tabs>
        <w:spacing w:line="240" w:lineRule="auto" w:before="119"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5</w:t>
      </w:r>
      <w:r>
        <w:rPr>
          <w:spacing w:val="-11"/>
          <w:sz w:val="20"/>
        </w:rPr>
        <w:t> </w:t>
      </w:r>
      <w:r>
        <w:rPr>
          <w:sz w:val="20"/>
        </w:rPr>
        <w:t>let</w:t>
      </w:r>
      <w:r>
        <w:rPr>
          <w:spacing w:val="-11"/>
          <w:sz w:val="20"/>
        </w:rPr>
        <w:t> </w:t>
      </w:r>
      <w:r>
        <w:rPr>
          <w:sz w:val="20"/>
        </w:rPr>
        <w:t>(výdaje</w:t>
      </w:r>
      <w:r>
        <w:rPr>
          <w:spacing w:val="-13"/>
          <w:sz w:val="20"/>
        </w:rPr>
        <w:t> </w:t>
      </w:r>
      <w:r>
        <w:rPr>
          <w:sz w:val="20"/>
        </w:rPr>
        <w:t>po</w:t>
      </w:r>
      <w:r>
        <w:rPr>
          <w:spacing w:val="-10"/>
          <w:sz w:val="20"/>
        </w:rPr>
        <w:t> </w:t>
      </w:r>
      <w:r>
        <w:rPr>
          <w:sz w:val="20"/>
        </w:rPr>
        <w:t>tomto</w:t>
      </w:r>
      <w:r>
        <w:rPr>
          <w:spacing w:val="-11"/>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4"/>
          <w:sz w:val="20"/>
        </w:rPr>
        <w:t> </w:t>
      </w:r>
      <w:r>
        <w:rPr>
          <w:sz w:val="20"/>
        </w:rPr>
        <w:t>Rozhodnutí. Za termín ukončení akce se považuje datum vydání Kolaudačního souhlasu, oznámení o užívání podle příslušných ustanovení zákona č. 183/2006 Sb., o</w:t>
      </w:r>
      <w:r>
        <w:rPr>
          <w:spacing w:val="-1"/>
          <w:sz w:val="20"/>
        </w:rPr>
        <w:t> </w:t>
      </w:r>
      <w:r>
        <w:rPr>
          <w:sz w:val="20"/>
        </w:rPr>
        <w:t>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7"/>
          <w:sz w:val="20"/>
        </w:rPr>
        <w:t> </w:t>
      </w:r>
      <w:r>
        <w:rPr>
          <w:sz w:val="20"/>
        </w:rPr>
        <w:t>termín</w:t>
      </w:r>
      <w:r>
        <w:rPr>
          <w:spacing w:val="-8"/>
          <w:sz w:val="20"/>
        </w:rPr>
        <w:t> </w:t>
      </w:r>
      <w:r>
        <w:rPr>
          <w:sz w:val="20"/>
        </w:rPr>
        <w:t>schválení</w:t>
      </w:r>
      <w:r>
        <w:rPr>
          <w:spacing w:val="-10"/>
          <w:sz w:val="20"/>
        </w:rPr>
        <w:t> </w:t>
      </w:r>
      <w:r>
        <w:rPr>
          <w:sz w:val="20"/>
        </w:rPr>
        <w:t>protokolu</w:t>
      </w:r>
      <w:r>
        <w:rPr>
          <w:spacing w:val="-10"/>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15"/>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49" w:lineRule="auto" w:before="44"/>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9"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37"/>
          <w:sz w:val="20"/>
        </w:rPr>
        <w:t> </w:t>
      </w:r>
      <w:r>
        <w:rPr>
          <w:sz w:val="20"/>
        </w:rPr>
        <w:t>Sb.,</w:t>
      </w:r>
      <w:r>
        <w:rPr>
          <w:spacing w:val="40"/>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3"/>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7"/>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982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614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1850" w:hanging="358"/>
      </w:pPr>
      <w:rPr>
        <w:rFonts w:hint="default"/>
        <w:lang w:val="cs-CZ" w:eastAsia="en-US" w:bidi="ar-SA"/>
      </w:rPr>
    </w:lvl>
    <w:lvl w:ilvl="4">
      <w:start w:val="0"/>
      <w:numFmt w:val="bullet"/>
      <w:lvlText w:val="•"/>
      <w:lvlJc w:val="left"/>
      <w:pPr>
        <w:ind w:left="2960" w:hanging="358"/>
      </w:pPr>
      <w:rPr>
        <w:rFonts w:hint="default"/>
        <w:lang w:val="cs-CZ" w:eastAsia="en-US" w:bidi="ar-SA"/>
      </w:rPr>
    </w:lvl>
    <w:lvl w:ilvl="5">
      <w:start w:val="0"/>
      <w:numFmt w:val="bullet"/>
      <w:lvlText w:val="•"/>
      <w:lvlJc w:val="left"/>
      <w:pPr>
        <w:ind w:left="4070" w:hanging="358"/>
      </w:pPr>
      <w:rPr>
        <w:rFonts w:hint="default"/>
        <w:lang w:val="cs-CZ" w:eastAsia="en-US" w:bidi="ar-SA"/>
      </w:rPr>
    </w:lvl>
    <w:lvl w:ilvl="6">
      <w:start w:val="0"/>
      <w:numFmt w:val="bullet"/>
      <w:lvlText w:val="•"/>
      <w:lvlJc w:val="left"/>
      <w:pPr>
        <w:ind w:left="5180" w:hanging="358"/>
      </w:pPr>
      <w:rPr>
        <w:rFonts w:hint="default"/>
        <w:lang w:val="cs-CZ" w:eastAsia="en-US" w:bidi="ar-SA"/>
      </w:rPr>
    </w:lvl>
    <w:lvl w:ilvl="7">
      <w:start w:val="0"/>
      <w:numFmt w:val="bullet"/>
      <w:lvlText w:val="•"/>
      <w:lvlJc w:val="left"/>
      <w:pPr>
        <w:ind w:left="6290" w:hanging="358"/>
      </w:pPr>
      <w:rPr>
        <w:rFonts w:hint="default"/>
        <w:lang w:val="cs-CZ" w:eastAsia="en-US" w:bidi="ar-SA"/>
      </w:rPr>
    </w:lvl>
    <w:lvl w:ilvl="8">
      <w:start w:val="0"/>
      <w:numFmt w:val="bullet"/>
      <w:lvlText w:val="•"/>
      <w:lvlJc w:val="left"/>
      <w:pPr>
        <w:ind w:left="7400"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2024-04-09T07:13:11Z</dcterms:created>
  <dcterms:modified xsi:type="dcterms:W3CDTF">2024-04-09T07:13:11Z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2016</vt:lpwstr>
  </property>
  <property fmtid="{D5CDD505-2E9C-101B-9397-08002B2CF9AE}" pid="4" name="LastSaved">
    <vt:filetime>2024-04-09T00:00:00Z</vt:filetime>
  </property>
</Properties>
</file>