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85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1185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1190400276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ind w:left="24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</w:pPr>
    </w:p>
    <w:p>
      <w:pPr>
        <w:pStyle w:val="BodyText"/>
        <w:ind w:left="24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Drhovy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541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Drhovy,</w:t>
      </w:r>
      <w:r>
        <w:rPr>
          <w:spacing w:val="-4"/>
        </w:rPr>
        <w:t> </w:t>
      </w:r>
      <w:r>
        <w:rPr/>
        <w:t>Drhovy</w:t>
      </w:r>
      <w:r>
        <w:rPr>
          <w:spacing w:val="-6"/>
        </w:rPr>
        <w:t> </w:t>
      </w:r>
      <w:r>
        <w:rPr/>
        <w:t>65,</w:t>
      </w:r>
      <w:r>
        <w:rPr>
          <w:spacing w:val="-7"/>
        </w:rPr>
        <w:t> </w:t>
      </w:r>
      <w:r>
        <w:rPr/>
        <w:t>263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Dobříš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00242161</w:t>
      </w:r>
    </w:p>
    <w:p>
      <w:pPr>
        <w:pStyle w:val="BodyText"/>
        <w:tabs>
          <w:tab w:pos="3122" w:val="left" w:leader="none"/>
        </w:tabs>
        <w:spacing w:before="2"/>
        <w:ind w:left="242"/>
      </w:pPr>
      <w:r>
        <w:rPr>
          <w:spacing w:val="-2"/>
        </w:rPr>
        <w:t>zastoupená:</w:t>
      </w:r>
      <w:r>
        <w:rPr/>
        <w:tab/>
        <w:t>Helenou</w:t>
      </w:r>
      <w:r>
        <w:rPr>
          <w:spacing w:val="-2"/>
        </w:rPr>
        <w:t> </w:t>
      </w:r>
      <w:r>
        <w:rPr/>
        <w:t>Š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  <w:ind w:left="24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37" w:lineRule="auto"/>
        <w:ind w:left="24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1190400276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29. 9. 2021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0" w:val="left" w:leader="none"/>
        </w:tabs>
        <w:spacing w:line="240" w:lineRule="auto" w:before="189" w:after="0"/>
        <w:ind w:left="669" w:right="0" w:hanging="428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nahrazuje</w:t>
      </w:r>
      <w:r>
        <w:rPr>
          <w:spacing w:val="-5"/>
          <w:sz w:val="20"/>
        </w:rPr>
        <w:t> </w:t>
      </w:r>
      <w:r>
        <w:rPr>
          <w:sz w:val="20"/>
        </w:rPr>
        <w:t>novou</w:t>
      </w:r>
      <w:r>
        <w:rPr>
          <w:spacing w:val="-5"/>
          <w:sz w:val="20"/>
        </w:rPr>
        <w:t> </w:t>
      </w:r>
      <w:r>
        <w:rPr>
          <w:sz w:val="20"/>
        </w:rPr>
        <w:t>přílohou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přílohou</w:t>
      </w:r>
      <w:r>
        <w:rPr>
          <w:spacing w:val="-4"/>
          <w:sz w:val="20"/>
        </w:rPr>
        <w:t> </w:t>
      </w:r>
      <w:r>
        <w:rPr>
          <w:sz w:val="20"/>
        </w:rPr>
        <w:t>tohoto</w:t>
      </w:r>
      <w:r>
        <w:rPr>
          <w:spacing w:val="-2"/>
          <w:sz w:val="20"/>
        </w:rPr>
        <w:t> dodatku.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9" w:val="left" w:leader="none"/>
          <w:tab w:pos="670" w:val="left" w:leader="none"/>
        </w:tabs>
        <w:spacing w:line="240" w:lineRule="auto" w:before="1" w:after="0"/>
        <w:ind w:left="66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0" w:after="0"/>
        <w:ind w:left="66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 podle zákona č. 340/2015 Sb., o zvláštních podmínkách účinnosti některých smluv,</w:t>
      </w:r>
      <w:r>
        <w:rPr>
          <w:spacing w:val="40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73" w:after="0"/>
        <w:ind w:left="66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6218" w:val="left" w:leader="none"/>
        </w:tabs>
        <w:ind w:left="24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</w:pPr>
    </w:p>
    <w:p>
      <w:pPr>
        <w:pStyle w:val="BodyText"/>
        <w:ind w:left="24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002" w:val="left" w:leader="none"/>
          <w:tab w:pos="6722" w:val="left" w:leader="none"/>
        </w:tabs>
        <w:ind w:left="24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Specifické</w:t>
      </w:r>
      <w:r>
        <w:rPr>
          <w:spacing w:val="-6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7"/>
        </w:rPr>
        <w:t> </w:t>
      </w:r>
      <w:r>
        <w:rPr/>
        <w:t>pro</w:t>
      </w:r>
      <w:r>
        <w:rPr>
          <w:spacing w:val="-2"/>
        </w:rPr>
        <w:t> </w:t>
      </w:r>
      <w:r>
        <w:rPr/>
        <w:t>vlastnický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>
          <w:spacing w:val="-2"/>
        </w:rPr>
        <w:t>provozování</w:t>
      </w:r>
    </w:p>
    <w:p>
      <w:pPr>
        <w:spacing w:after="0"/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vlastnický</w:t>
      </w:r>
      <w:r>
        <w:rPr>
          <w:spacing w:val="-8"/>
        </w:rPr>
        <w:t> </w:t>
      </w:r>
      <w:r>
        <w:rPr/>
        <w:t>model</w:t>
      </w:r>
      <w:r>
        <w:rPr>
          <w:spacing w:val="-4"/>
        </w:rPr>
        <w:t> </w:t>
      </w:r>
      <w:r>
        <w:rPr>
          <w:spacing w:val="-2"/>
        </w:rPr>
        <w:t>provozování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219" w:after="0"/>
        <w:ind w:left="525" w:right="111" w:hanging="284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</w:t>
      </w:r>
      <w:r>
        <w:rPr>
          <w:spacing w:val="23"/>
          <w:sz w:val="20"/>
        </w:rPr>
        <w:t> </w:t>
      </w:r>
      <w:r>
        <w:rPr>
          <w:sz w:val="20"/>
        </w:rPr>
        <w:t>roku</w:t>
      </w:r>
      <w:r>
        <w:rPr>
          <w:spacing w:val="22"/>
          <w:sz w:val="20"/>
        </w:rPr>
        <w:t> </w:t>
      </w:r>
      <w:r>
        <w:rPr>
          <w:sz w:val="20"/>
        </w:rPr>
        <w:t>po</w:t>
      </w:r>
      <w:r>
        <w:rPr>
          <w:spacing w:val="23"/>
          <w:sz w:val="20"/>
        </w:rPr>
        <w:t> </w:t>
      </w:r>
      <w:r>
        <w:rPr>
          <w:sz w:val="20"/>
        </w:rPr>
        <w:t>nabytí</w:t>
      </w:r>
      <w:r>
        <w:rPr>
          <w:spacing w:val="22"/>
          <w:sz w:val="20"/>
        </w:rPr>
        <w:t> </w:t>
      </w:r>
      <w:r>
        <w:rPr>
          <w:sz w:val="20"/>
        </w:rPr>
        <w:t>právní</w:t>
      </w:r>
      <w:r>
        <w:rPr>
          <w:spacing w:val="22"/>
          <w:sz w:val="20"/>
        </w:rPr>
        <w:t> </w:t>
      </w:r>
      <w:r>
        <w:rPr>
          <w:sz w:val="20"/>
        </w:rPr>
        <w:t>moci</w:t>
      </w:r>
      <w:r>
        <w:rPr>
          <w:spacing w:val="22"/>
          <w:sz w:val="20"/>
        </w:rPr>
        <w:t> </w:t>
      </w:r>
      <w:r>
        <w:rPr>
          <w:sz w:val="20"/>
        </w:rPr>
        <w:t>posledního</w:t>
      </w:r>
      <w:r>
        <w:rPr>
          <w:spacing w:val="25"/>
          <w:sz w:val="20"/>
        </w:rPr>
        <w:t> </w:t>
      </w:r>
      <w:r>
        <w:rPr>
          <w:sz w:val="20"/>
        </w:rPr>
        <w:t>kolaudačního</w:t>
      </w:r>
      <w:r>
        <w:rPr>
          <w:spacing w:val="22"/>
          <w:sz w:val="20"/>
        </w:rPr>
        <w:t> </w:t>
      </w:r>
      <w:r>
        <w:rPr>
          <w:sz w:val="20"/>
        </w:rPr>
        <w:t>souhlasu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2"/>
          <w:sz w:val="20"/>
        </w:rPr>
        <w:t> </w:t>
      </w:r>
      <w:r>
        <w:rPr>
          <w:sz w:val="20"/>
        </w:rPr>
        <w:t>provozována v</w:t>
      </w:r>
      <w:r>
        <w:rPr>
          <w:spacing w:val="-2"/>
          <w:sz w:val="20"/>
        </w:rPr>
        <w:t> </w:t>
      </w:r>
      <w:r>
        <w:rPr>
          <w:sz w:val="20"/>
        </w:rPr>
        <w:t>rámci vlastnického modelu, zejména bude platit, že subjekt zodpovědný za provozování je 100% vlastněn vlastníkem dotčené infrastruktury a případnými dalšími veřejnými vlastníky a infrastrukturu provozuje</w:t>
      </w:r>
      <w:r>
        <w:rPr>
          <w:spacing w:val="80"/>
          <w:sz w:val="20"/>
        </w:rPr>
        <w:t> </w:t>
      </w:r>
      <w:r>
        <w:rPr>
          <w:sz w:val="20"/>
        </w:rPr>
        <w:t>na</w:t>
      </w:r>
      <w:r>
        <w:rPr>
          <w:spacing w:val="80"/>
          <w:sz w:val="20"/>
        </w:rPr>
        <w:t> </w:t>
      </w:r>
      <w:r>
        <w:rPr>
          <w:sz w:val="20"/>
        </w:rPr>
        <w:t>základě</w:t>
      </w:r>
      <w:r>
        <w:rPr>
          <w:spacing w:val="8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jiného</w:t>
      </w:r>
      <w:r>
        <w:rPr>
          <w:spacing w:val="80"/>
          <w:sz w:val="20"/>
        </w:rPr>
        <w:t> </w:t>
      </w:r>
      <w:r>
        <w:rPr>
          <w:sz w:val="20"/>
        </w:rPr>
        <w:t>místně</w:t>
      </w:r>
      <w:r>
        <w:rPr>
          <w:spacing w:val="80"/>
          <w:sz w:val="20"/>
        </w:rPr>
        <w:t> </w:t>
      </w:r>
      <w:r>
        <w:rPr>
          <w:sz w:val="20"/>
        </w:rPr>
        <w:t>platného</w:t>
      </w:r>
      <w:r>
        <w:rPr>
          <w:spacing w:val="80"/>
          <w:sz w:val="20"/>
        </w:rPr>
        <w:t> </w:t>
      </w:r>
      <w:r>
        <w:rPr>
          <w:sz w:val="20"/>
        </w:rPr>
        <w:t>pověření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přímo</w:t>
      </w:r>
      <w:r>
        <w:rPr>
          <w:spacing w:val="80"/>
          <w:sz w:val="20"/>
        </w:rPr>
        <w:t> </w:t>
      </w:r>
      <w:r>
        <w:rPr>
          <w:sz w:val="20"/>
        </w:rPr>
        <w:t>drží</w:t>
      </w:r>
      <w:r>
        <w:rPr>
          <w:spacing w:val="80"/>
          <w:sz w:val="20"/>
        </w:rPr>
        <w:t> </w:t>
      </w:r>
      <w:r>
        <w:rPr>
          <w:sz w:val="20"/>
        </w:rPr>
        <w:t>povolení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provozování (k modelům provozování infrastruktury a podmínkám stanoveným pro vlastnický model viz dokument „Metodika pro žadatele rozvádějící podmínky přílohy č. 6 Programového dokumentu OPŽP 2014 – 2020“, dále jen „Metodika“, která je součástí PrŽaP). Pro účely stanovení podmínek týkajících se</w:t>
      </w:r>
      <w:r>
        <w:rPr>
          <w:spacing w:val="-2"/>
          <w:sz w:val="20"/>
        </w:rPr>
        <w:t> </w:t>
      </w:r>
      <w:r>
        <w:rPr>
          <w:sz w:val="20"/>
        </w:rPr>
        <w:t>provozování</w:t>
      </w:r>
      <w:r>
        <w:rPr>
          <w:spacing w:val="-1"/>
          <w:sz w:val="20"/>
        </w:rPr>
        <w:t> </w:t>
      </w:r>
      <w:r>
        <w:rPr>
          <w:sz w:val="20"/>
        </w:rPr>
        <w:t>vodohospodářské</w:t>
      </w:r>
      <w:r>
        <w:rPr>
          <w:spacing w:val="-2"/>
          <w:sz w:val="20"/>
        </w:rPr>
        <w:t> </w:t>
      </w:r>
      <w:r>
        <w:rPr>
          <w:sz w:val="20"/>
        </w:rPr>
        <w:t>infrastruktury se</w:t>
      </w:r>
      <w:r>
        <w:rPr>
          <w:spacing w:val="-2"/>
          <w:sz w:val="20"/>
        </w:rPr>
        <w:t> </w:t>
      </w:r>
      <w:r>
        <w:rPr>
          <w:sz w:val="20"/>
        </w:rPr>
        <w:t>vodohospodářskou infrastrukturou rozumí celá</w:t>
      </w:r>
      <w:r>
        <w:rPr>
          <w:spacing w:val="40"/>
          <w:sz w:val="20"/>
        </w:rPr>
        <w:t> </w:t>
      </w:r>
      <w:r>
        <w:rPr>
          <w:sz w:val="20"/>
        </w:rPr>
        <w:t>složka</w:t>
      </w:r>
      <w:r>
        <w:rPr>
          <w:spacing w:val="40"/>
          <w:sz w:val="20"/>
        </w:rPr>
        <w:t> </w:t>
      </w:r>
      <w:r>
        <w:rPr>
          <w:sz w:val="20"/>
        </w:rPr>
        <w:t>infrastruktury</w:t>
      </w:r>
      <w:r>
        <w:rPr>
          <w:spacing w:val="40"/>
          <w:sz w:val="20"/>
        </w:rPr>
        <w:t> </w:t>
      </w:r>
      <w:r>
        <w:rPr>
          <w:sz w:val="20"/>
        </w:rPr>
        <w:t>pořízené</w:t>
      </w:r>
      <w:r>
        <w:rPr>
          <w:spacing w:val="40"/>
          <w:sz w:val="20"/>
        </w:rPr>
        <w:t> </w:t>
      </w:r>
      <w:r>
        <w:rPr>
          <w:sz w:val="20"/>
        </w:rPr>
        <w:t>(rekonstruované)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podporou</w:t>
      </w:r>
      <w:r>
        <w:rPr>
          <w:spacing w:val="40"/>
          <w:sz w:val="20"/>
        </w:rPr>
        <w:t> </w:t>
      </w:r>
      <w:r>
        <w:rPr>
          <w:sz w:val="20"/>
        </w:rPr>
        <w:t>poskytnutou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a Rozhodnutí 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</w:t>
      </w:r>
      <w:r>
        <w:rPr>
          <w:spacing w:val="80"/>
          <w:sz w:val="20"/>
        </w:rPr>
        <w:t> </w:t>
      </w:r>
      <w:r>
        <w:rPr>
          <w:sz w:val="20"/>
        </w:rPr>
        <w:t>kolaudačního</w:t>
      </w:r>
      <w:r>
        <w:rPr>
          <w:spacing w:val="80"/>
          <w:sz w:val="20"/>
        </w:rPr>
        <w:t> </w:t>
      </w:r>
      <w:r>
        <w:rPr>
          <w:sz w:val="20"/>
        </w:rPr>
        <w:t>souhlasu</w:t>
      </w:r>
      <w:r>
        <w:rPr>
          <w:spacing w:val="80"/>
          <w:sz w:val="20"/>
        </w:rPr>
        <w:t> </w:t>
      </w:r>
      <w:r>
        <w:rPr>
          <w:sz w:val="20"/>
        </w:rPr>
        <w:t>k</w:t>
      </w:r>
      <w:r>
        <w:rPr>
          <w:spacing w:val="80"/>
          <w:sz w:val="20"/>
        </w:rPr>
        <w:t> </w:t>
      </w:r>
      <w:r>
        <w:rPr>
          <w:sz w:val="20"/>
        </w:rPr>
        <w:t>projektu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zabezpečena</w:t>
      </w:r>
      <w:r>
        <w:rPr>
          <w:spacing w:val="80"/>
          <w:sz w:val="20"/>
        </w:rPr>
        <w:t> </w:t>
      </w:r>
      <w:r>
        <w:rPr>
          <w:sz w:val="20"/>
        </w:rPr>
        <w:t>finanční</w:t>
      </w:r>
      <w:r>
        <w:rPr>
          <w:spacing w:val="80"/>
          <w:sz w:val="20"/>
        </w:rPr>
        <w:t> </w:t>
      </w:r>
      <w:r>
        <w:rPr>
          <w:sz w:val="20"/>
        </w:rPr>
        <w:t>udržitelnost</w:t>
      </w:r>
      <w:r>
        <w:rPr>
          <w:spacing w:val="80"/>
          <w:sz w:val="20"/>
        </w:rPr>
        <w:t> </w:t>
      </w:r>
      <w:r>
        <w:rPr>
          <w:sz w:val="20"/>
        </w:rPr>
        <w:t>projektu a to za</w:t>
      </w:r>
      <w:r>
        <w:rPr>
          <w:spacing w:val="-2"/>
          <w:sz w:val="20"/>
        </w:rPr>
        <w:t> </w:t>
      </w:r>
      <w:r>
        <w:rPr>
          <w:sz w:val="20"/>
        </w:rPr>
        <w:t>podmínek stanovených Fondem. Změna výše prostředků na obnovu vodovodů a/nebo</w:t>
      </w:r>
      <w:r>
        <w:rPr>
          <w:spacing w:val="40"/>
          <w:sz w:val="20"/>
        </w:rPr>
        <w:t> </w:t>
      </w:r>
      <w:r>
        <w:rPr>
          <w:sz w:val="20"/>
        </w:rPr>
        <w:t>kanalizací je přípustné pouze z důvodu: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</w:tabs>
        <w:spacing w:line="240" w:lineRule="auto" w:before="119" w:after="0"/>
        <w:ind w:left="808" w:right="119" w:hanging="14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 nebo</w:t>
      </w:r>
    </w:p>
    <w:p>
      <w:pPr>
        <w:pStyle w:val="ListParagraph"/>
        <w:numPr>
          <w:ilvl w:val="1"/>
          <w:numId w:val="2"/>
        </w:numPr>
        <w:tabs>
          <w:tab w:pos="958" w:val="left" w:leader="none"/>
        </w:tabs>
        <w:spacing w:line="240" w:lineRule="auto" w:before="121" w:after="0"/>
        <w:ind w:left="808" w:right="114" w:hanging="140"/>
        <w:jc w:val="both"/>
        <w:rPr>
          <w:sz w:val="20"/>
        </w:rPr>
      </w:pPr>
      <w:r>
        <w:rPr>
          <w:sz w:val="20"/>
        </w:rPr>
        <w:t>snížení na</w:t>
      </w:r>
      <w:r>
        <w:rPr>
          <w:spacing w:val="-2"/>
          <w:sz w:val="20"/>
        </w:rPr>
        <w:t> </w:t>
      </w:r>
      <w:r>
        <w:rPr>
          <w:sz w:val="20"/>
        </w:rPr>
        <w:t>úroveň, která prokazatelně vytváří zdroje pro správu, obnovu a případné rozšíření vodovodů a</w:t>
      </w:r>
      <w:r>
        <w:rPr>
          <w:spacing w:val="-3"/>
          <w:sz w:val="20"/>
        </w:rPr>
        <w:t> </w:t>
      </w:r>
      <w:r>
        <w:rPr>
          <w:sz w:val="20"/>
        </w:rPr>
        <w:t>kanalizací minimálně ve výši „plných odpisů“. V obou případech je nezbytné, aby Fond navrženou odchylku odsouhlasil.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Čistý příjem (případně nájemné) z provozování vodohospodářské infrastruktury bude použit v souladu</w:t>
      </w:r>
      <w:r>
        <w:rPr>
          <w:spacing w:val="80"/>
          <w:sz w:val="20"/>
        </w:rPr>
        <w:t> </w:t>
      </w:r>
      <w:r>
        <w:rPr>
          <w:sz w:val="20"/>
        </w:rPr>
        <w:t>s principy péče řádného hospodáře.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 na „související provozní smlouvy“ ve smyslu Metodiky s tím, že v</w:t>
      </w:r>
      <w:r>
        <w:rPr>
          <w:spacing w:val="-3"/>
          <w:sz w:val="20"/>
        </w:rPr>
        <w:t> </w:t>
      </w:r>
      <w:r>
        <w:rPr>
          <w:sz w:val="20"/>
        </w:rPr>
        <w:t>případě ukončení platnosti související provozní smlouvy je</w:t>
      </w:r>
      <w:r>
        <w:rPr>
          <w:spacing w:val="-1"/>
          <w:sz w:val="20"/>
        </w:rPr>
        <w:t> </w:t>
      </w:r>
      <w:r>
        <w:rPr>
          <w:sz w:val="20"/>
        </w:rPr>
        <w:t>vlastník infrastruktury, která je</w:t>
      </w:r>
      <w:r>
        <w:rPr>
          <w:spacing w:val="-1"/>
          <w:sz w:val="20"/>
        </w:rPr>
        <w:t> </w:t>
      </w:r>
      <w:r>
        <w:rPr>
          <w:sz w:val="20"/>
        </w:rPr>
        <w:t>předmětem související provozní smlouvy, oprávněn změnit provozní model.</w:t>
      </w:r>
    </w:p>
    <w:sectPr>
      <w:pgSz w:w="12240" w:h="15840"/>
      <w:pgMar w:header="0" w:footer="957" w:top="106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728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9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3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0" w:hanging="42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4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2024-04-08T11:09:29Z</dcterms:created>
  <dcterms:modified xsi:type="dcterms:W3CDTF">2024-04-08T11:09:29Z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2024-04-08T00:00:00Z</vt:filetime>
  </property>
</Properties>
</file>