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1525" w14:textId="2EB101D3" w:rsidR="007C11C0" w:rsidRPr="00CF26C4"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color w:val="auto"/>
          <w:sz w:val="40"/>
        </w:rPr>
      </w:pPr>
      <w:r w:rsidRPr="00CF26C4">
        <w:rPr>
          <w:b/>
          <w:caps/>
          <w:color w:val="auto"/>
          <w:sz w:val="40"/>
        </w:rPr>
        <w:t>SMLOUVA O ÚČASTI NA ŘEŠENÍ PROJEKTU</w:t>
      </w:r>
      <w:r w:rsidRPr="00CF26C4">
        <w:rPr>
          <w:b/>
          <w:caps/>
          <w:color w:val="auto"/>
          <w:sz w:val="40"/>
        </w:rPr>
        <w:br/>
        <w:t>A O VYUŽITÍ VÝSLEDKŮ</w:t>
      </w:r>
    </w:p>
    <w:p w14:paraId="11446333" w14:textId="3BFE2FA0" w:rsidR="006B1C9F" w:rsidRPr="00CF26C4" w:rsidRDefault="00342A93" w:rsidP="009F4962">
      <w:pPr>
        <w:pBdr>
          <w:top w:val="single" w:sz="4" w:space="1" w:color="auto"/>
          <w:left w:val="single" w:sz="4" w:space="4" w:color="auto"/>
          <w:bottom w:val="single" w:sz="4" w:space="1" w:color="auto"/>
          <w:right w:val="single" w:sz="4" w:space="4" w:color="auto"/>
        </w:pBdr>
        <w:tabs>
          <w:tab w:val="left" w:pos="5245"/>
        </w:tabs>
        <w:jc w:val="center"/>
        <w:rPr>
          <w:color w:val="auto"/>
        </w:rPr>
      </w:pPr>
      <w:r w:rsidRPr="00CF26C4">
        <w:rPr>
          <w:color w:val="auto"/>
        </w:rPr>
        <w:t xml:space="preserve">Číslo </w:t>
      </w:r>
      <w:r w:rsidR="00605E46" w:rsidRPr="00CF26C4">
        <w:rPr>
          <w:color w:val="auto"/>
        </w:rPr>
        <w:t>smlouvy</w:t>
      </w:r>
      <w:r w:rsidRPr="00CF26C4">
        <w:rPr>
          <w:color w:val="auto"/>
        </w:rPr>
        <w:t xml:space="preserve">: </w:t>
      </w:r>
      <w:r w:rsidR="00423E16" w:rsidRPr="00CF26C4">
        <w:rPr>
          <w:color w:val="auto"/>
        </w:rPr>
        <w:t>02003/2024/00</w:t>
      </w:r>
    </w:p>
    <w:p w14:paraId="079E6064" w14:textId="0019696C" w:rsidR="00E14FF5" w:rsidRPr="00CF26C4" w:rsidRDefault="00D21402" w:rsidP="006522BB">
      <w:pPr>
        <w:jc w:val="center"/>
        <w:rPr>
          <w:color w:val="auto"/>
          <w:sz w:val="18"/>
          <w:szCs w:val="18"/>
        </w:rPr>
      </w:pPr>
      <w:r w:rsidRPr="00CF26C4">
        <w:rPr>
          <w:color w:val="auto"/>
          <w:sz w:val="18"/>
          <w:szCs w:val="18"/>
        </w:rPr>
        <w:t>uzavře</w:t>
      </w:r>
      <w:r>
        <w:rPr>
          <w:color w:val="auto"/>
          <w:sz w:val="18"/>
          <w:szCs w:val="18"/>
        </w:rPr>
        <w:t>ná</w:t>
      </w:r>
      <w:r w:rsidRPr="00CF26C4">
        <w:rPr>
          <w:color w:val="auto"/>
          <w:sz w:val="18"/>
          <w:szCs w:val="18"/>
        </w:rPr>
        <w:t xml:space="preserve"> </w:t>
      </w:r>
      <w:r w:rsidR="00E14FF5" w:rsidRPr="00CF26C4">
        <w:rPr>
          <w:color w:val="auto"/>
          <w:sz w:val="18"/>
          <w:szCs w:val="18"/>
        </w:rPr>
        <w:t xml:space="preserve">níže uvedeného dne, měsíce a roku a za následujících podmínek </w:t>
      </w:r>
      <w:r w:rsidR="0059497D">
        <w:rPr>
          <w:color w:val="auto"/>
          <w:sz w:val="18"/>
          <w:szCs w:val="18"/>
        </w:rPr>
        <w:t>těmito</w:t>
      </w:r>
      <w:r>
        <w:rPr>
          <w:color w:val="auto"/>
          <w:sz w:val="18"/>
          <w:szCs w:val="18"/>
        </w:rPr>
        <w:t xml:space="preserve"> smluvními stranami</w:t>
      </w:r>
      <w:r w:rsidR="002D5E47">
        <w:rPr>
          <w:color w:val="auto"/>
          <w:sz w:val="18"/>
          <w:szCs w:val="18"/>
        </w:rPr>
        <w:t xml:space="preserve">, </w:t>
      </w:r>
      <w:r w:rsidR="002D5E47" w:rsidRPr="002D5E47">
        <w:rPr>
          <w:color w:val="auto"/>
          <w:sz w:val="18"/>
          <w:szCs w:val="18"/>
        </w:rPr>
        <w:t>dále též jako „Smlouva“</w:t>
      </w:r>
    </w:p>
    <w:p w14:paraId="2EC6F616" w14:textId="14EBC2D3" w:rsidR="00420746" w:rsidRPr="00CF26C4" w:rsidRDefault="00420746" w:rsidP="00420746">
      <w:pPr>
        <w:rPr>
          <w:b/>
          <w:color w:val="auto"/>
        </w:rPr>
      </w:pPr>
      <w:r w:rsidRPr="00CF26C4">
        <w:rPr>
          <w:b/>
          <w:color w:val="auto"/>
        </w:rPr>
        <w:t>Vysoké učení technické v Brně</w:t>
      </w:r>
    </w:p>
    <w:p w14:paraId="339DC9F5" w14:textId="77777777" w:rsidR="00420746" w:rsidRPr="00CF26C4" w:rsidRDefault="00420746" w:rsidP="00420746">
      <w:pPr>
        <w:rPr>
          <w:rFonts w:ascii="Calibri" w:hAnsi="Calibri"/>
          <w:b/>
          <w:color w:val="auto"/>
        </w:rPr>
      </w:pPr>
      <w:r w:rsidRPr="00CF26C4">
        <w:rPr>
          <w:rFonts w:ascii="Calibri" w:hAnsi="Calibri"/>
          <w:b/>
          <w:color w:val="auto"/>
        </w:rPr>
        <w:t>Fakulta elektrotechniky a komunikačních technologií</w:t>
      </w:r>
    </w:p>
    <w:p w14:paraId="0656533A" w14:textId="51B7CBF3" w:rsidR="00420746" w:rsidRPr="00CF26C4" w:rsidRDefault="00420746" w:rsidP="00420746">
      <w:pPr>
        <w:tabs>
          <w:tab w:val="left" w:pos="1701"/>
        </w:tabs>
        <w:jc w:val="left"/>
        <w:rPr>
          <w:b/>
          <w:color w:val="auto"/>
        </w:rPr>
      </w:pPr>
      <w:r w:rsidRPr="00CF26C4">
        <w:rPr>
          <w:color w:val="auto"/>
        </w:rPr>
        <w:tab/>
        <w:t xml:space="preserve">dále též jako </w:t>
      </w:r>
      <w:r w:rsidRPr="00CF26C4">
        <w:rPr>
          <w:b/>
          <w:color w:val="auto"/>
        </w:rPr>
        <w:t>„Příjemce“</w:t>
      </w:r>
      <w:r w:rsidRPr="00CF26C4">
        <w:rPr>
          <w:color w:val="auto"/>
        </w:rPr>
        <w:t xml:space="preserve"> nebo </w:t>
      </w:r>
      <w:r w:rsidRPr="00CF26C4">
        <w:rPr>
          <w:b/>
          <w:color w:val="auto"/>
        </w:rPr>
        <w:t>„VUT“</w:t>
      </w:r>
      <w:r w:rsidRPr="00CF26C4">
        <w:rPr>
          <w:color w:val="auto"/>
        </w:rPr>
        <w:t>,</w:t>
      </w:r>
    </w:p>
    <w:p w14:paraId="51471B41" w14:textId="3E69F211" w:rsidR="00420746" w:rsidRPr="00CF26C4" w:rsidRDefault="00420746" w:rsidP="00420746">
      <w:pPr>
        <w:tabs>
          <w:tab w:val="left" w:pos="1701"/>
        </w:tabs>
        <w:spacing w:after="0"/>
        <w:jc w:val="left"/>
        <w:rPr>
          <w:color w:val="auto"/>
        </w:rPr>
      </w:pPr>
      <w:r w:rsidRPr="00CF26C4">
        <w:rPr>
          <w:color w:val="auto"/>
        </w:rPr>
        <w:tab/>
        <w:t xml:space="preserve">Sídlem: </w:t>
      </w:r>
      <w:r w:rsidRPr="00CF26C4">
        <w:rPr>
          <w:color w:val="auto"/>
        </w:rPr>
        <w:tab/>
        <w:t>Antonínská 548/1, 601 90 Brno</w:t>
      </w:r>
      <w:r w:rsidRPr="00CF26C4">
        <w:rPr>
          <w:color w:val="auto"/>
        </w:rPr>
        <w:br/>
        <w:t xml:space="preserve">IČ: </w:t>
      </w:r>
      <w:r w:rsidRPr="00CF26C4">
        <w:rPr>
          <w:color w:val="auto"/>
        </w:rPr>
        <w:tab/>
        <w:t>00216305 (veřejná vysoká škola, nezapisuje se do OR)</w:t>
      </w:r>
      <w:r w:rsidRPr="00CF26C4">
        <w:rPr>
          <w:color w:val="auto"/>
        </w:rPr>
        <w:br/>
        <w:t xml:space="preserve">DIČ: </w:t>
      </w:r>
      <w:r w:rsidRPr="00CF26C4">
        <w:rPr>
          <w:color w:val="auto"/>
        </w:rPr>
        <w:tab/>
        <w:t>CZ00216305</w:t>
      </w:r>
      <w:r w:rsidRPr="00CF26C4">
        <w:rPr>
          <w:color w:val="auto"/>
        </w:rPr>
        <w:br/>
        <w:t xml:space="preserve">Bankovní spojení: </w:t>
      </w:r>
      <w:r w:rsidRPr="00CF26C4">
        <w:rPr>
          <w:color w:val="auto"/>
        </w:rPr>
        <w:tab/>
        <w:t xml:space="preserve">účet č. </w:t>
      </w:r>
      <w:proofErr w:type="spellStart"/>
      <w:r w:rsidR="00760D88">
        <w:rPr>
          <w:color w:val="auto"/>
        </w:rPr>
        <w:t>xxx</w:t>
      </w:r>
      <w:proofErr w:type="spellEnd"/>
      <w:r w:rsidRPr="00CF26C4">
        <w:rPr>
          <w:color w:val="auto"/>
        </w:rPr>
        <w:br/>
        <w:t xml:space="preserve">Zastoupené: </w:t>
      </w:r>
      <w:r w:rsidRPr="00CF26C4">
        <w:rPr>
          <w:color w:val="auto"/>
        </w:rPr>
        <w:tab/>
      </w:r>
      <w:r w:rsidRPr="00CF26C4">
        <w:rPr>
          <w:rFonts w:ascii="Calibri" w:hAnsi="Calibri"/>
          <w:color w:val="auto"/>
        </w:rPr>
        <w:t>prof. RNDr. Vladimírem Aubrechtem, CSc., děkanem</w:t>
      </w:r>
      <w:r w:rsidRPr="00CF26C4">
        <w:rPr>
          <w:color w:val="auto"/>
        </w:rPr>
        <w:br/>
        <w:t xml:space="preserve">Odpovědný zaměstnanec: </w:t>
      </w:r>
      <w:proofErr w:type="spellStart"/>
      <w:r w:rsidR="00760D88">
        <w:rPr>
          <w:color w:val="auto"/>
        </w:rPr>
        <w:t>xxx</w:t>
      </w:r>
      <w:proofErr w:type="spellEnd"/>
    </w:p>
    <w:p w14:paraId="402A3134" w14:textId="77777777" w:rsidR="00420746" w:rsidRPr="00CF26C4" w:rsidRDefault="00420746" w:rsidP="00420746">
      <w:pPr>
        <w:tabs>
          <w:tab w:val="left" w:pos="1701"/>
        </w:tabs>
        <w:spacing w:after="0"/>
        <w:jc w:val="left"/>
        <w:rPr>
          <w:color w:val="auto"/>
        </w:rPr>
      </w:pPr>
    </w:p>
    <w:p w14:paraId="50F93DA9" w14:textId="2FED5D8A" w:rsidR="006B1C9F" w:rsidRPr="00CF26C4" w:rsidRDefault="00FA6F5B" w:rsidP="00420746">
      <w:pPr>
        <w:tabs>
          <w:tab w:val="left" w:pos="1701"/>
        </w:tabs>
        <w:spacing w:after="0"/>
        <w:jc w:val="left"/>
        <w:rPr>
          <w:color w:val="auto"/>
        </w:rPr>
      </w:pPr>
      <w:r w:rsidRPr="00CF26C4">
        <w:rPr>
          <w:color w:val="auto"/>
        </w:rPr>
        <w:t>a</w:t>
      </w:r>
    </w:p>
    <w:p w14:paraId="74A296A7" w14:textId="77777777" w:rsidR="00420746" w:rsidRPr="00CF26C4" w:rsidRDefault="00420746" w:rsidP="00420746">
      <w:pPr>
        <w:spacing w:before="240"/>
        <w:rPr>
          <w:b/>
          <w:color w:val="auto"/>
        </w:rPr>
      </w:pPr>
      <w:r w:rsidRPr="00CF26C4">
        <w:rPr>
          <w:b/>
          <w:color w:val="auto"/>
        </w:rPr>
        <w:t>ELVAC SOLUTIONS s.r.o.</w:t>
      </w:r>
      <w:r w:rsidRPr="00CF26C4">
        <w:rPr>
          <w:color w:val="auto"/>
        </w:rPr>
        <w:t>,</w:t>
      </w:r>
    </w:p>
    <w:p w14:paraId="1C7A8792" w14:textId="4FCAAFEB" w:rsidR="00420746" w:rsidRPr="00CF26C4" w:rsidRDefault="00420746" w:rsidP="00420746">
      <w:pPr>
        <w:tabs>
          <w:tab w:val="left" w:pos="1701"/>
        </w:tabs>
        <w:spacing w:before="120"/>
        <w:jc w:val="left"/>
        <w:rPr>
          <w:color w:val="auto"/>
        </w:rPr>
      </w:pPr>
      <w:r w:rsidRPr="00CF26C4">
        <w:rPr>
          <w:color w:val="auto"/>
        </w:rPr>
        <w:tab/>
        <w:t xml:space="preserve">dále též jako </w:t>
      </w:r>
      <w:r w:rsidRPr="00CF26C4">
        <w:rPr>
          <w:b/>
          <w:color w:val="auto"/>
        </w:rPr>
        <w:t>„Další účastník“</w:t>
      </w:r>
      <w:r w:rsidRPr="00CF26C4">
        <w:rPr>
          <w:color w:val="auto"/>
        </w:rPr>
        <w:t xml:space="preserve"> nebo </w:t>
      </w:r>
      <w:r w:rsidRPr="00CF26C4">
        <w:rPr>
          <w:b/>
          <w:color w:val="auto"/>
        </w:rPr>
        <w:t>„ELVAC“</w:t>
      </w:r>
      <w:r w:rsidRPr="00CF26C4">
        <w:rPr>
          <w:color w:val="auto"/>
        </w:rPr>
        <w:t>,</w:t>
      </w:r>
    </w:p>
    <w:p w14:paraId="23AFAC1B" w14:textId="7FE1B847" w:rsidR="00420746" w:rsidRPr="00CF26C4" w:rsidRDefault="00420746" w:rsidP="00420746">
      <w:pPr>
        <w:tabs>
          <w:tab w:val="left" w:pos="2977"/>
        </w:tabs>
        <w:spacing w:before="120"/>
        <w:jc w:val="left"/>
        <w:rPr>
          <w:rStyle w:val="value"/>
          <w:color w:val="auto"/>
        </w:rPr>
      </w:pPr>
      <w:r w:rsidRPr="00CF26C4">
        <w:rPr>
          <w:color w:val="auto"/>
        </w:rPr>
        <w:tab/>
        <w:t xml:space="preserve">Sídlem: </w:t>
      </w:r>
      <w:r w:rsidRPr="00CF26C4">
        <w:rPr>
          <w:color w:val="auto"/>
        </w:rPr>
        <w:tab/>
        <w:t>Hasičská 930/53, 700 30 Ostrava – Hrabůvka</w:t>
      </w:r>
      <w:r w:rsidRPr="00CF26C4">
        <w:rPr>
          <w:color w:val="auto"/>
        </w:rPr>
        <w:br/>
        <w:t xml:space="preserve">IČ: </w:t>
      </w:r>
      <w:r w:rsidRPr="00CF26C4">
        <w:rPr>
          <w:color w:val="auto"/>
        </w:rPr>
        <w:tab/>
        <w:t>27396649</w:t>
      </w:r>
      <w:r w:rsidRPr="00CF26C4">
        <w:rPr>
          <w:color w:val="auto"/>
        </w:rPr>
        <w:br/>
        <w:t xml:space="preserve">DIČ: </w:t>
      </w:r>
      <w:r w:rsidRPr="00CF26C4">
        <w:rPr>
          <w:color w:val="auto"/>
        </w:rPr>
        <w:tab/>
        <w:t>CZ27396649</w:t>
      </w:r>
      <w:r w:rsidRPr="00CF26C4">
        <w:rPr>
          <w:color w:val="auto"/>
        </w:rPr>
        <w:br/>
        <w:t xml:space="preserve">Bankovní spojení: </w:t>
      </w:r>
      <w:r w:rsidRPr="00CF26C4">
        <w:rPr>
          <w:color w:val="auto"/>
        </w:rPr>
        <w:tab/>
        <w:t xml:space="preserve">účet č. </w:t>
      </w:r>
      <w:proofErr w:type="spellStart"/>
      <w:r w:rsidR="00760D88">
        <w:rPr>
          <w:color w:val="auto"/>
        </w:rPr>
        <w:t>xxx</w:t>
      </w:r>
      <w:proofErr w:type="spellEnd"/>
      <w:r w:rsidRPr="00CF26C4">
        <w:rPr>
          <w:color w:val="auto"/>
        </w:rPr>
        <w:br/>
        <w:t xml:space="preserve">Zastoupená: </w:t>
      </w:r>
      <w:r w:rsidRPr="00CF26C4">
        <w:rPr>
          <w:color w:val="auto"/>
        </w:rPr>
        <w:tab/>
        <w:t xml:space="preserve">Mgr. Romanem Grycem </w:t>
      </w:r>
      <w:r w:rsidRPr="00CF26C4">
        <w:rPr>
          <w:color w:val="auto"/>
        </w:rPr>
        <w:br/>
        <w:t>Odpovědný zaměstnanec:</w:t>
      </w:r>
      <w:r w:rsidRPr="00CF26C4">
        <w:rPr>
          <w:color w:val="auto"/>
        </w:rPr>
        <w:tab/>
      </w:r>
      <w:proofErr w:type="spellStart"/>
      <w:r w:rsidR="00760D88">
        <w:rPr>
          <w:color w:val="auto"/>
        </w:rPr>
        <w:t>xxx</w:t>
      </w:r>
      <w:proofErr w:type="spellEnd"/>
    </w:p>
    <w:p w14:paraId="3774F413" w14:textId="77777777" w:rsidR="00420746" w:rsidRPr="00CF26C4" w:rsidRDefault="00420746" w:rsidP="00420746">
      <w:pPr>
        <w:tabs>
          <w:tab w:val="left" w:pos="1701"/>
        </w:tabs>
        <w:jc w:val="left"/>
        <w:rPr>
          <w:color w:val="auto"/>
        </w:rPr>
      </w:pPr>
    </w:p>
    <w:p w14:paraId="4DDBAA52" w14:textId="54A0CA12" w:rsidR="00420746" w:rsidRPr="00CF26C4" w:rsidRDefault="00420746" w:rsidP="00420746">
      <w:pPr>
        <w:tabs>
          <w:tab w:val="left" w:pos="1701"/>
        </w:tabs>
        <w:jc w:val="left"/>
        <w:rPr>
          <w:color w:val="auto"/>
        </w:rPr>
      </w:pPr>
      <w:r w:rsidRPr="00CF26C4">
        <w:rPr>
          <w:color w:val="auto"/>
        </w:rPr>
        <w:t xml:space="preserve">každá samostatně dále též jako </w:t>
      </w:r>
      <w:r w:rsidRPr="00CF26C4">
        <w:rPr>
          <w:b/>
          <w:color w:val="auto"/>
        </w:rPr>
        <w:t>„Smluvní strana“</w:t>
      </w:r>
      <w:r w:rsidRPr="00CF26C4">
        <w:rPr>
          <w:color w:val="auto"/>
        </w:rPr>
        <w:t xml:space="preserve"> nebo </w:t>
      </w:r>
      <w:r w:rsidRPr="00CF26C4">
        <w:rPr>
          <w:b/>
          <w:color w:val="auto"/>
        </w:rPr>
        <w:t>„Strana“</w:t>
      </w:r>
      <w:r w:rsidRPr="00CF26C4">
        <w:rPr>
          <w:color w:val="auto"/>
        </w:rPr>
        <w:t>,</w:t>
      </w:r>
    </w:p>
    <w:p w14:paraId="7F21F429" w14:textId="77777777" w:rsidR="00420746" w:rsidRPr="00CF26C4" w:rsidRDefault="00420746" w:rsidP="00420746">
      <w:pPr>
        <w:tabs>
          <w:tab w:val="left" w:pos="1701"/>
        </w:tabs>
        <w:jc w:val="left"/>
        <w:rPr>
          <w:color w:val="auto"/>
        </w:rPr>
      </w:pPr>
      <w:r w:rsidRPr="00CF26C4">
        <w:rPr>
          <w:color w:val="auto"/>
        </w:rPr>
        <w:t xml:space="preserve">obě společně dále též jako </w:t>
      </w:r>
      <w:r w:rsidRPr="00CF26C4">
        <w:rPr>
          <w:b/>
          <w:color w:val="auto"/>
        </w:rPr>
        <w:t>„Smluvní strany“</w:t>
      </w:r>
      <w:r w:rsidRPr="00CF26C4">
        <w:rPr>
          <w:color w:val="auto"/>
        </w:rPr>
        <w:t xml:space="preserve"> nebo </w:t>
      </w:r>
      <w:r w:rsidRPr="00CF26C4">
        <w:rPr>
          <w:b/>
          <w:color w:val="auto"/>
        </w:rPr>
        <w:t>„Strany“</w:t>
      </w:r>
      <w:r w:rsidRPr="00CF26C4">
        <w:rPr>
          <w:color w:val="auto"/>
        </w:rPr>
        <w:t>.</w:t>
      </w:r>
    </w:p>
    <w:p w14:paraId="4CE18326" w14:textId="53F47032" w:rsidR="008063AA" w:rsidRPr="00CF26C4" w:rsidRDefault="008063AA" w:rsidP="006522BB">
      <w:pPr>
        <w:rPr>
          <w:color w:val="auto"/>
        </w:rPr>
      </w:pPr>
    </w:p>
    <w:p w14:paraId="1B1CA9AE" w14:textId="77777777" w:rsidR="00EE64BC" w:rsidRPr="00CF26C4" w:rsidRDefault="00EE64BC" w:rsidP="008516B3">
      <w:pPr>
        <w:pStyle w:val="Nadpis2"/>
        <w:rPr>
          <w:color w:val="auto"/>
        </w:rPr>
      </w:pPr>
      <w:r w:rsidRPr="00CF26C4">
        <w:rPr>
          <w:color w:val="auto"/>
        </w:rPr>
        <w:t>I.</w:t>
      </w:r>
      <w:r w:rsidRPr="00CF26C4">
        <w:rPr>
          <w:color w:val="auto"/>
        </w:rPr>
        <w:br/>
        <w:t>Předmět smlouvy</w:t>
      </w:r>
    </w:p>
    <w:p w14:paraId="394FF6DC" w14:textId="38F85A9A" w:rsidR="007E6AF4" w:rsidRPr="00CF26C4" w:rsidRDefault="00EE64BC" w:rsidP="007E6AF4">
      <w:pPr>
        <w:rPr>
          <w:bCs/>
          <w:color w:val="auto"/>
        </w:rPr>
      </w:pPr>
      <w:r w:rsidRPr="00CF26C4">
        <w:rPr>
          <w:color w:val="auto"/>
        </w:rPr>
        <w:t>1.</w:t>
      </w:r>
      <w:r w:rsidRPr="00CF26C4">
        <w:rPr>
          <w:color w:val="auto"/>
        </w:rPr>
        <w:tab/>
      </w:r>
      <w:r w:rsidR="007E6AF4" w:rsidRPr="00FC1EB9">
        <w:rPr>
          <w:color w:val="auto"/>
        </w:rPr>
        <w:t xml:space="preserve">Předmětem této Smlouvy je stanovení podmínek spolupráce </w:t>
      </w:r>
      <w:r w:rsidR="00911181" w:rsidRPr="00FC1EB9">
        <w:rPr>
          <w:color w:val="auto"/>
        </w:rPr>
        <w:t>S</w:t>
      </w:r>
      <w:r w:rsidR="007E6AF4" w:rsidRPr="00FC1EB9">
        <w:rPr>
          <w:color w:val="auto"/>
        </w:rPr>
        <w:t xml:space="preserve">mluvních stran na řešení projektu z oblasti výzkumu a vývoje </w:t>
      </w:r>
      <w:r w:rsidR="007E6AF4" w:rsidRPr="00080937">
        <w:rPr>
          <w:bCs/>
          <w:color w:val="auto"/>
        </w:rPr>
        <w:t xml:space="preserve">předkládaného v mezinárodní výzvě </w:t>
      </w:r>
      <w:r w:rsidR="009A27D5" w:rsidRPr="00080937">
        <w:rPr>
          <w:bCs/>
          <w:color w:val="auto"/>
        </w:rPr>
        <w:t>„</w:t>
      </w:r>
      <w:r w:rsidR="00E85325" w:rsidRPr="00080937">
        <w:rPr>
          <w:bCs/>
          <w:color w:val="auto"/>
        </w:rPr>
        <w:t xml:space="preserve">ERA-Net SES </w:t>
      </w:r>
      <w:proofErr w:type="spellStart"/>
      <w:r w:rsidR="00E85325" w:rsidRPr="00080937">
        <w:rPr>
          <w:bCs/>
          <w:color w:val="auto"/>
        </w:rPr>
        <w:t>EnerDigit</w:t>
      </w:r>
      <w:proofErr w:type="spellEnd"/>
      <w:r w:rsidR="00E85325" w:rsidRPr="00080937">
        <w:rPr>
          <w:bCs/>
          <w:color w:val="auto"/>
        </w:rPr>
        <w:t xml:space="preserve"> </w:t>
      </w:r>
      <w:proofErr w:type="spellStart"/>
      <w:r w:rsidR="00E85325" w:rsidRPr="00080937">
        <w:rPr>
          <w:bCs/>
          <w:color w:val="auto"/>
        </w:rPr>
        <w:t>Additional</w:t>
      </w:r>
      <w:proofErr w:type="spellEnd"/>
      <w:r w:rsidR="00E85325" w:rsidRPr="00080937">
        <w:rPr>
          <w:bCs/>
          <w:color w:val="auto"/>
        </w:rPr>
        <w:t xml:space="preserve"> Joint Call</w:t>
      </w:r>
      <w:r w:rsidR="00E85325" w:rsidRPr="004A2C39">
        <w:rPr>
          <w:bCs/>
          <w:color w:val="auto"/>
        </w:rPr>
        <w:t xml:space="preserve"> 2023“ (dále též jako „Výzva“</w:t>
      </w:r>
      <w:r w:rsidR="00D27502" w:rsidRPr="004A2C39">
        <w:rPr>
          <w:bCs/>
          <w:color w:val="auto"/>
        </w:rPr>
        <w:t xml:space="preserve">) </w:t>
      </w:r>
      <w:r w:rsidR="007E6AF4" w:rsidRPr="004A2C39">
        <w:rPr>
          <w:color w:val="auto"/>
        </w:rPr>
        <w:t xml:space="preserve">Technologické agentury České republiky (dále </w:t>
      </w:r>
      <w:r w:rsidR="00D27502" w:rsidRPr="004A2C39">
        <w:rPr>
          <w:color w:val="auto"/>
        </w:rPr>
        <w:t>též jako</w:t>
      </w:r>
      <w:r w:rsidR="007E6AF4" w:rsidRPr="004A2C39">
        <w:rPr>
          <w:color w:val="auto"/>
        </w:rPr>
        <w:t xml:space="preserve"> „</w:t>
      </w:r>
      <w:r w:rsidR="007E6AF4" w:rsidRPr="00FC1EB9">
        <w:rPr>
          <w:color w:val="auto"/>
        </w:rPr>
        <w:t>Poskytovatel“ nebo „TA</w:t>
      </w:r>
      <w:r w:rsidR="00D27502" w:rsidRPr="00FC1EB9">
        <w:rPr>
          <w:color w:val="auto"/>
        </w:rPr>
        <w:t xml:space="preserve"> </w:t>
      </w:r>
      <w:r w:rsidR="007E6AF4" w:rsidRPr="00FC1EB9">
        <w:rPr>
          <w:color w:val="auto"/>
        </w:rPr>
        <w:t xml:space="preserve">ČR“). Řešení projektu dle této Smlouvy představuje část celkového </w:t>
      </w:r>
      <w:r w:rsidR="00D27502" w:rsidRPr="00FC1EB9">
        <w:rPr>
          <w:color w:val="auto"/>
        </w:rPr>
        <w:t xml:space="preserve">řešení </w:t>
      </w:r>
      <w:r w:rsidR="00080937">
        <w:rPr>
          <w:color w:val="auto"/>
        </w:rPr>
        <w:t xml:space="preserve">rozsáhlého </w:t>
      </w:r>
      <w:r w:rsidR="007E6AF4" w:rsidRPr="00080937">
        <w:rPr>
          <w:color w:val="auto"/>
        </w:rPr>
        <w:t xml:space="preserve">projektu předkládaného </w:t>
      </w:r>
      <w:r w:rsidR="00AF3E6E" w:rsidRPr="00080937">
        <w:rPr>
          <w:color w:val="auto"/>
        </w:rPr>
        <w:t xml:space="preserve">v rámci Výzvy </w:t>
      </w:r>
      <w:r w:rsidR="00080937" w:rsidRPr="00080937">
        <w:rPr>
          <w:color w:val="auto"/>
        </w:rPr>
        <w:t>mezinárodní</w:t>
      </w:r>
      <w:r w:rsidR="00080937">
        <w:rPr>
          <w:color w:val="auto"/>
        </w:rPr>
        <w:t>m</w:t>
      </w:r>
      <w:r w:rsidR="00080937" w:rsidRPr="00080937">
        <w:rPr>
          <w:color w:val="auto"/>
        </w:rPr>
        <w:t xml:space="preserve"> </w:t>
      </w:r>
      <w:r w:rsidR="007E6AF4" w:rsidRPr="00080937">
        <w:rPr>
          <w:color w:val="auto"/>
        </w:rPr>
        <w:t>konsorciem účastníků</w:t>
      </w:r>
      <w:r w:rsidR="00BB1EE1" w:rsidRPr="00080937">
        <w:rPr>
          <w:color w:val="auto"/>
        </w:rPr>
        <w:t>,</w:t>
      </w:r>
      <w:r w:rsidR="007E6AF4" w:rsidRPr="00080937">
        <w:rPr>
          <w:color w:val="auto"/>
        </w:rPr>
        <w:t xml:space="preserve"> řešenou Smluvními stranami z</w:t>
      </w:r>
      <w:r w:rsidR="00AF3E6E" w:rsidRPr="00080937">
        <w:rPr>
          <w:color w:val="auto"/>
        </w:rPr>
        <w:t>a</w:t>
      </w:r>
      <w:r w:rsidR="007E6AF4" w:rsidRPr="00080937">
        <w:rPr>
          <w:color w:val="auto"/>
        </w:rPr>
        <w:t xml:space="preserve"> Česk</w:t>
      </w:r>
      <w:r w:rsidR="00AF3E6E" w:rsidRPr="00080937">
        <w:rPr>
          <w:color w:val="auto"/>
        </w:rPr>
        <w:t>ou</w:t>
      </w:r>
      <w:r w:rsidR="007E6AF4" w:rsidRPr="00080937">
        <w:rPr>
          <w:color w:val="auto"/>
        </w:rPr>
        <w:t xml:space="preserve"> republik</w:t>
      </w:r>
      <w:r w:rsidR="00AF3E6E" w:rsidRPr="00080937">
        <w:rPr>
          <w:color w:val="auto"/>
        </w:rPr>
        <w:t>u</w:t>
      </w:r>
      <w:r w:rsidR="007E6AF4" w:rsidRPr="00080937">
        <w:rPr>
          <w:color w:val="auto"/>
        </w:rPr>
        <w:t>.</w:t>
      </w:r>
    </w:p>
    <w:p w14:paraId="46002CEA" w14:textId="2AA80525" w:rsidR="00EE64BC" w:rsidRPr="00CF26C4" w:rsidRDefault="00EE64BC" w:rsidP="00EE64BC">
      <w:pPr>
        <w:rPr>
          <w:color w:val="auto"/>
        </w:rPr>
      </w:pPr>
      <w:r w:rsidRPr="00CF26C4">
        <w:rPr>
          <w:color w:val="auto"/>
        </w:rPr>
        <w:t>2.</w:t>
      </w:r>
      <w:r w:rsidRPr="00CF26C4">
        <w:rPr>
          <w:color w:val="auto"/>
        </w:rPr>
        <w:tab/>
        <w:t xml:space="preserve">Identifikace </w:t>
      </w:r>
      <w:r w:rsidR="004A2C39" w:rsidRPr="002E09FA">
        <w:rPr>
          <w:color w:val="auto"/>
        </w:rPr>
        <w:t>p</w:t>
      </w:r>
      <w:r w:rsidRPr="00CF26C4">
        <w:rPr>
          <w:color w:val="auto"/>
        </w:rPr>
        <w:t>rojektu:</w:t>
      </w:r>
    </w:p>
    <w:p w14:paraId="0FC7F3E3" w14:textId="25D982B7" w:rsidR="00EE64BC" w:rsidRPr="00CF26C4" w:rsidRDefault="00EE64BC" w:rsidP="0049304B">
      <w:pPr>
        <w:tabs>
          <w:tab w:val="clear" w:pos="425"/>
        </w:tabs>
        <w:ind w:left="630" w:hanging="630"/>
        <w:rPr>
          <w:color w:val="auto"/>
        </w:rPr>
      </w:pPr>
      <w:r w:rsidRPr="00CF26C4">
        <w:rPr>
          <w:color w:val="auto"/>
        </w:rPr>
        <w:t>Název:</w:t>
      </w:r>
      <w:r w:rsidR="0049304B" w:rsidRPr="00CF26C4">
        <w:rPr>
          <w:color w:val="auto"/>
        </w:rPr>
        <w:t xml:space="preserve"> </w:t>
      </w:r>
      <w:r w:rsidR="0049304B" w:rsidRPr="00CF26C4">
        <w:rPr>
          <w:b/>
          <w:color w:val="auto"/>
        </w:rPr>
        <w:t>Fúze informací z datových zdrojů v reálném čase pro energetický management v rozvíjejících se elektroenergetických sítích </w:t>
      </w:r>
    </w:p>
    <w:p w14:paraId="04E40E01" w14:textId="2BC33BA9" w:rsidR="00EE64BC" w:rsidRPr="00CF26C4" w:rsidRDefault="00EE64BC" w:rsidP="00EE64BC">
      <w:pPr>
        <w:rPr>
          <w:color w:val="auto"/>
        </w:rPr>
      </w:pPr>
      <w:proofErr w:type="spellStart"/>
      <w:r w:rsidRPr="00CF26C4">
        <w:rPr>
          <w:color w:val="auto"/>
        </w:rPr>
        <w:t>Reg</w:t>
      </w:r>
      <w:proofErr w:type="spellEnd"/>
      <w:r w:rsidRPr="00CF26C4">
        <w:rPr>
          <w:color w:val="auto"/>
        </w:rPr>
        <w:t>.</w:t>
      </w:r>
      <w:r w:rsidR="00DD4F56" w:rsidRPr="00CF26C4">
        <w:rPr>
          <w:color w:val="auto"/>
        </w:rPr>
        <w:t xml:space="preserve"> </w:t>
      </w:r>
      <w:r w:rsidRPr="00CF26C4">
        <w:rPr>
          <w:color w:val="auto"/>
        </w:rPr>
        <w:t xml:space="preserve">č.: </w:t>
      </w:r>
      <w:r w:rsidR="0049304B" w:rsidRPr="00CF26C4">
        <w:rPr>
          <w:b/>
          <w:color w:val="auto"/>
        </w:rPr>
        <w:t>TH89020002</w:t>
      </w:r>
    </w:p>
    <w:p w14:paraId="5F787BFD" w14:textId="77777777" w:rsidR="0049304B" w:rsidRPr="00CF26C4" w:rsidRDefault="0049304B" w:rsidP="0049304B">
      <w:pPr>
        <w:rPr>
          <w:b/>
          <w:color w:val="auto"/>
        </w:rPr>
      </w:pPr>
      <w:r w:rsidRPr="00CF26C4">
        <w:rPr>
          <w:color w:val="auto"/>
        </w:rPr>
        <w:t xml:space="preserve">dále též jako </w:t>
      </w:r>
      <w:r w:rsidRPr="00CF26C4">
        <w:rPr>
          <w:b/>
          <w:color w:val="auto"/>
        </w:rPr>
        <w:t>„Projekt“.</w:t>
      </w:r>
    </w:p>
    <w:p w14:paraId="3BF9FB3B" w14:textId="77777777" w:rsidR="00EE64BC" w:rsidRPr="00CF26C4" w:rsidRDefault="00EE64BC" w:rsidP="00EE64BC">
      <w:pPr>
        <w:rPr>
          <w:color w:val="auto"/>
        </w:rPr>
      </w:pPr>
    </w:p>
    <w:p w14:paraId="0027C920" w14:textId="77777777" w:rsidR="00EE64BC" w:rsidRPr="00CF26C4" w:rsidRDefault="00EE64BC" w:rsidP="008516B3">
      <w:pPr>
        <w:pStyle w:val="Nadpis2"/>
        <w:rPr>
          <w:color w:val="auto"/>
        </w:rPr>
      </w:pPr>
      <w:r w:rsidRPr="00CF26C4">
        <w:rPr>
          <w:color w:val="auto"/>
        </w:rPr>
        <w:t>II.</w:t>
      </w:r>
      <w:r w:rsidRPr="00CF26C4">
        <w:rPr>
          <w:color w:val="auto"/>
        </w:rPr>
        <w:br/>
        <w:t>Řešení projektu</w:t>
      </w:r>
    </w:p>
    <w:p w14:paraId="115B7711" w14:textId="5BB9874A" w:rsidR="00EE64BC" w:rsidRPr="00CF26C4" w:rsidRDefault="00EE64BC" w:rsidP="00EE64BC">
      <w:pPr>
        <w:rPr>
          <w:color w:val="auto"/>
        </w:rPr>
      </w:pPr>
      <w:r w:rsidRPr="00CF26C4">
        <w:rPr>
          <w:color w:val="auto"/>
        </w:rPr>
        <w:t>1.</w:t>
      </w:r>
      <w:r w:rsidRPr="00CF26C4">
        <w:rPr>
          <w:color w:val="auto"/>
        </w:rPr>
        <w:tab/>
      </w:r>
      <w:r w:rsidRPr="00CF26C4">
        <w:rPr>
          <w:b/>
          <w:color w:val="auto"/>
        </w:rPr>
        <w:t xml:space="preserve">Řešení </w:t>
      </w:r>
      <w:r w:rsidR="0049304B" w:rsidRPr="00CF26C4">
        <w:rPr>
          <w:b/>
          <w:color w:val="auto"/>
        </w:rPr>
        <w:t>P</w:t>
      </w:r>
      <w:r w:rsidRPr="00CF26C4">
        <w:rPr>
          <w:b/>
          <w:color w:val="auto"/>
        </w:rPr>
        <w:t>rojektu</w:t>
      </w:r>
      <w:r w:rsidRPr="00CF26C4">
        <w:rPr>
          <w:color w:val="auto"/>
        </w:rPr>
        <w:t xml:space="preserve"> je rozloženo do období od </w:t>
      </w:r>
      <w:r w:rsidR="0049304B" w:rsidRPr="00CF26C4">
        <w:rPr>
          <w:color w:val="auto"/>
        </w:rPr>
        <w:t>03/2024</w:t>
      </w:r>
      <w:r w:rsidRPr="00CF26C4">
        <w:rPr>
          <w:color w:val="auto"/>
        </w:rPr>
        <w:t xml:space="preserve"> do </w:t>
      </w:r>
      <w:r w:rsidR="0049304B" w:rsidRPr="00CF26C4">
        <w:rPr>
          <w:color w:val="auto"/>
        </w:rPr>
        <w:t>02/2026.</w:t>
      </w:r>
    </w:p>
    <w:p w14:paraId="7CF3819E" w14:textId="751BA6FC" w:rsidR="00EE64BC" w:rsidRDefault="00EE64BC" w:rsidP="00EE64BC">
      <w:pPr>
        <w:rPr>
          <w:color w:val="auto"/>
        </w:rPr>
      </w:pPr>
      <w:r w:rsidRPr="00CF26C4">
        <w:rPr>
          <w:color w:val="auto"/>
        </w:rPr>
        <w:t>2.</w:t>
      </w:r>
      <w:r w:rsidRPr="00CF26C4">
        <w:rPr>
          <w:color w:val="auto"/>
        </w:rPr>
        <w:tab/>
      </w:r>
      <w:r w:rsidRPr="00CF26C4">
        <w:rPr>
          <w:b/>
          <w:color w:val="auto"/>
        </w:rPr>
        <w:t xml:space="preserve">Předmětem řešení </w:t>
      </w:r>
      <w:r w:rsidR="0049304B" w:rsidRPr="00CF26C4">
        <w:rPr>
          <w:b/>
          <w:color w:val="auto"/>
        </w:rPr>
        <w:t>P</w:t>
      </w:r>
      <w:r w:rsidRPr="00CF26C4">
        <w:rPr>
          <w:b/>
          <w:color w:val="auto"/>
        </w:rPr>
        <w:t>rojektu</w:t>
      </w:r>
      <w:r w:rsidRPr="00CF26C4">
        <w:rPr>
          <w:color w:val="auto"/>
        </w:rPr>
        <w:t xml:space="preserve"> je </w:t>
      </w:r>
      <w:r w:rsidR="00C451BF" w:rsidRPr="00CF26C4">
        <w:rPr>
          <w:color w:val="auto"/>
        </w:rPr>
        <w:t>vývoj nástroje pro využití dat z PMU pro optimalizaci sítě vysokého napětí.</w:t>
      </w:r>
    </w:p>
    <w:p w14:paraId="40E208C2" w14:textId="23B6827A" w:rsidR="003B14DC" w:rsidRPr="00CF26C4" w:rsidRDefault="00EB2572" w:rsidP="0057612E">
      <w:pPr>
        <w:ind w:firstLine="1"/>
        <w:rPr>
          <w:color w:val="auto"/>
        </w:rPr>
      </w:pPr>
      <w:r w:rsidRPr="003B4D90">
        <w:rPr>
          <w:b/>
          <w:color w:val="auto"/>
          <w:u w:val="single"/>
        </w:rPr>
        <w:t>Pozn.:</w:t>
      </w:r>
      <w:r>
        <w:rPr>
          <w:color w:val="auto"/>
        </w:rPr>
        <w:t xml:space="preserve"> Zkratk</w:t>
      </w:r>
      <w:r w:rsidR="0057612E">
        <w:rPr>
          <w:color w:val="auto"/>
        </w:rPr>
        <w:t>ou</w:t>
      </w:r>
      <w:r>
        <w:rPr>
          <w:color w:val="auto"/>
        </w:rPr>
        <w:t xml:space="preserve"> PMU </w:t>
      </w:r>
      <w:r w:rsidR="0057612E">
        <w:rPr>
          <w:color w:val="auto"/>
        </w:rPr>
        <w:t>se</w:t>
      </w:r>
      <w:r>
        <w:rPr>
          <w:color w:val="auto"/>
        </w:rPr>
        <w:t xml:space="preserve"> označují </w:t>
      </w:r>
      <w:r>
        <w:t>fázorov</w:t>
      </w:r>
      <w:r w:rsidR="0057612E">
        <w:t>é</w:t>
      </w:r>
      <w:r>
        <w:t xml:space="preserve"> měřící jednotk</w:t>
      </w:r>
      <w:r>
        <w:rPr>
          <w:color w:val="auto"/>
        </w:rPr>
        <w:t>y (</w:t>
      </w:r>
      <w:r w:rsidR="00CB029B">
        <w:rPr>
          <w:color w:val="auto"/>
        </w:rPr>
        <w:t xml:space="preserve">angl. </w:t>
      </w:r>
      <w:proofErr w:type="spellStart"/>
      <w:r w:rsidRPr="00EB2572">
        <w:rPr>
          <w:color w:val="auto"/>
        </w:rPr>
        <w:t>Phasor</w:t>
      </w:r>
      <w:proofErr w:type="spellEnd"/>
      <w:r w:rsidRPr="00EB2572">
        <w:rPr>
          <w:color w:val="auto"/>
        </w:rPr>
        <w:t xml:space="preserve"> </w:t>
      </w:r>
      <w:proofErr w:type="spellStart"/>
      <w:r w:rsidRPr="00EB2572">
        <w:rPr>
          <w:color w:val="auto"/>
        </w:rPr>
        <w:t>Measurement</w:t>
      </w:r>
      <w:proofErr w:type="spellEnd"/>
      <w:r w:rsidRPr="00EB2572">
        <w:rPr>
          <w:color w:val="auto"/>
        </w:rPr>
        <w:t xml:space="preserve"> Unit</w:t>
      </w:r>
      <w:r>
        <w:rPr>
          <w:color w:val="auto"/>
        </w:rPr>
        <w:t>)</w:t>
      </w:r>
      <w:r w:rsidR="003B4D90">
        <w:rPr>
          <w:color w:val="auto"/>
        </w:rPr>
        <w:t>.</w:t>
      </w:r>
    </w:p>
    <w:p w14:paraId="24C08CAF" w14:textId="0762DED9" w:rsidR="00EE64BC" w:rsidRPr="00CF26C4" w:rsidRDefault="00EE64BC" w:rsidP="00EE64BC">
      <w:pPr>
        <w:rPr>
          <w:color w:val="auto"/>
        </w:rPr>
      </w:pPr>
      <w:r w:rsidRPr="00CF26C4">
        <w:rPr>
          <w:color w:val="auto"/>
        </w:rPr>
        <w:t>3.</w:t>
      </w:r>
      <w:r w:rsidRPr="00CF26C4">
        <w:rPr>
          <w:color w:val="auto"/>
        </w:rPr>
        <w:tab/>
      </w:r>
      <w:r w:rsidRPr="00CF26C4">
        <w:rPr>
          <w:b/>
          <w:color w:val="auto"/>
        </w:rPr>
        <w:t>Cíl</w:t>
      </w:r>
      <w:r w:rsidRPr="002E09FA">
        <w:rPr>
          <w:b/>
          <w:color w:val="auto"/>
        </w:rPr>
        <w:t>e</w:t>
      </w:r>
      <w:r w:rsidR="00AF131A" w:rsidRPr="002E09FA">
        <w:rPr>
          <w:b/>
          <w:color w:val="auto"/>
        </w:rPr>
        <w:t>m</w:t>
      </w:r>
      <w:r w:rsidRPr="002E09FA">
        <w:rPr>
          <w:b/>
          <w:color w:val="auto"/>
        </w:rPr>
        <w:t xml:space="preserve"> </w:t>
      </w:r>
      <w:r w:rsidR="00587654" w:rsidRPr="002E09FA">
        <w:rPr>
          <w:b/>
          <w:color w:val="auto"/>
        </w:rPr>
        <w:t>P</w:t>
      </w:r>
      <w:r w:rsidRPr="002E09FA">
        <w:rPr>
          <w:b/>
          <w:color w:val="auto"/>
        </w:rPr>
        <w:t>rojektu</w:t>
      </w:r>
      <w:r w:rsidR="00BA1717" w:rsidRPr="00CF26C4">
        <w:rPr>
          <w:color w:val="auto"/>
        </w:rPr>
        <w:t xml:space="preserve"> je vývoj nových technických nástrojů, které jsou spjaté s potřebou mapování provozu před rekonfigurací soustavy vysokého napětí (VN) a které umožní realizovat potřebnou analýzu/kontrolu možnosti vzájemného propojení 2 napájených oblastí (např. </w:t>
      </w:r>
      <w:proofErr w:type="spellStart"/>
      <w:r w:rsidR="00BA1717" w:rsidRPr="00CF26C4">
        <w:rPr>
          <w:color w:val="auto"/>
        </w:rPr>
        <w:t>zkruhování</w:t>
      </w:r>
      <w:proofErr w:type="spellEnd"/>
      <w:r w:rsidR="00BA1717" w:rsidRPr="00CF26C4">
        <w:rPr>
          <w:color w:val="auto"/>
        </w:rPr>
        <w:t xml:space="preserve"> vývodů, připojení ostrovní oblasti k synchronní soustavě), aby při vzájemném propojení těchto oblastí byla zachována stabilita provozu distribuční sítě. Současně bude možné např. zobrazit předmětné části soustavy VN v mapovém podkladu, posoudit napěťové poměry mezi vybranými měřícími body či bude vyvinut modul pro estimaci kruhových toků, které by vznikly po vzájemném propojení oddělených oblastí VN soustavy. Vyvinuté nástroje budou využity konkrétně pro bezpečné připojování oddělených oblastí distribučních sítí a ostrovních oblastí, což povede ke zvýšení provozní spolehlivosti, operability, monitoringu a bezpečnosti těchto síťových systémů a</w:t>
      </w:r>
      <w:r w:rsidR="00831D43" w:rsidRPr="00CF26C4">
        <w:rPr>
          <w:color w:val="auto"/>
        </w:rPr>
        <w:t> </w:t>
      </w:r>
      <w:r w:rsidR="00BA1717" w:rsidRPr="00CF26C4">
        <w:rPr>
          <w:color w:val="auto"/>
        </w:rPr>
        <w:t>technicky podpoří i další rozvoj a zavedení chytrých sítí.</w:t>
      </w:r>
    </w:p>
    <w:p w14:paraId="5DA306B3" w14:textId="6CA29785" w:rsidR="007D28A7" w:rsidRPr="00CF26C4" w:rsidRDefault="00EE64BC" w:rsidP="00EE64BC">
      <w:pPr>
        <w:rPr>
          <w:color w:val="auto"/>
        </w:rPr>
      </w:pPr>
      <w:r w:rsidRPr="00CF26C4">
        <w:rPr>
          <w:color w:val="auto"/>
        </w:rPr>
        <w:t>4.</w:t>
      </w:r>
      <w:r w:rsidRPr="00CF26C4">
        <w:rPr>
          <w:color w:val="auto"/>
        </w:rPr>
        <w:tab/>
        <w:t>Předpokládan</w:t>
      </w:r>
      <w:r w:rsidR="007D28A7" w:rsidRPr="00CF26C4">
        <w:rPr>
          <w:color w:val="auto"/>
        </w:rPr>
        <w:t xml:space="preserve">ými </w:t>
      </w:r>
      <w:r w:rsidR="007D28A7" w:rsidRPr="00CF26C4">
        <w:rPr>
          <w:b/>
          <w:color w:val="auto"/>
        </w:rPr>
        <w:t>výsledky Projektu</w:t>
      </w:r>
      <w:r w:rsidR="007D28A7" w:rsidRPr="00CF26C4">
        <w:rPr>
          <w:color w:val="auto"/>
        </w:rPr>
        <w:t xml:space="preserve"> jsou</w:t>
      </w:r>
      <w:r w:rsidRPr="00CF26C4">
        <w:rPr>
          <w:color w:val="auto"/>
        </w:rPr>
        <w:t>:</w:t>
      </w:r>
    </w:p>
    <w:tbl>
      <w:tblPr>
        <w:tblStyle w:val="Mkatabulky"/>
        <w:tblW w:w="0" w:type="auto"/>
        <w:tblInd w:w="421" w:type="dxa"/>
        <w:tblLook w:val="04A0" w:firstRow="1" w:lastRow="0" w:firstColumn="1" w:lastColumn="0" w:noHBand="0" w:noVBand="1"/>
      </w:tblPr>
      <w:tblGrid>
        <w:gridCol w:w="2551"/>
        <w:gridCol w:w="6084"/>
      </w:tblGrid>
      <w:tr w:rsidR="00CF26C4" w:rsidRPr="00CF26C4" w14:paraId="249CCA08" w14:textId="77777777" w:rsidTr="00831D43">
        <w:tc>
          <w:tcPr>
            <w:tcW w:w="2551" w:type="dxa"/>
            <w:shd w:val="clear" w:color="auto" w:fill="D9D9D9" w:themeFill="background1" w:themeFillShade="D9"/>
            <w:vAlign w:val="center"/>
          </w:tcPr>
          <w:p w14:paraId="7290A21F" w14:textId="77777777" w:rsidR="007D28A7" w:rsidRPr="00CF26C4" w:rsidRDefault="007D28A7" w:rsidP="006C04DC">
            <w:pPr>
              <w:spacing w:after="0"/>
              <w:ind w:left="0" w:firstLine="0"/>
              <w:jc w:val="center"/>
              <w:rPr>
                <w:b/>
                <w:color w:val="auto"/>
              </w:rPr>
            </w:pPr>
            <w:r w:rsidRPr="00CF26C4">
              <w:rPr>
                <w:b/>
                <w:color w:val="auto"/>
              </w:rPr>
              <w:t>Druh výsledku</w:t>
            </w:r>
          </w:p>
        </w:tc>
        <w:tc>
          <w:tcPr>
            <w:tcW w:w="6084" w:type="dxa"/>
            <w:shd w:val="clear" w:color="auto" w:fill="D9D9D9" w:themeFill="background1" w:themeFillShade="D9"/>
          </w:tcPr>
          <w:p w14:paraId="31A867A4" w14:textId="77777777" w:rsidR="007D28A7" w:rsidRPr="00CF26C4" w:rsidRDefault="007D28A7" w:rsidP="006C04DC">
            <w:pPr>
              <w:spacing w:after="0"/>
              <w:ind w:left="0" w:firstLine="0"/>
              <w:rPr>
                <w:b/>
                <w:color w:val="auto"/>
              </w:rPr>
            </w:pPr>
            <w:r w:rsidRPr="00CF26C4">
              <w:rPr>
                <w:b/>
                <w:color w:val="auto"/>
              </w:rPr>
              <w:t>Popis</w:t>
            </w:r>
          </w:p>
        </w:tc>
      </w:tr>
      <w:tr w:rsidR="00CF26C4" w:rsidRPr="00CF26C4" w14:paraId="0145E6C3" w14:textId="77777777" w:rsidTr="00831D43">
        <w:tc>
          <w:tcPr>
            <w:tcW w:w="2551" w:type="dxa"/>
            <w:vAlign w:val="center"/>
          </w:tcPr>
          <w:p w14:paraId="2DFF6B60" w14:textId="77777777" w:rsidR="007D28A7" w:rsidRPr="00CF26C4" w:rsidRDefault="007D28A7" w:rsidP="006C04DC">
            <w:pPr>
              <w:spacing w:after="0"/>
              <w:ind w:left="0" w:firstLine="0"/>
              <w:jc w:val="center"/>
              <w:rPr>
                <w:color w:val="auto"/>
              </w:rPr>
            </w:pPr>
            <w:r w:rsidRPr="00CF26C4">
              <w:rPr>
                <w:b/>
                <w:color w:val="auto"/>
              </w:rPr>
              <w:t>R</w:t>
            </w:r>
            <w:r w:rsidRPr="00CF26C4">
              <w:rPr>
                <w:color w:val="auto"/>
              </w:rPr>
              <w:t xml:space="preserve"> – Software</w:t>
            </w:r>
          </w:p>
        </w:tc>
        <w:tc>
          <w:tcPr>
            <w:tcW w:w="6084" w:type="dxa"/>
          </w:tcPr>
          <w:p w14:paraId="3AC70CE1" w14:textId="4E0B9560" w:rsidR="007D28A7" w:rsidRPr="00CF26C4" w:rsidRDefault="007D28A7" w:rsidP="006C04DC">
            <w:pPr>
              <w:spacing w:after="0"/>
              <w:ind w:left="0" w:firstLine="0"/>
              <w:rPr>
                <w:color w:val="auto"/>
              </w:rPr>
            </w:pPr>
            <w:r w:rsidRPr="00CF26C4">
              <w:rPr>
                <w:color w:val="auto"/>
              </w:rPr>
              <w:t>Aplikace využívající data z PMU pro podporu řízení provozu soustavy VN</w:t>
            </w:r>
          </w:p>
        </w:tc>
      </w:tr>
      <w:tr w:rsidR="0095435C" w:rsidRPr="00CF26C4" w14:paraId="361B6CDF" w14:textId="77777777" w:rsidTr="00831D43">
        <w:tc>
          <w:tcPr>
            <w:tcW w:w="2551" w:type="dxa"/>
            <w:vAlign w:val="center"/>
          </w:tcPr>
          <w:p w14:paraId="500FEE08" w14:textId="77777777" w:rsidR="007D28A7" w:rsidRPr="00CF26C4" w:rsidRDefault="007D28A7" w:rsidP="006C04DC">
            <w:pPr>
              <w:spacing w:after="0"/>
              <w:ind w:left="0" w:firstLine="0"/>
              <w:jc w:val="center"/>
              <w:rPr>
                <w:color w:val="auto"/>
              </w:rPr>
            </w:pPr>
            <w:proofErr w:type="spellStart"/>
            <w:r w:rsidRPr="00CF26C4">
              <w:rPr>
                <w:b/>
                <w:color w:val="auto"/>
              </w:rPr>
              <w:t>Zpolop</w:t>
            </w:r>
            <w:proofErr w:type="spellEnd"/>
            <w:r w:rsidRPr="00CF26C4">
              <w:rPr>
                <w:color w:val="auto"/>
              </w:rPr>
              <w:t xml:space="preserve"> – Poloprovoz</w:t>
            </w:r>
          </w:p>
        </w:tc>
        <w:tc>
          <w:tcPr>
            <w:tcW w:w="6084" w:type="dxa"/>
          </w:tcPr>
          <w:p w14:paraId="0E2B81B3" w14:textId="3C90EDA3" w:rsidR="007D28A7" w:rsidRPr="00CF26C4" w:rsidRDefault="007D28A7" w:rsidP="006C04DC">
            <w:pPr>
              <w:spacing w:after="0"/>
              <w:ind w:left="0" w:firstLine="0"/>
              <w:rPr>
                <w:color w:val="auto"/>
              </w:rPr>
            </w:pPr>
            <w:r w:rsidRPr="00CF26C4">
              <w:rPr>
                <w:color w:val="auto"/>
              </w:rPr>
              <w:t xml:space="preserve">Ověření </w:t>
            </w:r>
            <w:r w:rsidR="009F010A">
              <w:rPr>
                <w:color w:val="auto"/>
              </w:rPr>
              <w:t>fun</w:t>
            </w:r>
            <w:r w:rsidR="00E72FD6">
              <w:rPr>
                <w:color w:val="auto"/>
              </w:rPr>
              <w:t xml:space="preserve">kčnosti </w:t>
            </w:r>
            <w:r w:rsidRPr="00CF26C4">
              <w:rPr>
                <w:color w:val="auto"/>
              </w:rPr>
              <w:t>aplikace využívající data z PMU v rámci reálného provozu kompenzované soustavy VN</w:t>
            </w:r>
          </w:p>
        </w:tc>
      </w:tr>
    </w:tbl>
    <w:p w14:paraId="3B24F36D" w14:textId="77777777" w:rsidR="007D28A7" w:rsidRPr="00CF26C4" w:rsidRDefault="007D28A7" w:rsidP="00EE64BC">
      <w:pPr>
        <w:rPr>
          <w:color w:val="auto"/>
        </w:rPr>
      </w:pPr>
    </w:p>
    <w:p w14:paraId="365DC439" w14:textId="3FE79BC7" w:rsidR="00EE64BC" w:rsidRPr="002E09FA" w:rsidRDefault="00EE64BC" w:rsidP="00EE64BC">
      <w:pPr>
        <w:rPr>
          <w:color w:val="auto"/>
        </w:rPr>
      </w:pPr>
      <w:r w:rsidRPr="00CF26C4">
        <w:rPr>
          <w:color w:val="auto"/>
        </w:rPr>
        <w:t>5.</w:t>
      </w:r>
      <w:r w:rsidRPr="00CF26C4">
        <w:rPr>
          <w:color w:val="auto"/>
        </w:rPr>
        <w:tab/>
        <w:t xml:space="preserve">Za </w:t>
      </w:r>
      <w:r w:rsidRPr="00CF26C4">
        <w:rPr>
          <w:b/>
          <w:color w:val="auto"/>
        </w:rPr>
        <w:t xml:space="preserve">řízení </w:t>
      </w:r>
      <w:r w:rsidR="007D28A7" w:rsidRPr="00CF26C4">
        <w:rPr>
          <w:b/>
          <w:color w:val="auto"/>
        </w:rPr>
        <w:t>P</w:t>
      </w:r>
      <w:r w:rsidRPr="00CF26C4">
        <w:rPr>
          <w:b/>
          <w:color w:val="auto"/>
        </w:rPr>
        <w:t>rojektu</w:t>
      </w:r>
      <w:r w:rsidRPr="00CF26C4">
        <w:rPr>
          <w:color w:val="auto"/>
        </w:rPr>
        <w:t xml:space="preserve"> je </w:t>
      </w:r>
      <w:r w:rsidRPr="002E09FA">
        <w:rPr>
          <w:color w:val="auto"/>
        </w:rPr>
        <w:t xml:space="preserve">odpovědný </w:t>
      </w:r>
      <w:r w:rsidR="0007547B" w:rsidRPr="002E09FA">
        <w:rPr>
          <w:color w:val="auto"/>
        </w:rPr>
        <w:t>P</w:t>
      </w:r>
      <w:r w:rsidRPr="002E09FA">
        <w:rPr>
          <w:color w:val="auto"/>
        </w:rPr>
        <w:t>říjemce.</w:t>
      </w:r>
    </w:p>
    <w:p w14:paraId="3A4C91B6" w14:textId="1215DAD2" w:rsidR="00E8179A" w:rsidRPr="00CF26C4" w:rsidRDefault="00E8179A" w:rsidP="00EE64BC">
      <w:pPr>
        <w:rPr>
          <w:color w:val="auto"/>
        </w:rPr>
      </w:pPr>
      <w:r w:rsidRPr="002E09FA">
        <w:rPr>
          <w:color w:val="auto"/>
        </w:rPr>
        <w:t xml:space="preserve">6. </w:t>
      </w:r>
      <w:r w:rsidRPr="002E09FA">
        <w:rPr>
          <w:color w:val="auto"/>
        </w:rPr>
        <w:tab/>
        <w:t xml:space="preserve">Na řešení </w:t>
      </w:r>
      <w:r w:rsidR="00CB2930" w:rsidRPr="002E09FA">
        <w:rPr>
          <w:color w:val="auto"/>
        </w:rPr>
        <w:t>mezinárodní</w:t>
      </w:r>
      <w:r w:rsidR="001F7881" w:rsidRPr="002E09FA">
        <w:rPr>
          <w:color w:val="auto"/>
        </w:rPr>
        <w:t xml:space="preserve"> části</w:t>
      </w:r>
      <w:r w:rsidR="00CB2930" w:rsidRPr="002E09FA">
        <w:rPr>
          <w:color w:val="auto"/>
        </w:rPr>
        <w:t xml:space="preserve"> </w:t>
      </w:r>
      <w:r w:rsidR="001F7881" w:rsidRPr="002E09FA">
        <w:rPr>
          <w:color w:val="auto"/>
        </w:rPr>
        <w:t>P</w:t>
      </w:r>
      <w:r w:rsidRPr="002E09FA">
        <w:rPr>
          <w:color w:val="auto"/>
        </w:rPr>
        <w:t xml:space="preserve">rojektu se podílí také zahraniční partneři, se kterými </w:t>
      </w:r>
      <w:r w:rsidR="00226D78" w:rsidRPr="002E09FA">
        <w:rPr>
          <w:color w:val="auto"/>
        </w:rPr>
        <w:t>S</w:t>
      </w:r>
      <w:r w:rsidRPr="002E09FA">
        <w:rPr>
          <w:color w:val="auto"/>
        </w:rPr>
        <w:t>mluvní strany uzavřely samostatnou</w:t>
      </w:r>
      <w:r w:rsidR="00016B85" w:rsidRPr="002E09FA">
        <w:rPr>
          <w:color w:val="auto"/>
        </w:rPr>
        <w:t xml:space="preserve"> konsorciální smlouvu. Smluvní strany se zavazují se zahraničními partnery spolupracovat tak, aby bylo dosaženo cílů </w:t>
      </w:r>
      <w:r w:rsidR="001B3E0A" w:rsidRPr="002E09FA">
        <w:rPr>
          <w:color w:val="auto"/>
        </w:rPr>
        <w:t>P</w:t>
      </w:r>
      <w:r w:rsidR="00016B85" w:rsidRPr="002E09FA">
        <w:rPr>
          <w:color w:val="auto"/>
        </w:rPr>
        <w:t>rojektu</w:t>
      </w:r>
      <w:r w:rsidR="00F21957" w:rsidRPr="002E09FA">
        <w:rPr>
          <w:color w:val="auto"/>
        </w:rPr>
        <w:t xml:space="preserve"> a mezinárodního projektu</w:t>
      </w:r>
      <w:r w:rsidR="00016B85" w:rsidRPr="002E09FA">
        <w:rPr>
          <w:color w:val="auto"/>
        </w:rPr>
        <w:t>.</w:t>
      </w:r>
    </w:p>
    <w:p w14:paraId="463D8CB5" w14:textId="77777777" w:rsidR="00EE64BC" w:rsidRPr="00CF26C4" w:rsidRDefault="00EE64BC" w:rsidP="00EE64BC">
      <w:pPr>
        <w:rPr>
          <w:color w:val="auto"/>
        </w:rPr>
      </w:pPr>
    </w:p>
    <w:p w14:paraId="424BD8F7" w14:textId="3EF073F9" w:rsidR="00EE64BC" w:rsidRPr="00CF26C4" w:rsidRDefault="00EE64BC" w:rsidP="008516B3">
      <w:pPr>
        <w:pStyle w:val="Nadpis2"/>
        <w:rPr>
          <w:color w:val="auto"/>
        </w:rPr>
      </w:pPr>
      <w:r w:rsidRPr="00CF26C4">
        <w:rPr>
          <w:color w:val="auto"/>
        </w:rPr>
        <w:t>III.</w:t>
      </w:r>
      <w:r w:rsidRPr="00CF26C4">
        <w:rPr>
          <w:color w:val="auto"/>
        </w:rPr>
        <w:br/>
        <w:t xml:space="preserve">Věcná náplň spolupráce </w:t>
      </w:r>
      <w:r w:rsidR="004A0BDC" w:rsidRPr="00CF26C4">
        <w:rPr>
          <w:color w:val="auto"/>
        </w:rPr>
        <w:t>smluvních stran</w:t>
      </w:r>
    </w:p>
    <w:p w14:paraId="72CF5411" w14:textId="37A36284" w:rsidR="00EE64BC" w:rsidRDefault="00EE64BC" w:rsidP="00EE64BC">
      <w:pPr>
        <w:rPr>
          <w:color w:val="auto"/>
        </w:rPr>
      </w:pPr>
      <w:r w:rsidRPr="00CF26C4">
        <w:rPr>
          <w:color w:val="auto"/>
        </w:rPr>
        <w:t>1.</w:t>
      </w:r>
      <w:r w:rsidRPr="00CF26C4">
        <w:rPr>
          <w:color w:val="auto"/>
        </w:rPr>
        <w:tab/>
        <w:t xml:space="preserve">Smluvní strany se za účelem naplnění předmětu </w:t>
      </w:r>
      <w:r w:rsidR="001B3E0A" w:rsidRPr="00CF26C4">
        <w:rPr>
          <w:color w:val="auto"/>
        </w:rPr>
        <w:t>S</w:t>
      </w:r>
      <w:r w:rsidRPr="00CF26C4">
        <w:rPr>
          <w:color w:val="auto"/>
        </w:rPr>
        <w:t xml:space="preserve">mlouvy vymezeného výše zavazují spolupracovat tak, že zajistí spolupráci </w:t>
      </w:r>
      <w:r w:rsidR="00017C6C">
        <w:rPr>
          <w:color w:val="auto"/>
        </w:rPr>
        <w:t>Příjemce a Dalšího účastníka</w:t>
      </w:r>
      <w:r w:rsidRPr="00CF26C4">
        <w:rPr>
          <w:color w:val="auto"/>
        </w:rPr>
        <w:t xml:space="preserve"> (příp. dalších pověřených osob</w:t>
      </w:r>
      <w:r w:rsidR="00E51F85">
        <w:rPr>
          <w:color w:val="auto"/>
        </w:rPr>
        <w:t xml:space="preserve"> a s nimi spolupracujících třetích stran</w:t>
      </w:r>
      <w:r w:rsidRPr="00CF26C4">
        <w:rPr>
          <w:color w:val="auto"/>
        </w:rPr>
        <w:t xml:space="preserve">) na řešení následujících úkolů v rámci </w:t>
      </w:r>
      <w:r w:rsidR="001B3E0A" w:rsidRPr="00CF26C4">
        <w:rPr>
          <w:color w:val="auto"/>
        </w:rPr>
        <w:t>P</w:t>
      </w:r>
      <w:r w:rsidRPr="00CF26C4">
        <w:rPr>
          <w:color w:val="auto"/>
        </w:rPr>
        <w:t>rojektu:</w:t>
      </w:r>
    </w:p>
    <w:tbl>
      <w:tblPr>
        <w:tblStyle w:val="Mkatabulky"/>
        <w:tblW w:w="8648" w:type="dxa"/>
        <w:tblInd w:w="421" w:type="dxa"/>
        <w:tblLayout w:type="fixed"/>
        <w:tblLook w:val="04A0" w:firstRow="1" w:lastRow="0" w:firstColumn="1" w:lastColumn="0" w:noHBand="0" w:noVBand="1"/>
      </w:tblPr>
      <w:tblGrid>
        <w:gridCol w:w="5670"/>
        <w:gridCol w:w="709"/>
        <w:gridCol w:w="851"/>
        <w:gridCol w:w="1418"/>
      </w:tblGrid>
      <w:tr w:rsidR="00F274FA" w14:paraId="70F32865" w14:textId="77777777" w:rsidTr="00F274FA">
        <w:tc>
          <w:tcPr>
            <w:tcW w:w="5670" w:type="dxa"/>
            <w:vMerge w:val="restart"/>
            <w:shd w:val="clear" w:color="auto" w:fill="D9D9D9" w:themeFill="background1" w:themeFillShade="D9"/>
            <w:vAlign w:val="center"/>
          </w:tcPr>
          <w:p w14:paraId="6CAAAA03" w14:textId="798CB385" w:rsidR="00F274FA" w:rsidRPr="00F274FA" w:rsidRDefault="00F274FA" w:rsidP="006C04DC">
            <w:pPr>
              <w:tabs>
                <w:tab w:val="clear" w:pos="425"/>
              </w:tabs>
              <w:spacing w:after="0"/>
              <w:ind w:left="40" w:hanging="6"/>
              <w:rPr>
                <w:b/>
              </w:rPr>
            </w:pPr>
            <w:r w:rsidRPr="00F274FA">
              <w:rPr>
                <w:b/>
              </w:rPr>
              <w:t xml:space="preserve">Aktivity pro výsledek </w:t>
            </w:r>
            <w:r w:rsidRPr="00F274FA">
              <w:rPr>
                <w:b/>
                <w:color w:val="auto"/>
              </w:rPr>
              <w:t>Aplikace využívající data z PMU pro podporu řízení provozu soustavy VN (R – Software)</w:t>
            </w:r>
          </w:p>
        </w:tc>
        <w:tc>
          <w:tcPr>
            <w:tcW w:w="1560" w:type="dxa"/>
            <w:gridSpan w:val="2"/>
            <w:shd w:val="clear" w:color="auto" w:fill="D9D9D9" w:themeFill="background1" w:themeFillShade="D9"/>
          </w:tcPr>
          <w:p w14:paraId="6A4913DF" w14:textId="77777777" w:rsidR="00F274FA" w:rsidRPr="00F274FA" w:rsidRDefault="00F274FA" w:rsidP="006C04DC">
            <w:pPr>
              <w:tabs>
                <w:tab w:val="clear" w:pos="425"/>
              </w:tabs>
              <w:spacing w:after="0"/>
              <w:ind w:left="40" w:hanging="6"/>
              <w:jc w:val="center"/>
              <w:rPr>
                <w:b/>
              </w:rPr>
            </w:pPr>
            <w:r w:rsidRPr="00F274FA">
              <w:rPr>
                <w:b/>
              </w:rPr>
              <w:t>Podíl v %</w:t>
            </w:r>
          </w:p>
        </w:tc>
        <w:tc>
          <w:tcPr>
            <w:tcW w:w="1418" w:type="dxa"/>
            <w:vMerge w:val="restart"/>
            <w:shd w:val="clear" w:color="auto" w:fill="D9D9D9" w:themeFill="background1" w:themeFillShade="D9"/>
          </w:tcPr>
          <w:p w14:paraId="108C49AD" w14:textId="77777777" w:rsidR="00F274FA" w:rsidRPr="00F274FA" w:rsidRDefault="00F274FA" w:rsidP="006C04DC">
            <w:pPr>
              <w:tabs>
                <w:tab w:val="clear" w:pos="425"/>
              </w:tabs>
              <w:spacing w:after="0"/>
              <w:ind w:left="40" w:hanging="6"/>
              <w:jc w:val="center"/>
              <w:rPr>
                <w:b/>
              </w:rPr>
            </w:pPr>
            <w:r w:rsidRPr="00F274FA">
              <w:rPr>
                <w:b/>
              </w:rPr>
              <w:t>Zodpovědná osoba</w:t>
            </w:r>
          </w:p>
        </w:tc>
      </w:tr>
      <w:tr w:rsidR="00F274FA" w14:paraId="0AF57E37" w14:textId="77777777" w:rsidTr="00F274FA">
        <w:tc>
          <w:tcPr>
            <w:tcW w:w="5670" w:type="dxa"/>
            <w:vMerge/>
          </w:tcPr>
          <w:p w14:paraId="3B618D86" w14:textId="77777777" w:rsidR="00F274FA" w:rsidRPr="00952333" w:rsidRDefault="00F274FA" w:rsidP="006C04DC">
            <w:pPr>
              <w:tabs>
                <w:tab w:val="clear" w:pos="425"/>
              </w:tabs>
              <w:spacing w:after="0"/>
              <w:ind w:left="40" w:hanging="6"/>
            </w:pPr>
          </w:p>
        </w:tc>
        <w:tc>
          <w:tcPr>
            <w:tcW w:w="709" w:type="dxa"/>
            <w:shd w:val="clear" w:color="auto" w:fill="D9D9D9" w:themeFill="background1" w:themeFillShade="D9"/>
          </w:tcPr>
          <w:p w14:paraId="287F17A3" w14:textId="77777777" w:rsidR="00F274FA" w:rsidRPr="00F274FA" w:rsidRDefault="00F274FA" w:rsidP="006C04DC">
            <w:pPr>
              <w:tabs>
                <w:tab w:val="clear" w:pos="425"/>
              </w:tabs>
              <w:spacing w:after="0"/>
              <w:ind w:left="40" w:hanging="6"/>
              <w:jc w:val="center"/>
              <w:rPr>
                <w:b/>
              </w:rPr>
            </w:pPr>
            <w:r w:rsidRPr="00F274FA">
              <w:rPr>
                <w:b/>
              </w:rPr>
              <w:t>VUT</w:t>
            </w:r>
          </w:p>
        </w:tc>
        <w:tc>
          <w:tcPr>
            <w:tcW w:w="851" w:type="dxa"/>
            <w:shd w:val="clear" w:color="auto" w:fill="D9D9D9" w:themeFill="background1" w:themeFillShade="D9"/>
          </w:tcPr>
          <w:p w14:paraId="2EBA8668" w14:textId="77777777" w:rsidR="00F274FA" w:rsidRPr="00F274FA" w:rsidRDefault="00F274FA" w:rsidP="006C04DC">
            <w:pPr>
              <w:tabs>
                <w:tab w:val="clear" w:pos="425"/>
              </w:tabs>
              <w:spacing w:after="0"/>
              <w:ind w:left="40" w:hanging="6"/>
              <w:jc w:val="center"/>
              <w:rPr>
                <w:b/>
              </w:rPr>
            </w:pPr>
            <w:r w:rsidRPr="00F274FA">
              <w:rPr>
                <w:b/>
              </w:rPr>
              <w:t>ELVAC</w:t>
            </w:r>
          </w:p>
        </w:tc>
        <w:tc>
          <w:tcPr>
            <w:tcW w:w="1418" w:type="dxa"/>
            <w:vMerge/>
          </w:tcPr>
          <w:p w14:paraId="44C3147B" w14:textId="77777777" w:rsidR="00F274FA" w:rsidRDefault="00F274FA" w:rsidP="006C04DC">
            <w:pPr>
              <w:tabs>
                <w:tab w:val="clear" w:pos="425"/>
              </w:tabs>
              <w:spacing w:after="0"/>
              <w:ind w:left="40" w:hanging="6"/>
              <w:jc w:val="center"/>
            </w:pPr>
          </w:p>
        </w:tc>
      </w:tr>
      <w:tr w:rsidR="00F274FA" w14:paraId="5AA989EE" w14:textId="77777777" w:rsidTr="00F274FA">
        <w:tc>
          <w:tcPr>
            <w:tcW w:w="5670" w:type="dxa"/>
          </w:tcPr>
          <w:p w14:paraId="06F7BB0E" w14:textId="12072A1D" w:rsidR="00F274FA" w:rsidRPr="00952333" w:rsidRDefault="00F274FA" w:rsidP="006C04DC">
            <w:pPr>
              <w:tabs>
                <w:tab w:val="clear" w:pos="425"/>
              </w:tabs>
              <w:spacing w:after="0"/>
              <w:ind w:left="40" w:hanging="6"/>
            </w:pPr>
            <w:r w:rsidRPr="00952333">
              <w:t xml:space="preserve">Optimalizace komunikační architektury s cílem přenést potřebná data z PMU do </w:t>
            </w:r>
            <w:r w:rsidR="00103D80">
              <w:t>datové centrály</w:t>
            </w:r>
            <w:r w:rsidRPr="00952333">
              <w:t xml:space="preserve"> v požadovaném čase a kvalitě</w:t>
            </w:r>
          </w:p>
        </w:tc>
        <w:tc>
          <w:tcPr>
            <w:tcW w:w="709" w:type="dxa"/>
          </w:tcPr>
          <w:p w14:paraId="68CFCEF7" w14:textId="77777777" w:rsidR="00F274FA" w:rsidRDefault="00F274FA" w:rsidP="006C04DC">
            <w:pPr>
              <w:tabs>
                <w:tab w:val="clear" w:pos="425"/>
              </w:tabs>
              <w:spacing w:after="0"/>
              <w:ind w:left="40" w:hanging="6"/>
              <w:jc w:val="center"/>
            </w:pPr>
            <w:r>
              <w:t>20</w:t>
            </w:r>
          </w:p>
        </w:tc>
        <w:tc>
          <w:tcPr>
            <w:tcW w:w="851" w:type="dxa"/>
          </w:tcPr>
          <w:p w14:paraId="0743D37E" w14:textId="77777777" w:rsidR="00F274FA" w:rsidRDefault="00F274FA" w:rsidP="006C04DC">
            <w:pPr>
              <w:tabs>
                <w:tab w:val="clear" w:pos="425"/>
              </w:tabs>
              <w:spacing w:after="0"/>
              <w:ind w:left="40" w:hanging="6"/>
              <w:jc w:val="center"/>
            </w:pPr>
            <w:r>
              <w:t>80</w:t>
            </w:r>
          </w:p>
        </w:tc>
        <w:tc>
          <w:tcPr>
            <w:tcW w:w="1418" w:type="dxa"/>
          </w:tcPr>
          <w:p w14:paraId="6F3DF5F4" w14:textId="11676D9D" w:rsidR="006010E3" w:rsidRDefault="00760D88" w:rsidP="006C04DC">
            <w:pPr>
              <w:tabs>
                <w:tab w:val="clear" w:pos="425"/>
              </w:tabs>
              <w:spacing w:after="0"/>
              <w:ind w:left="40" w:hanging="6"/>
              <w:jc w:val="center"/>
            </w:pPr>
            <w:proofErr w:type="spellStart"/>
            <w:r>
              <w:t>xxx</w:t>
            </w:r>
            <w:proofErr w:type="spellEnd"/>
          </w:p>
          <w:p w14:paraId="5015429E" w14:textId="36689090" w:rsidR="00F274FA" w:rsidRDefault="006010E3" w:rsidP="006C04DC">
            <w:pPr>
              <w:tabs>
                <w:tab w:val="clear" w:pos="425"/>
              </w:tabs>
              <w:spacing w:after="0"/>
              <w:ind w:left="40" w:hanging="6"/>
              <w:jc w:val="center"/>
            </w:pPr>
            <w:r>
              <w:t>(</w:t>
            </w:r>
            <w:r w:rsidR="00F274FA">
              <w:t>VUT</w:t>
            </w:r>
            <w:r>
              <w:t>)</w:t>
            </w:r>
          </w:p>
        </w:tc>
      </w:tr>
      <w:tr w:rsidR="00F274FA" w14:paraId="69FDB79F" w14:textId="77777777" w:rsidTr="00F274FA">
        <w:tc>
          <w:tcPr>
            <w:tcW w:w="5670" w:type="dxa"/>
          </w:tcPr>
          <w:p w14:paraId="351D43D5" w14:textId="37E74AF1" w:rsidR="00F274FA" w:rsidRPr="00952333" w:rsidRDefault="00F274FA" w:rsidP="006C04DC">
            <w:pPr>
              <w:tabs>
                <w:tab w:val="clear" w:pos="425"/>
              </w:tabs>
              <w:spacing w:after="0"/>
              <w:ind w:left="40" w:hanging="6"/>
            </w:pPr>
            <w:r w:rsidRPr="00952333">
              <w:t>Zpracování dat a jejich optimalizace jak pro potřeby vizualizace v</w:t>
            </w:r>
            <w:r w:rsidR="00CD314A">
              <w:t> grafickém uživatelském rozhraní (</w:t>
            </w:r>
            <w:r w:rsidRPr="00952333">
              <w:t>GUI</w:t>
            </w:r>
            <w:r w:rsidR="00CD314A">
              <w:t>)</w:t>
            </w:r>
            <w:r w:rsidRPr="00952333">
              <w:t>, tak i pro potřebné výpočty s využitím numerického modelu monitorované distribuční soustavy (DS)</w:t>
            </w:r>
          </w:p>
        </w:tc>
        <w:tc>
          <w:tcPr>
            <w:tcW w:w="709" w:type="dxa"/>
          </w:tcPr>
          <w:p w14:paraId="3EC00A16" w14:textId="77777777" w:rsidR="00F274FA" w:rsidRDefault="00F274FA" w:rsidP="006C04DC">
            <w:pPr>
              <w:tabs>
                <w:tab w:val="clear" w:pos="425"/>
              </w:tabs>
              <w:spacing w:after="0"/>
              <w:ind w:left="40" w:hanging="6"/>
              <w:jc w:val="center"/>
            </w:pPr>
            <w:r>
              <w:t>60</w:t>
            </w:r>
          </w:p>
        </w:tc>
        <w:tc>
          <w:tcPr>
            <w:tcW w:w="851" w:type="dxa"/>
          </w:tcPr>
          <w:p w14:paraId="684FC14F" w14:textId="77777777" w:rsidR="00F274FA" w:rsidRDefault="00F274FA" w:rsidP="006C04DC">
            <w:pPr>
              <w:tabs>
                <w:tab w:val="clear" w:pos="425"/>
              </w:tabs>
              <w:spacing w:after="0"/>
              <w:ind w:left="40" w:hanging="6"/>
              <w:jc w:val="center"/>
            </w:pPr>
            <w:r>
              <w:t>40</w:t>
            </w:r>
          </w:p>
        </w:tc>
        <w:tc>
          <w:tcPr>
            <w:tcW w:w="1418" w:type="dxa"/>
          </w:tcPr>
          <w:p w14:paraId="25FA7524" w14:textId="47E4DBC1" w:rsidR="006010E3" w:rsidRDefault="00760D88" w:rsidP="006010E3">
            <w:pPr>
              <w:tabs>
                <w:tab w:val="clear" w:pos="425"/>
              </w:tabs>
              <w:spacing w:after="0"/>
              <w:ind w:left="40" w:hanging="6"/>
              <w:jc w:val="center"/>
            </w:pPr>
            <w:proofErr w:type="spellStart"/>
            <w:r>
              <w:t>xxx</w:t>
            </w:r>
            <w:proofErr w:type="spellEnd"/>
          </w:p>
          <w:p w14:paraId="56B7F34D" w14:textId="146CA6E5" w:rsidR="00F274FA" w:rsidRDefault="006010E3" w:rsidP="006010E3">
            <w:pPr>
              <w:tabs>
                <w:tab w:val="clear" w:pos="425"/>
              </w:tabs>
              <w:spacing w:after="0"/>
              <w:ind w:left="40" w:hanging="6"/>
              <w:jc w:val="center"/>
            </w:pPr>
            <w:r>
              <w:t>(VUT)</w:t>
            </w:r>
          </w:p>
        </w:tc>
      </w:tr>
      <w:tr w:rsidR="00F274FA" w14:paraId="0C556871" w14:textId="77777777" w:rsidTr="00F274FA">
        <w:tc>
          <w:tcPr>
            <w:tcW w:w="5670" w:type="dxa"/>
          </w:tcPr>
          <w:p w14:paraId="457A491F" w14:textId="4C3BCD76" w:rsidR="00F274FA" w:rsidRPr="00952333" w:rsidRDefault="00F274FA" w:rsidP="006C04DC">
            <w:pPr>
              <w:tabs>
                <w:tab w:val="clear" w:pos="425"/>
              </w:tabs>
              <w:spacing w:after="0"/>
              <w:ind w:left="40" w:hanging="6"/>
            </w:pPr>
            <w:r w:rsidRPr="00952333">
              <w:lastRenderedPageBreak/>
              <w:t xml:space="preserve">Optimalizace numerického modelu DS vč. validace dat exportovaných z databází </w:t>
            </w:r>
            <w:r w:rsidR="008A3BBE" w:rsidRPr="008A3BBE">
              <w:t xml:space="preserve">provozovatele distribuční soustavy </w:t>
            </w:r>
            <w:r w:rsidR="00321C12">
              <w:t>(</w:t>
            </w:r>
            <w:r w:rsidRPr="00952333">
              <w:t>PDS</w:t>
            </w:r>
            <w:r w:rsidR="00321C12">
              <w:t>)</w:t>
            </w:r>
          </w:p>
        </w:tc>
        <w:tc>
          <w:tcPr>
            <w:tcW w:w="709" w:type="dxa"/>
          </w:tcPr>
          <w:p w14:paraId="7F53F57C" w14:textId="77777777" w:rsidR="00F274FA" w:rsidRDefault="00F274FA" w:rsidP="006C04DC">
            <w:pPr>
              <w:tabs>
                <w:tab w:val="clear" w:pos="425"/>
              </w:tabs>
              <w:spacing w:after="0"/>
              <w:ind w:left="40" w:hanging="6"/>
              <w:jc w:val="center"/>
            </w:pPr>
            <w:r>
              <w:t>60</w:t>
            </w:r>
          </w:p>
        </w:tc>
        <w:tc>
          <w:tcPr>
            <w:tcW w:w="851" w:type="dxa"/>
          </w:tcPr>
          <w:p w14:paraId="52FDA456" w14:textId="77777777" w:rsidR="00F274FA" w:rsidRDefault="00F274FA" w:rsidP="006C04DC">
            <w:pPr>
              <w:tabs>
                <w:tab w:val="clear" w:pos="425"/>
              </w:tabs>
              <w:spacing w:after="0"/>
              <w:ind w:left="40" w:hanging="6"/>
              <w:jc w:val="center"/>
            </w:pPr>
            <w:r>
              <w:t>40</w:t>
            </w:r>
          </w:p>
        </w:tc>
        <w:tc>
          <w:tcPr>
            <w:tcW w:w="1418" w:type="dxa"/>
          </w:tcPr>
          <w:p w14:paraId="105E93E8" w14:textId="31CF4C09" w:rsidR="006010E3" w:rsidRDefault="00760D88" w:rsidP="006010E3">
            <w:pPr>
              <w:tabs>
                <w:tab w:val="clear" w:pos="425"/>
              </w:tabs>
              <w:spacing w:after="0"/>
              <w:ind w:left="40" w:hanging="6"/>
              <w:jc w:val="center"/>
            </w:pPr>
            <w:proofErr w:type="spellStart"/>
            <w:r>
              <w:t>xxx</w:t>
            </w:r>
            <w:proofErr w:type="spellEnd"/>
          </w:p>
          <w:p w14:paraId="67964EAE" w14:textId="175CEF78" w:rsidR="00F274FA" w:rsidRDefault="006010E3" w:rsidP="006010E3">
            <w:pPr>
              <w:tabs>
                <w:tab w:val="clear" w:pos="425"/>
              </w:tabs>
              <w:spacing w:after="0"/>
              <w:ind w:left="40" w:hanging="6"/>
              <w:jc w:val="center"/>
            </w:pPr>
            <w:r>
              <w:t>(VUT)</w:t>
            </w:r>
          </w:p>
        </w:tc>
      </w:tr>
      <w:tr w:rsidR="00F274FA" w14:paraId="64B2FE80" w14:textId="77777777" w:rsidTr="00F274FA">
        <w:tc>
          <w:tcPr>
            <w:tcW w:w="5670" w:type="dxa"/>
          </w:tcPr>
          <w:p w14:paraId="43947ADC" w14:textId="3CEDA245" w:rsidR="00F274FA" w:rsidRPr="00952333" w:rsidRDefault="00F274FA" w:rsidP="006C04DC">
            <w:pPr>
              <w:tabs>
                <w:tab w:val="clear" w:pos="425"/>
              </w:tabs>
              <w:spacing w:after="0"/>
              <w:ind w:left="40" w:hanging="6"/>
            </w:pPr>
            <w:r w:rsidRPr="00952333">
              <w:t xml:space="preserve"> Vývoj nové metody pro estimaci kruhových toků (vzniklé v předmětné DS po sepnutí prvku propojujícího 2 napájené oblasti) s využitím základní sady vygenerovaných testovacích dat, tak i s využitím simulovaných dat pořízených na základě dynamické simulace části DS (</w:t>
            </w:r>
            <w:r w:rsidR="00884425">
              <w:t>simulační techniky</w:t>
            </w:r>
            <w:r w:rsidR="00394256">
              <w:t xml:space="preserve"> </w:t>
            </w:r>
            <w:r w:rsidRPr="00952333">
              <w:t>RTDS, HIL)</w:t>
            </w:r>
          </w:p>
        </w:tc>
        <w:tc>
          <w:tcPr>
            <w:tcW w:w="709" w:type="dxa"/>
          </w:tcPr>
          <w:p w14:paraId="323A3286" w14:textId="77777777" w:rsidR="00F274FA" w:rsidRDefault="00F274FA" w:rsidP="006C04DC">
            <w:pPr>
              <w:tabs>
                <w:tab w:val="clear" w:pos="425"/>
              </w:tabs>
              <w:spacing w:after="0"/>
              <w:ind w:left="40" w:hanging="6"/>
              <w:jc w:val="center"/>
            </w:pPr>
            <w:r>
              <w:t>70</w:t>
            </w:r>
          </w:p>
        </w:tc>
        <w:tc>
          <w:tcPr>
            <w:tcW w:w="851" w:type="dxa"/>
          </w:tcPr>
          <w:p w14:paraId="7DB10808" w14:textId="77777777" w:rsidR="00F274FA" w:rsidRDefault="00F274FA" w:rsidP="006C04DC">
            <w:pPr>
              <w:tabs>
                <w:tab w:val="clear" w:pos="425"/>
              </w:tabs>
              <w:spacing w:after="0"/>
              <w:ind w:left="40" w:hanging="6"/>
              <w:jc w:val="center"/>
            </w:pPr>
            <w:r>
              <w:t>30</w:t>
            </w:r>
          </w:p>
        </w:tc>
        <w:tc>
          <w:tcPr>
            <w:tcW w:w="1418" w:type="dxa"/>
          </w:tcPr>
          <w:p w14:paraId="4A48EAD0" w14:textId="78A4D5B3" w:rsidR="006010E3" w:rsidRDefault="00760D88" w:rsidP="006010E3">
            <w:pPr>
              <w:tabs>
                <w:tab w:val="clear" w:pos="425"/>
              </w:tabs>
              <w:spacing w:after="0"/>
              <w:ind w:left="40" w:hanging="6"/>
              <w:jc w:val="center"/>
            </w:pPr>
            <w:proofErr w:type="spellStart"/>
            <w:r>
              <w:t>xxx</w:t>
            </w:r>
            <w:proofErr w:type="spellEnd"/>
          </w:p>
          <w:p w14:paraId="0B8E1472" w14:textId="6A65029B" w:rsidR="00F274FA" w:rsidRDefault="006010E3" w:rsidP="006010E3">
            <w:pPr>
              <w:tabs>
                <w:tab w:val="clear" w:pos="425"/>
              </w:tabs>
              <w:spacing w:after="0"/>
              <w:ind w:left="40" w:hanging="6"/>
              <w:jc w:val="center"/>
            </w:pPr>
            <w:r>
              <w:t>(VUT)</w:t>
            </w:r>
          </w:p>
        </w:tc>
      </w:tr>
      <w:tr w:rsidR="00F274FA" w14:paraId="6EDC260B" w14:textId="77777777" w:rsidTr="00F274FA">
        <w:tc>
          <w:tcPr>
            <w:tcW w:w="5670" w:type="dxa"/>
          </w:tcPr>
          <w:p w14:paraId="41DA7155" w14:textId="3F32C010" w:rsidR="00F274FA" w:rsidRPr="00952333" w:rsidRDefault="00F274FA" w:rsidP="006C04DC">
            <w:pPr>
              <w:tabs>
                <w:tab w:val="clear" w:pos="425"/>
              </w:tabs>
              <w:spacing w:after="0"/>
              <w:ind w:left="40" w:hanging="6"/>
            </w:pPr>
            <w:r w:rsidRPr="00952333">
              <w:t xml:space="preserve">Vývoj GUI pro efektivní vizualizaci výsledků měření z PMU a </w:t>
            </w:r>
            <w:proofErr w:type="spellStart"/>
            <w:r w:rsidRPr="00952333">
              <w:t>estimovaných</w:t>
            </w:r>
            <w:proofErr w:type="spellEnd"/>
            <w:r w:rsidRPr="00952333">
              <w:t xml:space="preserve"> hodnot</w:t>
            </w:r>
          </w:p>
        </w:tc>
        <w:tc>
          <w:tcPr>
            <w:tcW w:w="709" w:type="dxa"/>
          </w:tcPr>
          <w:p w14:paraId="743A94E1" w14:textId="77777777" w:rsidR="00F274FA" w:rsidRDefault="00F274FA" w:rsidP="006C04DC">
            <w:pPr>
              <w:tabs>
                <w:tab w:val="clear" w:pos="425"/>
              </w:tabs>
              <w:spacing w:after="0"/>
              <w:ind w:left="40" w:hanging="6"/>
              <w:jc w:val="center"/>
            </w:pPr>
            <w:r>
              <w:t>20</w:t>
            </w:r>
          </w:p>
        </w:tc>
        <w:tc>
          <w:tcPr>
            <w:tcW w:w="851" w:type="dxa"/>
          </w:tcPr>
          <w:p w14:paraId="066E7520" w14:textId="77777777" w:rsidR="00F274FA" w:rsidRDefault="00F274FA" w:rsidP="006C04DC">
            <w:pPr>
              <w:tabs>
                <w:tab w:val="clear" w:pos="425"/>
              </w:tabs>
              <w:spacing w:after="0"/>
              <w:ind w:left="40" w:hanging="6"/>
              <w:jc w:val="center"/>
            </w:pPr>
            <w:r>
              <w:t>80</w:t>
            </w:r>
          </w:p>
        </w:tc>
        <w:tc>
          <w:tcPr>
            <w:tcW w:w="1418" w:type="dxa"/>
          </w:tcPr>
          <w:p w14:paraId="6CDCEEBD" w14:textId="66A72B76" w:rsidR="006010E3" w:rsidRDefault="00760D88" w:rsidP="006C04DC">
            <w:pPr>
              <w:tabs>
                <w:tab w:val="clear" w:pos="425"/>
              </w:tabs>
              <w:spacing w:after="0"/>
              <w:ind w:left="40" w:hanging="6"/>
              <w:jc w:val="center"/>
            </w:pPr>
            <w:proofErr w:type="spellStart"/>
            <w:r>
              <w:t>xxx</w:t>
            </w:r>
            <w:proofErr w:type="spellEnd"/>
          </w:p>
          <w:p w14:paraId="569009FD" w14:textId="23C4B96D" w:rsidR="00F274FA" w:rsidRDefault="006010E3" w:rsidP="006C04DC">
            <w:pPr>
              <w:tabs>
                <w:tab w:val="clear" w:pos="425"/>
              </w:tabs>
              <w:spacing w:after="0"/>
              <w:ind w:left="40" w:hanging="6"/>
              <w:jc w:val="center"/>
            </w:pPr>
            <w:r>
              <w:t>(</w:t>
            </w:r>
            <w:r w:rsidR="00F274FA">
              <w:t>ELVAC</w:t>
            </w:r>
            <w:r>
              <w:t>)</w:t>
            </w:r>
          </w:p>
        </w:tc>
      </w:tr>
      <w:tr w:rsidR="00F274FA" w14:paraId="5F798F60" w14:textId="77777777" w:rsidTr="00F274FA">
        <w:tc>
          <w:tcPr>
            <w:tcW w:w="5670" w:type="dxa"/>
          </w:tcPr>
          <w:p w14:paraId="0EAC6CDC" w14:textId="77777777" w:rsidR="00F274FA" w:rsidRPr="00952333" w:rsidRDefault="00F274FA" w:rsidP="006C04DC">
            <w:pPr>
              <w:tabs>
                <w:tab w:val="clear" w:pos="425"/>
              </w:tabs>
              <w:spacing w:after="0"/>
              <w:ind w:left="40" w:hanging="6"/>
            </w:pPr>
            <w:r w:rsidRPr="00952333">
              <w:t>Testování a ladění aplikace a ověření jednotlivých funkcionalit a GUI</w:t>
            </w:r>
          </w:p>
        </w:tc>
        <w:tc>
          <w:tcPr>
            <w:tcW w:w="709" w:type="dxa"/>
          </w:tcPr>
          <w:p w14:paraId="07D8E6F4" w14:textId="77777777" w:rsidR="00F274FA" w:rsidRDefault="00F274FA" w:rsidP="006C04DC">
            <w:pPr>
              <w:tabs>
                <w:tab w:val="clear" w:pos="425"/>
              </w:tabs>
              <w:spacing w:after="0"/>
              <w:ind w:left="40" w:hanging="6"/>
              <w:jc w:val="center"/>
            </w:pPr>
            <w:r>
              <w:t>40</w:t>
            </w:r>
          </w:p>
        </w:tc>
        <w:tc>
          <w:tcPr>
            <w:tcW w:w="851" w:type="dxa"/>
          </w:tcPr>
          <w:p w14:paraId="2720C681" w14:textId="77777777" w:rsidR="00F274FA" w:rsidRDefault="00F274FA" w:rsidP="006C04DC">
            <w:pPr>
              <w:tabs>
                <w:tab w:val="clear" w:pos="425"/>
              </w:tabs>
              <w:spacing w:after="0"/>
              <w:ind w:left="40" w:hanging="6"/>
              <w:jc w:val="center"/>
            </w:pPr>
            <w:r>
              <w:t>60</w:t>
            </w:r>
          </w:p>
        </w:tc>
        <w:tc>
          <w:tcPr>
            <w:tcW w:w="1418" w:type="dxa"/>
          </w:tcPr>
          <w:p w14:paraId="67D21B98" w14:textId="198878BC" w:rsidR="006010E3" w:rsidRDefault="00760D88" w:rsidP="006010E3">
            <w:pPr>
              <w:tabs>
                <w:tab w:val="clear" w:pos="425"/>
              </w:tabs>
              <w:spacing w:after="0"/>
              <w:ind w:left="40" w:hanging="6"/>
              <w:jc w:val="center"/>
            </w:pPr>
            <w:proofErr w:type="spellStart"/>
            <w:r>
              <w:t>xxx</w:t>
            </w:r>
            <w:proofErr w:type="spellEnd"/>
          </w:p>
          <w:p w14:paraId="2F6C0E9E" w14:textId="0279863E" w:rsidR="00F274FA" w:rsidRDefault="006010E3" w:rsidP="006010E3">
            <w:pPr>
              <w:tabs>
                <w:tab w:val="clear" w:pos="425"/>
              </w:tabs>
              <w:spacing w:after="0"/>
              <w:ind w:left="40" w:hanging="6"/>
              <w:jc w:val="center"/>
            </w:pPr>
            <w:r>
              <w:t>(ELVAC)</w:t>
            </w:r>
          </w:p>
        </w:tc>
      </w:tr>
    </w:tbl>
    <w:p w14:paraId="1D15E97A" w14:textId="77777777" w:rsidR="00F274FA" w:rsidRDefault="00F274FA" w:rsidP="00EE64BC">
      <w:pPr>
        <w:rPr>
          <w:color w:val="auto"/>
        </w:rPr>
      </w:pPr>
    </w:p>
    <w:tbl>
      <w:tblPr>
        <w:tblStyle w:val="Mkatabulky"/>
        <w:tblW w:w="8646" w:type="dxa"/>
        <w:tblInd w:w="421" w:type="dxa"/>
        <w:tblLook w:val="04A0" w:firstRow="1" w:lastRow="0" w:firstColumn="1" w:lastColumn="0" w:noHBand="0" w:noVBand="1"/>
      </w:tblPr>
      <w:tblGrid>
        <w:gridCol w:w="5670"/>
        <w:gridCol w:w="774"/>
        <w:gridCol w:w="797"/>
        <w:gridCol w:w="1405"/>
      </w:tblGrid>
      <w:tr w:rsidR="006010E3" w14:paraId="60552ACC" w14:textId="77777777" w:rsidTr="006010E3">
        <w:tc>
          <w:tcPr>
            <w:tcW w:w="5670" w:type="dxa"/>
            <w:vMerge w:val="restart"/>
            <w:shd w:val="clear" w:color="auto" w:fill="D9D9D9" w:themeFill="background1" w:themeFillShade="D9"/>
          </w:tcPr>
          <w:p w14:paraId="50BA1817" w14:textId="088F74E5" w:rsidR="00F274FA" w:rsidRPr="006010E3" w:rsidRDefault="006010E3" w:rsidP="006010E3">
            <w:pPr>
              <w:tabs>
                <w:tab w:val="clear" w:pos="425"/>
              </w:tabs>
              <w:spacing w:after="0"/>
              <w:ind w:left="37" w:hanging="3"/>
              <w:rPr>
                <w:b/>
              </w:rPr>
            </w:pPr>
            <w:r w:rsidRPr="006010E3">
              <w:rPr>
                <w:b/>
              </w:rPr>
              <w:t xml:space="preserve">Aktivity pro výsledek </w:t>
            </w:r>
            <w:r w:rsidR="00F274FA" w:rsidRPr="006010E3">
              <w:rPr>
                <w:b/>
              </w:rPr>
              <w:t xml:space="preserve">Ověření </w:t>
            </w:r>
            <w:r w:rsidR="00AB5494">
              <w:rPr>
                <w:b/>
              </w:rPr>
              <w:t xml:space="preserve">funkčnosti </w:t>
            </w:r>
            <w:r w:rsidR="00F274FA" w:rsidRPr="006010E3">
              <w:rPr>
                <w:b/>
              </w:rPr>
              <w:t>aplikace využívající data z PMU v rámci reálného provozu kompenzované soustavy VN (</w:t>
            </w:r>
            <w:proofErr w:type="spellStart"/>
            <w:r w:rsidR="00F274FA" w:rsidRPr="006010E3">
              <w:rPr>
                <w:b/>
              </w:rPr>
              <w:t>Zpolop</w:t>
            </w:r>
            <w:proofErr w:type="spellEnd"/>
            <w:r w:rsidR="00F274FA" w:rsidRPr="006010E3">
              <w:rPr>
                <w:b/>
              </w:rPr>
              <w:t xml:space="preserve"> – poloprovoz)</w:t>
            </w:r>
          </w:p>
        </w:tc>
        <w:tc>
          <w:tcPr>
            <w:tcW w:w="1571" w:type="dxa"/>
            <w:gridSpan w:val="2"/>
            <w:shd w:val="clear" w:color="auto" w:fill="D9D9D9" w:themeFill="background1" w:themeFillShade="D9"/>
            <w:vAlign w:val="center"/>
          </w:tcPr>
          <w:p w14:paraId="0E3B16EE" w14:textId="77777777" w:rsidR="00F274FA" w:rsidRPr="006010E3" w:rsidRDefault="00F274FA" w:rsidP="006010E3">
            <w:pPr>
              <w:spacing w:after="0"/>
              <w:jc w:val="center"/>
              <w:rPr>
                <w:b/>
              </w:rPr>
            </w:pPr>
            <w:r w:rsidRPr="006010E3">
              <w:rPr>
                <w:b/>
              </w:rPr>
              <w:t>Podíl v %</w:t>
            </w:r>
          </w:p>
        </w:tc>
        <w:tc>
          <w:tcPr>
            <w:tcW w:w="1405" w:type="dxa"/>
            <w:vMerge w:val="restart"/>
            <w:shd w:val="clear" w:color="auto" w:fill="D9D9D9" w:themeFill="background1" w:themeFillShade="D9"/>
            <w:vAlign w:val="center"/>
          </w:tcPr>
          <w:p w14:paraId="0BEB6382" w14:textId="77777777" w:rsidR="00F274FA" w:rsidRPr="006010E3" w:rsidRDefault="00F274FA" w:rsidP="006010E3">
            <w:pPr>
              <w:tabs>
                <w:tab w:val="clear" w:pos="425"/>
              </w:tabs>
              <w:spacing w:after="0"/>
              <w:ind w:left="0" w:hanging="16"/>
              <w:jc w:val="center"/>
              <w:rPr>
                <w:b/>
              </w:rPr>
            </w:pPr>
            <w:r w:rsidRPr="006010E3">
              <w:rPr>
                <w:b/>
              </w:rPr>
              <w:t>Zodpovědná osoba</w:t>
            </w:r>
          </w:p>
        </w:tc>
      </w:tr>
      <w:tr w:rsidR="006010E3" w14:paraId="2361D249" w14:textId="77777777" w:rsidTr="006010E3">
        <w:tc>
          <w:tcPr>
            <w:tcW w:w="5670" w:type="dxa"/>
            <w:vMerge/>
          </w:tcPr>
          <w:p w14:paraId="3E57B345" w14:textId="77777777" w:rsidR="00F274FA" w:rsidRPr="00952333" w:rsidRDefault="00F274FA" w:rsidP="006010E3">
            <w:pPr>
              <w:tabs>
                <w:tab w:val="clear" w:pos="425"/>
              </w:tabs>
              <w:spacing w:after="0"/>
              <w:ind w:left="37" w:hanging="3"/>
            </w:pPr>
          </w:p>
        </w:tc>
        <w:tc>
          <w:tcPr>
            <w:tcW w:w="774" w:type="dxa"/>
            <w:shd w:val="clear" w:color="auto" w:fill="D9D9D9" w:themeFill="background1" w:themeFillShade="D9"/>
            <w:vAlign w:val="center"/>
          </w:tcPr>
          <w:p w14:paraId="45852BC4" w14:textId="77777777" w:rsidR="00F274FA" w:rsidRPr="006010E3" w:rsidRDefault="00F274FA" w:rsidP="006010E3">
            <w:pPr>
              <w:spacing w:after="0"/>
              <w:jc w:val="center"/>
              <w:rPr>
                <w:b/>
              </w:rPr>
            </w:pPr>
            <w:r w:rsidRPr="006010E3">
              <w:rPr>
                <w:b/>
              </w:rPr>
              <w:t>VUT</w:t>
            </w:r>
          </w:p>
        </w:tc>
        <w:tc>
          <w:tcPr>
            <w:tcW w:w="797" w:type="dxa"/>
            <w:shd w:val="clear" w:color="auto" w:fill="D9D9D9" w:themeFill="background1" w:themeFillShade="D9"/>
            <w:vAlign w:val="center"/>
          </w:tcPr>
          <w:p w14:paraId="20ECE5E8" w14:textId="77777777" w:rsidR="00F274FA" w:rsidRPr="006010E3" w:rsidRDefault="00F274FA" w:rsidP="006010E3">
            <w:pPr>
              <w:spacing w:after="0"/>
              <w:jc w:val="center"/>
              <w:rPr>
                <w:b/>
              </w:rPr>
            </w:pPr>
            <w:r w:rsidRPr="006010E3">
              <w:rPr>
                <w:b/>
              </w:rPr>
              <w:t>ELVAC</w:t>
            </w:r>
          </w:p>
        </w:tc>
        <w:tc>
          <w:tcPr>
            <w:tcW w:w="1405" w:type="dxa"/>
            <w:vMerge/>
            <w:vAlign w:val="center"/>
          </w:tcPr>
          <w:p w14:paraId="3B3CB7BE" w14:textId="77777777" w:rsidR="00F274FA" w:rsidRDefault="00F274FA" w:rsidP="006010E3">
            <w:pPr>
              <w:spacing w:after="0"/>
              <w:jc w:val="center"/>
            </w:pPr>
          </w:p>
        </w:tc>
      </w:tr>
      <w:tr w:rsidR="006010E3" w14:paraId="753704D7" w14:textId="77777777" w:rsidTr="006010E3">
        <w:tc>
          <w:tcPr>
            <w:tcW w:w="5670" w:type="dxa"/>
          </w:tcPr>
          <w:p w14:paraId="053CFBF2" w14:textId="2C72AA9F" w:rsidR="00F274FA" w:rsidRPr="006C5B5B" w:rsidRDefault="00F274FA" w:rsidP="006010E3">
            <w:pPr>
              <w:tabs>
                <w:tab w:val="clear" w:pos="425"/>
              </w:tabs>
              <w:spacing w:after="0"/>
              <w:ind w:left="37" w:hanging="3"/>
            </w:pPr>
            <w:r w:rsidRPr="006C5B5B">
              <w:t xml:space="preserve">Příprava poloprovozu - komunikace s PDS dané sítě a zajištění jeho potřebné součinnosti vč. </w:t>
            </w:r>
            <w:r w:rsidR="003D4852" w:rsidRPr="006C5B5B">
              <w:t>příprav</w:t>
            </w:r>
            <w:r w:rsidR="003D4852">
              <w:t>y</w:t>
            </w:r>
            <w:r w:rsidR="003D4852" w:rsidRPr="006C5B5B">
              <w:t xml:space="preserve"> </w:t>
            </w:r>
            <w:r w:rsidRPr="006C5B5B">
              <w:t xml:space="preserve">a definice harmonogramu a milníků </w:t>
            </w:r>
            <w:r w:rsidR="006E3FB0" w:rsidRPr="006C5B5B">
              <w:t>nutn</w:t>
            </w:r>
            <w:r w:rsidR="006E3FB0">
              <w:t>ých</w:t>
            </w:r>
            <w:r w:rsidR="006E3FB0" w:rsidRPr="006C5B5B">
              <w:t xml:space="preserve"> </w:t>
            </w:r>
            <w:r w:rsidRPr="006C5B5B">
              <w:t xml:space="preserve">pro ověření jak </w:t>
            </w:r>
            <w:r w:rsidR="006E3FB0">
              <w:t xml:space="preserve">použité </w:t>
            </w:r>
            <w:r w:rsidRPr="006C5B5B">
              <w:t xml:space="preserve">technologie a komunikační infrastruktury, tak i návaznosti na vyvíjenou </w:t>
            </w:r>
            <w:r w:rsidR="006E3FB0" w:rsidRPr="006C5B5B">
              <w:t>aplikac</w:t>
            </w:r>
            <w:r w:rsidR="006E3FB0">
              <w:t>i</w:t>
            </w:r>
            <w:r w:rsidRPr="006C5B5B">
              <w:t>, včetně kompatibility přenášených dat</w:t>
            </w:r>
          </w:p>
        </w:tc>
        <w:tc>
          <w:tcPr>
            <w:tcW w:w="774" w:type="dxa"/>
          </w:tcPr>
          <w:p w14:paraId="0F9A1E00" w14:textId="46085035" w:rsidR="00F274FA" w:rsidRDefault="00017C6C" w:rsidP="006010E3">
            <w:pPr>
              <w:tabs>
                <w:tab w:val="clear" w:pos="425"/>
              </w:tabs>
              <w:spacing w:after="0"/>
              <w:ind w:left="28" w:hanging="141"/>
              <w:jc w:val="center"/>
            </w:pPr>
            <w:r>
              <w:t>50</w:t>
            </w:r>
          </w:p>
        </w:tc>
        <w:tc>
          <w:tcPr>
            <w:tcW w:w="797" w:type="dxa"/>
          </w:tcPr>
          <w:p w14:paraId="267DAA7D" w14:textId="47F9CECE" w:rsidR="00F274FA" w:rsidRDefault="00017C6C" w:rsidP="006010E3">
            <w:pPr>
              <w:spacing w:after="0"/>
              <w:jc w:val="center"/>
            </w:pPr>
            <w:r>
              <w:t>50</w:t>
            </w:r>
          </w:p>
        </w:tc>
        <w:tc>
          <w:tcPr>
            <w:tcW w:w="1405" w:type="dxa"/>
          </w:tcPr>
          <w:p w14:paraId="56840B4A" w14:textId="238C84D0" w:rsidR="006010E3" w:rsidRDefault="00760D88" w:rsidP="006010E3">
            <w:pPr>
              <w:tabs>
                <w:tab w:val="clear" w:pos="425"/>
              </w:tabs>
              <w:spacing w:after="0"/>
              <w:ind w:left="40" w:hanging="6"/>
              <w:jc w:val="center"/>
            </w:pPr>
            <w:proofErr w:type="spellStart"/>
            <w:r>
              <w:t>xxx</w:t>
            </w:r>
            <w:proofErr w:type="spellEnd"/>
          </w:p>
          <w:p w14:paraId="3E0231A3" w14:textId="22B1F6E8" w:rsidR="00F274FA" w:rsidRDefault="006010E3" w:rsidP="006010E3">
            <w:pPr>
              <w:tabs>
                <w:tab w:val="clear" w:pos="425"/>
              </w:tabs>
              <w:spacing w:after="0"/>
              <w:ind w:left="40" w:hanging="6"/>
              <w:jc w:val="center"/>
            </w:pPr>
            <w:r>
              <w:t>(ELVAC)</w:t>
            </w:r>
          </w:p>
        </w:tc>
      </w:tr>
      <w:tr w:rsidR="006010E3" w14:paraId="1DCD102A" w14:textId="77777777" w:rsidTr="006010E3">
        <w:tc>
          <w:tcPr>
            <w:tcW w:w="5670" w:type="dxa"/>
          </w:tcPr>
          <w:p w14:paraId="5AC1A902" w14:textId="77777777" w:rsidR="00F274FA" w:rsidRPr="006C5B5B" w:rsidRDefault="00F274FA" w:rsidP="006010E3">
            <w:pPr>
              <w:tabs>
                <w:tab w:val="clear" w:pos="425"/>
              </w:tabs>
              <w:spacing w:after="0"/>
              <w:ind w:left="37" w:hanging="3"/>
            </w:pPr>
            <w:r w:rsidRPr="006C5B5B">
              <w:t>Aktualizace a příprava HW a komunikační infrastruktury PMU - jelikož bude plánovaný poloprovoz navazovat na již existující, bude nutné provést revizi již instalovaných jednotek PMU a provést případný upgrade či parametrizaci tak, aby byla kompatibilní s přenosem dat pro vyvíjenou aplikaci</w:t>
            </w:r>
          </w:p>
        </w:tc>
        <w:tc>
          <w:tcPr>
            <w:tcW w:w="774" w:type="dxa"/>
          </w:tcPr>
          <w:p w14:paraId="527DAA23" w14:textId="77777777" w:rsidR="00F274FA" w:rsidRDefault="00F274FA" w:rsidP="006010E3">
            <w:pPr>
              <w:spacing w:after="0"/>
              <w:ind w:left="28" w:hanging="141"/>
              <w:jc w:val="center"/>
            </w:pPr>
            <w:r>
              <w:t>20</w:t>
            </w:r>
          </w:p>
        </w:tc>
        <w:tc>
          <w:tcPr>
            <w:tcW w:w="797" w:type="dxa"/>
          </w:tcPr>
          <w:p w14:paraId="39F4D695" w14:textId="77777777" w:rsidR="00F274FA" w:rsidRDefault="00F274FA" w:rsidP="006010E3">
            <w:pPr>
              <w:spacing w:after="0"/>
              <w:jc w:val="center"/>
            </w:pPr>
            <w:r>
              <w:t>80</w:t>
            </w:r>
          </w:p>
        </w:tc>
        <w:tc>
          <w:tcPr>
            <w:tcW w:w="1405" w:type="dxa"/>
          </w:tcPr>
          <w:p w14:paraId="362A2E72" w14:textId="60CFE219" w:rsidR="006010E3" w:rsidRDefault="00760D88" w:rsidP="006010E3">
            <w:pPr>
              <w:tabs>
                <w:tab w:val="clear" w:pos="425"/>
              </w:tabs>
              <w:spacing w:after="0"/>
              <w:ind w:left="40" w:hanging="6"/>
              <w:jc w:val="center"/>
            </w:pPr>
            <w:proofErr w:type="spellStart"/>
            <w:r>
              <w:t>xxx</w:t>
            </w:r>
            <w:proofErr w:type="spellEnd"/>
          </w:p>
          <w:p w14:paraId="00D8F21E" w14:textId="0B4493F3" w:rsidR="00F274FA" w:rsidRDefault="006010E3" w:rsidP="006010E3">
            <w:pPr>
              <w:tabs>
                <w:tab w:val="clear" w:pos="425"/>
              </w:tabs>
              <w:spacing w:after="0"/>
              <w:ind w:left="40" w:hanging="6"/>
              <w:jc w:val="center"/>
            </w:pPr>
            <w:r>
              <w:t>(ELVAC)</w:t>
            </w:r>
          </w:p>
        </w:tc>
      </w:tr>
      <w:tr w:rsidR="006010E3" w14:paraId="28580263" w14:textId="77777777" w:rsidTr="006010E3">
        <w:tc>
          <w:tcPr>
            <w:tcW w:w="5670" w:type="dxa"/>
          </w:tcPr>
          <w:p w14:paraId="5EF1D5A0" w14:textId="557F8E99" w:rsidR="006010E3" w:rsidRPr="006C5B5B" w:rsidRDefault="006010E3" w:rsidP="006010E3">
            <w:pPr>
              <w:tabs>
                <w:tab w:val="clear" w:pos="425"/>
              </w:tabs>
              <w:spacing w:after="0"/>
              <w:ind w:left="37" w:hanging="3"/>
            </w:pPr>
            <w:r w:rsidRPr="006C5B5B">
              <w:t>Dohled nad poloprovozem a mapováním funkce jednotlivých komponent, ladění a optimalizace vyvíjené aplikace na základě praktických zjištění</w:t>
            </w:r>
          </w:p>
        </w:tc>
        <w:tc>
          <w:tcPr>
            <w:tcW w:w="774" w:type="dxa"/>
          </w:tcPr>
          <w:p w14:paraId="7E9D5392" w14:textId="77777777" w:rsidR="006010E3" w:rsidRDefault="006010E3" w:rsidP="006010E3">
            <w:pPr>
              <w:spacing w:after="0"/>
              <w:ind w:left="28" w:hanging="141"/>
              <w:jc w:val="center"/>
            </w:pPr>
            <w:r>
              <w:t>70</w:t>
            </w:r>
          </w:p>
        </w:tc>
        <w:tc>
          <w:tcPr>
            <w:tcW w:w="797" w:type="dxa"/>
          </w:tcPr>
          <w:p w14:paraId="749BF488" w14:textId="77777777" w:rsidR="006010E3" w:rsidRDefault="006010E3" w:rsidP="006010E3">
            <w:pPr>
              <w:spacing w:after="0"/>
              <w:jc w:val="center"/>
            </w:pPr>
            <w:r>
              <w:t>30</w:t>
            </w:r>
          </w:p>
        </w:tc>
        <w:tc>
          <w:tcPr>
            <w:tcW w:w="1405" w:type="dxa"/>
          </w:tcPr>
          <w:p w14:paraId="7EECA4E9" w14:textId="2221BE50" w:rsidR="006010E3" w:rsidRDefault="00760D88" w:rsidP="006010E3">
            <w:pPr>
              <w:tabs>
                <w:tab w:val="clear" w:pos="425"/>
              </w:tabs>
              <w:spacing w:after="0"/>
              <w:ind w:left="40" w:hanging="6"/>
              <w:jc w:val="center"/>
            </w:pPr>
            <w:proofErr w:type="spellStart"/>
            <w:r>
              <w:t>xxx</w:t>
            </w:r>
            <w:proofErr w:type="spellEnd"/>
          </w:p>
          <w:p w14:paraId="1E010636" w14:textId="577F68E4" w:rsidR="006010E3" w:rsidRDefault="006010E3" w:rsidP="006010E3">
            <w:pPr>
              <w:tabs>
                <w:tab w:val="clear" w:pos="425"/>
              </w:tabs>
              <w:spacing w:after="0"/>
              <w:ind w:left="40" w:hanging="6"/>
              <w:jc w:val="center"/>
            </w:pPr>
            <w:r>
              <w:t>(VUT)</w:t>
            </w:r>
          </w:p>
        </w:tc>
      </w:tr>
      <w:tr w:rsidR="006010E3" w14:paraId="4993989F" w14:textId="77777777" w:rsidTr="006010E3">
        <w:tc>
          <w:tcPr>
            <w:tcW w:w="5670" w:type="dxa"/>
          </w:tcPr>
          <w:p w14:paraId="53604F5A" w14:textId="77777777" w:rsidR="006010E3" w:rsidRPr="006C5B5B" w:rsidRDefault="006010E3" w:rsidP="006010E3">
            <w:pPr>
              <w:tabs>
                <w:tab w:val="clear" w:pos="425"/>
              </w:tabs>
              <w:spacing w:after="0"/>
              <w:ind w:left="37" w:hanging="3"/>
            </w:pPr>
            <w:r w:rsidRPr="006C5B5B">
              <w:t>Zpracování úplné technické dokumentace</w:t>
            </w:r>
          </w:p>
        </w:tc>
        <w:tc>
          <w:tcPr>
            <w:tcW w:w="774" w:type="dxa"/>
          </w:tcPr>
          <w:p w14:paraId="30D12329" w14:textId="77777777" w:rsidR="006010E3" w:rsidRDefault="006010E3" w:rsidP="006010E3">
            <w:pPr>
              <w:spacing w:after="0"/>
              <w:ind w:left="28" w:hanging="141"/>
              <w:jc w:val="center"/>
            </w:pPr>
            <w:r>
              <w:t>60</w:t>
            </w:r>
          </w:p>
        </w:tc>
        <w:tc>
          <w:tcPr>
            <w:tcW w:w="797" w:type="dxa"/>
          </w:tcPr>
          <w:p w14:paraId="623EB236" w14:textId="77777777" w:rsidR="006010E3" w:rsidRDefault="006010E3" w:rsidP="006010E3">
            <w:pPr>
              <w:spacing w:after="0"/>
              <w:jc w:val="center"/>
            </w:pPr>
            <w:r>
              <w:t>40</w:t>
            </w:r>
          </w:p>
        </w:tc>
        <w:tc>
          <w:tcPr>
            <w:tcW w:w="1405" w:type="dxa"/>
          </w:tcPr>
          <w:p w14:paraId="53EAE807" w14:textId="038EC5C1" w:rsidR="006010E3" w:rsidRDefault="00760D88" w:rsidP="006010E3">
            <w:pPr>
              <w:tabs>
                <w:tab w:val="clear" w:pos="425"/>
              </w:tabs>
              <w:spacing w:after="0"/>
              <w:ind w:left="40" w:hanging="6"/>
              <w:jc w:val="center"/>
            </w:pPr>
            <w:r>
              <w:t>xxx</w:t>
            </w:r>
          </w:p>
          <w:p w14:paraId="1A47A50D" w14:textId="75D44635" w:rsidR="006010E3" w:rsidRDefault="006010E3" w:rsidP="006010E3">
            <w:pPr>
              <w:spacing w:after="0"/>
              <w:ind w:left="40" w:hanging="6"/>
              <w:jc w:val="center"/>
            </w:pPr>
            <w:r>
              <w:t>(VUT)</w:t>
            </w:r>
          </w:p>
        </w:tc>
      </w:tr>
    </w:tbl>
    <w:p w14:paraId="6447245E" w14:textId="184B0484" w:rsidR="00F274FA" w:rsidRDefault="00F274FA" w:rsidP="00EE64BC">
      <w:pPr>
        <w:rPr>
          <w:color w:val="auto"/>
        </w:rPr>
      </w:pPr>
    </w:p>
    <w:p w14:paraId="2C797324" w14:textId="77777777" w:rsidR="00EE64BC" w:rsidRPr="00CF26C4" w:rsidRDefault="00EE64BC" w:rsidP="008516B3">
      <w:pPr>
        <w:pStyle w:val="Nadpis2"/>
        <w:rPr>
          <w:color w:val="auto"/>
        </w:rPr>
      </w:pPr>
      <w:r w:rsidRPr="00CF26C4">
        <w:rPr>
          <w:color w:val="auto"/>
        </w:rPr>
        <w:t>IV.</w:t>
      </w:r>
      <w:r w:rsidRPr="00CF26C4">
        <w:rPr>
          <w:color w:val="auto"/>
        </w:rPr>
        <w:br/>
        <w:t>Finanční zajištění projektu</w:t>
      </w:r>
    </w:p>
    <w:p w14:paraId="31EF662B" w14:textId="4B6623F6" w:rsidR="000950F5" w:rsidRPr="00CF26C4" w:rsidRDefault="00EE64BC" w:rsidP="000950F5">
      <w:pPr>
        <w:spacing w:after="240"/>
        <w:rPr>
          <w:color w:val="auto"/>
        </w:rPr>
      </w:pPr>
      <w:r w:rsidRPr="00CF26C4">
        <w:rPr>
          <w:color w:val="auto"/>
        </w:rPr>
        <w:t>1.</w:t>
      </w:r>
      <w:r w:rsidRPr="00CF26C4">
        <w:rPr>
          <w:color w:val="auto"/>
        </w:rPr>
        <w:tab/>
      </w:r>
      <w:r w:rsidR="000950F5" w:rsidRPr="00CF26C4">
        <w:rPr>
          <w:color w:val="auto"/>
        </w:rPr>
        <w:t>Celkový rozpočet dle návrhu Projektu činí 4 919 146 Kč. Předpokládaná částka na řešení Projektu poukázaná Poskytovatelem za celé období činí dle návrhu Projektu 3 443 305 Kč.</w:t>
      </w:r>
    </w:p>
    <w:p w14:paraId="482F5171" w14:textId="7C5F2485" w:rsidR="000950F5" w:rsidRPr="00CF26C4" w:rsidRDefault="000950F5" w:rsidP="000950F5">
      <w:pPr>
        <w:spacing w:after="240"/>
        <w:rPr>
          <w:color w:val="auto"/>
        </w:rPr>
      </w:pPr>
      <w:r w:rsidRPr="00CF26C4">
        <w:rPr>
          <w:color w:val="auto"/>
        </w:rPr>
        <w:t>2.</w:t>
      </w:r>
      <w:r w:rsidRPr="00CF26C4">
        <w:rPr>
          <w:color w:val="auto"/>
        </w:rPr>
        <w:tab/>
        <w:t xml:space="preserve">Příjemce se na základě této Smlouvy zavazuje převést Dalšímu účastníku na řešení jednotlivých úkolů v rámci Projektu a splnění cílů řešení Projektu neinvestiční účelové finanční prostředky, dále též jako </w:t>
      </w:r>
      <w:r w:rsidRPr="00CF26C4">
        <w:rPr>
          <w:b/>
          <w:color w:val="auto"/>
        </w:rPr>
        <w:t>„Prostředky“</w:t>
      </w:r>
      <w:r w:rsidRPr="00CF26C4">
        <w:rPr>
          <w:color w:val="auto"/>
        </w:rPr>
        <w:t>, ve výši 1 475 790,- Kč, v jednotlivých letech 2024 až 2026 dle tabulky níže.</w:t>
      </w:r>
    </w:p>
    <w:tbl>
      <w:tblPr>
        <w:tblW w:w="7280" w:type="dxa"/>
        <w:jc w:val="center"/>
        <w:tblCellMar>
          <w:left w:w="70" w:type="dxa"/>
          <w:right w:w="70" w:type="dxa"/>
        </w:tblCellMar>
        <w:tblLook w:val="04A0" w:firstRow="1" w:lastRow="0" w:firstColumn="1" w:lastColumn="0" w:noHBand="0" w:noVBand="1"/>
      </w:tblPr>
      <w:tblGrid>
        <w:gridCol w:w="960"/>
        <w:gridCol w:w="1580"/>
        <w:gridCol w:w="1580"/>
        <w:gridCol w:w="1580"/>
        <w:gridCol w:w="1580"/>
      </w:tblGrid>
      <w:tr w:rsidR="00CF26C4" w:rsidRPr="00CF26C4" w14:paraId="300ABE22" w14:textId="77777777" w:rsidTr="006C04D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544360" w14:textId="77777777"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rFonts w:ascii="Calibri" w:eastAsia="Times New Roman" w:hAnsi="Calibri"/>
                <w:b/>
                <w:bCs/>
                <w:color w:val="auto"/>
                <w:lang w:eastAsia="cs-CZ"/>
              </w:rPr>
              <w:t>ROK</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A9A638" w14:textId="19B559DD"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rFonts w:ascii="Calibri" w:eastAsia="Times New Roman" w:hAnsi="Calibri"/>
                <w:b/>
                <w:bCs/>
                <w:color w:val="auto"/>
                <w:lang w:eastAsia="cs-CZ"/>
              </w:rPr>
              <w:t>2024</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5AA536" w14:textId="403D8067"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rFonts w:ascii="Calibri" w:eastAsia="Times New Roman" w:hAnsi="Calibri"/>
                <w:b/>
                <w:bCs/>
                <w:color w:val="auto"/>
                <w:lang w:eastAsia="cs-CZ"/>
              </w:rPr>
              <w:t>2025</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80CDA0" w14:textId="7C593909"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rFonts w:ascii="Calibri" w:eastAsia="Times New Roman" w:hAnsi="Calibri"/>
                <w:b/>
                <w:bCs/>
                <w:color w:val="auto"/>
                <w:lang w:eastAsia="cs-CZ"/>
              </w:rPr>
              <w:t>2026</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5D5820" w14:textId="77777777"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rFonts w:ascii="Calibri" w:eastAsia="Times New Roman" w:hAnsi="Calibri"/>
                <w:b/>
                <w:bCs/>
                <w:color w:val="auto"/>
                <w:lang w:eastAsia="cs-CZ"/>
              </w:rPr>
              <w:t>CELKEM</w:t>
            </w:r>
          </w:p>
        </w:tc>
      </w:tr>
      <w:tr w:rsidR="00CF26C4" w:rsidRPr="00CF26C4" w14:paraId="0AD2F75D" w14:textId="77777777" w:rsidTr="000950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CF798" w14:textId="247F209B"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rFonts w:ascii="Calibri" w:eastAsia="Times New Roman" w:hAnsi="Calibri"/>
                <w:b/>
                <w:bCs/>
                <w:color w:val="auto"/>
                <w:lang w:eastAsia="cs-CZ"/>
              </w:rPr>
              <w:t>ELVAC</w:t>
            </w:r>
          </w:p>
        </w:tc>
        <w:tc>
          <w:tcPr>
            <w:tcW w:w="1580" w:type="dxa"/>
            <w:tcBorders>
              <w:top w:val="nil"/>
              <w:left w:val="nil"/>
              <w:bottom w:val="single" w:sz="4" w:space="0" w:color="auto"/>
              <w:right w:val="single" w:sz="4" w:space="0" w:color="auto"/>
            </w:tcBorders>
            <w:shd w:val="clear" w:color="auto" w:fill="auto"/>
            <w:noWrap/>
            <w:vAlign w:val="center"/>
          </w:tcPr>
          <w:p w14:paraId="03234283" w14:textId="6A265924" w:rsidR="000950F5" w:rsidRPr="00CF26C4" w:rsidRDefault="000950F5" w:rsidP="006C04DC">
            <w:pPr>
              <w:tabs>
                <w:tab w:val="clear" w:pos="425"/>
              </w:tabs>
              <w:spacing w:after="0"/>
              <w:ind w:left="0" w:firstLine="0"/>
              <w:jc w:val="center"/>
              <w:rPr>
                <w:rFonts w:ascii="Calibri" w:eastAsia="Times New Roman" w:hAnsi="Calibri"/>
                <w:color w:val="auto"/>
                <w:lang w:eastAsia="cs-CZ"/>
              </w:rPr>
            </w:pPr>
            <w:r w:rsidRPr="00CF26C4">
              <w:rPr>
                <w:rFonts w:ascii="Calibri" w:eastAsia="Times New Roman" w:hAnsi="Calibri"/>
                <w:color w:val="auto"/>
                <w:lang w:eastAsia="cs-CZ"/>
              </w:rPr>
              <w:t>601 544</w:t>
            </w:r>
          </w:p>
        </w:tc>
        <w:tc>
          <w:tcPr>
            <w:tcW w:w="1580" w:type="dxa"/>
            <w:tcBorders>
              <w:top w:val="nil"/>
              <w:left w:val="nil"/>
              <w:bottom w:val="single" w:sz="4" w:space="0" w:color="auto"/>
              <w:right w:val="single" w:sz="4" w:space="0" w:color="auto"/>
            </w:tcBorders>
            <w:shd w:val="clear" w:color="auto" w:fill="auto"/>
            <w:noWrap/>
            <w:vAlign w:val="center"/>
          </w:tcPr>
          <w:p w14:paraId="7ABB4938" w14:textId="5A5CECC4" w:rsidR="000950F5" w:rsidRPr="00CF26C4" w:rsidRDefault="000950F5" w:rsidP="006C04DC">
            <w:pPr>
              <w:tabs>
                <w:tab w:val="clear" w:pos="425"/>
              </w:tabs>
              <w:spacing w:after="0"/>
              <w:ind w:left="0" w:firstLine="0"/>
              <w:jc w:val="center"/>
              <w:rPr>
                <w:rFonts w:ascii="Calibri" w:eastAsia="Times New Roman" w:hAnsi="Calibri"/>
                <w:color w:val="auto"/>
                <w:lang w:eastAsia="cs-CZ"/>
              </w:rPr>
            </w:pPr>
            <w:r w:rsidRPr="00CF26C4">
              <w:rPr>
                <w:rFonts w:ascii="Calibri" w:eastAsia="Times New Roman" w:hAnsi="Calibri"/>
                <w:color w:val="auto"/>
                <w:lang w:eastAsia="cs-CZ"/>
              </w:rPr>
              <w:t>735 633</w:t>
            </w:r>
          </w:p>
        </w:tc>
        <w:tc>
          <w:tcPr>
            <w:tcW w:w="1580" w:type="dxa"/>
            <w:tcBorders>
              <w:top w:val="nil"/>
              <w:left w:val="nil"/>
              <w:bottom w:val="single" w:sz="4" w:space="0" w:color="auto"/>
              <w:right w:val="single" w:sz="4" w:space="0" w:color="auto"/>
            </w:tcBorders>
            <w:shd w:val="clear" w:color="auto" w:fill="auto"/>
            <w:noWrap/>
            <w:vAlign w:val="center"/>
          </w:tcPr>
          <w:p w14:paraId="7DF4DAEF" w14:textId="55F758D4" w:rsidR="000950F5" w:rsidRPr="00CF26C4" w:rsidRDefault="000950F5" w:rsidP="006C04DC">
            <w:pPr>
              <w:tabs>
                <w:tab w:val="clear" w:pos="425"/>
              </w:tabs>
              <w:spacing w:after="0"/>
              <w:ind w:left="0" w:firstLine="0"/>
              <w:jc w:val="center"/>
              <w:rPr>
                <w:rFonts w:ascii="Calibri" w:eastAsia="Times New Roman" w:hAnsi="Calibri"/>
                <w:color w:val="auto"/>
                <w:lang w:eastAsia="cs-CZ"/>
              </w:rPr>
            </w:pPr>
            <w:r w:rsidRPr="00CF26C4">
              <w:rPr>
                <w:rFonts w:ascii="Calibri" w:eastAsia="Times New Roman" w:hAnsi="Calibri"/>
                <w:color w:val="auto"/>
                <w:lang w:eastAsia="cs-CZ"/>
              </w:rPr>
              <w:t>138 613</w:t>
            </w:r>
          </w:p>
        </w:tc>
        <w:tc>
          <w:tcPr>
            <w:tcW w:w="1580" w:type="dxa"/>
            <w:tcBorders>
              <w:top w:val="nil"/>
              <w:left w:val="nil"/>
              <w:bottom w:val="single" w:sz="4" w:space="0" w:color="auto"/>
              <w:right w:val="single" w:sz="4" w:space="0" w:color="auto"/>
            </w:tcBorders>
            <w:shd w:val="clear" w:color="auto" w:fill="auto"/>
            <w:noWrap/>
            <w:vAlign w:val="center"/>
            <w:hideMark/>
          </w:tcPr>
          <w:p w14:paraId="358001D4" w14:textId="71D74357" w:rsidR="000950F5" w:rsidRPr="00CF26C4" w:rsidRDefault="000950F5" w:rsidP="006C04DC">
            <w:pPr>
              <w:tabs>
                <w:tab w:val="clear" w:pos="425"/>
              </w:tabs>
              <w:spacing w:after="0"/>
              <w:ind w:left="0" w:firstLine="0"/>
              <w:jc w:val="center"/>
              <w:rPr>
                <w:rFonts w:ascii="Calibri" w:eastAsia="Times New Roman" w:hAnsi="Calibri"/>
                <w:b/>
                <w:bCs/>
                <w:color w:val="auto"/>
                <w:lang w:eastAsia="cs-CZ"/>
              </w:rPr>
            </w:pPr>
            <w:r w:rsidRPr="00CF26C4">
              <w:rPr>
                <w:color w:val="auto"/>
              </w:rPr>
              <w:t>1 475 790</w:t>
            </w:r>
          </w:p>
        </w:tc>
      </w:tr>
    </w:tbl>
    <w:p w14:paraId="5A6859FD" w14:textId="77777777" w:rsidR="000950F5" w:rsidRPr="00CF26C4" w:rsidRDefault="000950F5" w:rsidP="000950F5">
      <w:pPr>
        <w:spacing w:before="240"/>
        <w:rPr>
          <w:color w:val="auto"/>
        </w:rPr>
      </w:pPr>
      <w:r w:rsidRPr="00CF26C4">
        <w:rPr>
          <w:color w:val="auto"/>
        </w:rPr>
        <w:t>3.</w:t>
      </w:r>
      <w:r w:rsidRPr="00CF26C4">
        <w:rPr>
          <w:color w:val="auto"/>
        </w:rPr>
        <w:tab/>
        <w:t>Tyto Prostředky je Příjemce povinen Dalšímu účastníku uhradit vždy bezhotovostním převodem na jeho bankovní účet uvedený v záhlaví Smlouvy nejpozději do 20 pracovních dnů po obdržení Prostředků od Poskytovatele.</w:t>
      </w:r>
    </w:p>
    <w:p w14:paraId="70512961" w14:textId="77777777" w:rsidR="000950F5" w:rsidRPr="00CF26C4" w:rsidRDefault="000950F5" w:rsidP="000950F5">
      <w:pPr>
        <w:rPr>
          <w:color w:val="auto"/>
        </w:rPr>
      </w:pPr>
      <w:r w:rsidRPr="00CF26C4">
        <w:rPr>
          <w:color w:val="auto"/>
        </w:rPr>
        <w:lastRenderedPageBreak/>
        <w:t>4.</w:t>
      </w:r>
      <w:r w:rsidRPr="00CF26C4">
        <w:rPr>
          <w:color w:val="auto"/>
        </w:rPr>
        <w:tab/>
        <w:t>V případě, že Poskytovatel rozhodne o poskytnutí odlišné částky na řešení Projektu, než je uvedena v návrhu Projektu, nebo poskytne částky v jiném časovém členění, zavazují se Smluvní strany upravit v příslušném poměru výši Prostředků příslušejících jednotlivým účastníkům nebo jejich časové členění dodatkem k této Smlouvě.</w:t>
      </w:r>
    </w:p>
    <w:p w14:paraId="74AD72B5" w14:textId="37455E76" w:rsidR="000950F5" w:rsidRPr="00CF26C4" w:rsidRDefault="000950F5" w:rsidP="000950F5">
      <w:pPr>
        <w:rPr>
          <w:color w:val="auto"/>
        </w:rPr>
      </w:pPr>
      <w:r w:rsidRPr="00CF26C4">
        <w:rPr>
          <w:color w:val="auto"/>
        </w:rPr>
        <w:t>5.</w:t>
      </w:r>
      <w:r w:rsidRPr="00CF26C4">
        <w:rPr>
          <w:color w:val="auto"/>
        </w:rPr>
        <w:tab/>
        <w:t xml:space="preserve">Převáděné Prostředky nejsou předmětem DPH. </w:t>
      </w:r>
    </w:p>
    <w:p w14:paraId="3D168F5A" w14:textId="77777777" w:rsidR="000950F5" w:rsidRPr="002E09FA" w:rsidRDefault="000950F5" w:rsidP="000950F5">
      <w:pPr>
        <w:rPr>
          <w:color w:val="auto"/>
        </w:rPr>
      </w:pPr>
      <w:r w:rsidRPr="00CF26C4">
        <w:rPr>
          <w:color w:val="auto"/>
        </w:rPr>
        <w:t>6.</w:t>
      </w:r>
      <w:r w:rsidRPr="00CF26C4">
        <w:rPr>
          <w:color w:val="auto"/>
        </w:rPr>
        <w:tab/>
        <w:t>Prostředky dle této Smlouvy jsou Příjemcem Dalšímu účastníku poskytovány na úhradu skutečně vynalo</w:t>
      </w:r>
      <w:r w:rsidRPr="002E09FA">
        <w:rPr>
          <w:color w:val="auto"/>
        </w:rPr>
        <w:t>žených provozních nákladů účelově vymezených touto Smlouvou.</w:t>
      </w:r>
    </w:p>
    <w:p w14:paraId="25864471" w14:textId="77777777" w:rsidR="000950F5" w:rsidRPr="002E09FA" w:rsidRDefault="000950F5" w:rsidP="000950F5">
      <w:pPr>
        <w:rPr>
          <w:color w:val="auto"/>
        </w:rPr>
      </w:pPr>
      <w:r w:rsidRPr="002E09FA">
        <w:rPr>
          <w:color w:val="auto"/>
        </w:rPr>
        <w:t>7.</w:t>
      </w:r>
      <w:r w:rsidRPr="002E09FA">
        <w:rPr>
          <w:color w:val="auto"/>
        </w:rPr>
        <w:tab/>
        <w:t>Smluvní strany ujednávají, že jejich finanční vklad do spolupráce na řešení Projektu je:</w:t>
      </w:r>
    </w:p>
    <w:p w14:paraId="2AFC673D" w14:textId="7E344B9A" w:rsidR="000950F5" w:rsidRPr="002E09FA" w:rsidRDefault="000950F5" w:rsidP="000950F5">
      <w:pPr>
        <w:pStyle w:val="Odstavecseseznamem"/>
        <w:numPr>
          <w:ilvl w:val="0"/>
          <w:numId w:val="7"/>
        </w:numPr>
        <w:tabs>
          <w:tab w:val="clear" w:pos="425"/>
        </w:tabs>
        <w:rPr>
          <w:color w:val="auto"/>
        </w:rPr>
      </w:pPr>
      <w:r w:rsidRPr="002E09FA">
        <w:rPr>
          <w:color w:val="auto"/>
        </w:rPr>
        <w:t>ze strany Příjemce: 0,- Kč,</w:t>
      </w:r>
    </w:p>
    <w:p w14:paraId="30114DE0" w14:textId="4EEAF2C9" w:rsidR="000950F5" w:rsidRPr="002E09FA" w:rsidRDefault="000950F5" w:rsidP="000950F5">
      <w:pPr>
        <w:pStyle w:val="Odstavecseseznamem"/>
        <w:numPr>
          <w:ilvl w:val="0"/>
          <w:numId w:val="7"/>
        </w:numPr>
        <w:tabs>
          <w:tab w:val="clear" w:pos="425"/>
        </w:tabs>
        <w:rPr>
          <w:color w:val="auto"/>
        </w:rPr>
      </w:pPr>
      <w:r w:rsidRPr="002E09FA">
        <w:rPr>
          <w:color w:val="auto"/>
        </w:rPr>
        <w:t xml:space="preserve">ze strany Dalšího účastníka: </w:t>
      </w:r>
      <w:r w:rsidR="00AB7E69" w:rsidRPr="002E09FA">
        <w:rPr>
          <w:color w:val="auto"/>
        </w:rPr>
        <w:t>1 475 841</w:t>
      </w:r>
      <w:r w:rsidRPr="002E09FA">
        <w:rPr>
          <w:color w:val="auto"/>
        </w:rPr>
        <w:t>,- Kč.</w:t>
      </w:r>
    </w:p>
    <w:p w14:paraId="32F486DB" w14:textId="2A00C6FD" w:rsidR="003C14B8" w:rsidRPr="002E09FA" w:rsidRDefault="001B3E0A" w:rsidP="000950F5">
      <w:pPr>
        <w:rPr>
          <w:color w:val="auto"/>
        </w:rPr>
      </w:pPr>
      <w:r w:rsidRPr="002E09FA">
        <w:rPr>
          <w:color w:val="auto"/>
        </w:rPr>
        <w:t>8</w:t>
      </w:r>
      <w:r w:rsidR="000F3B18" w:rsidRPr="002E09FA">
        <w:rPr>
          <w:color w:val="auto"/>
        </w:rPr>
        <w:t xml:space="preserve">. </w:t>
      </w:r>
      <w:r w:rsidR="00B05B44" w:rsidRPr="002E09FA">
        <w:rPr>
          <w:color w:val="auto"/>
        </w:rPr>
        <w:tab/>
        <w:t>Zahraniční partne</w:t>
      </w:r>
      <w:r w:rsidR="00016B85" w:rsidRPr="002E09FA">
        <w:rPr>
          <w:color w:val="auto"/>
        </w:rPr>
        <w:t>ři</w:t>
      </w:r>
      <w:r w:rsidR="00B05B44" w:rsidRPr="002E09FA">
        <w:rPr>
          <w:color w:val="auto"/>
        </w:rPr>
        <w:t xml:space="preserve"> </w:t>
      </w:r>
      <w:r w:rsidR="001F7881" w:rsidRPr="002E09FA">
        <w:rPr>
          <w:color w:val="auto"/>
        </w:rPr>
        <w:t>získali</w:t>
      </w:r>
      <w:r w:rsidR="00B05B44" w:rsidRPr="002E09FA">
        <w:rPr>
          <w:color w:val="auto"/>
        </w:rPr>
        <w:t xml:space="preserve"> podpor</w:t>
      </w:r>
      <w:r w:rsidR="001F7881" w:rsidRPr="002E09FA">
        <w:rPr>
          <w:color w:val="auto"/>
        </w:rPr>
        <w:t>u</w:t>
      </w:r>
      <w:r w:rsidR="00B05B44" w:rsidRPr="002E09FA">
        <w:rPr>
          <w:color w:val="auto"/>
        </w:rPr>
        <w:t xml:space="preserve"> pro řešení </w:t>
      </w:r>
      <w:r w:rsidR="004513F9" w:rsidRPr="002E09FA">
        <w:rPr>
          <w:color w:val="auto"/>
        </w:rPr>
        <w:t xml:space="preserve">vlastních </w:t>
      </w:r>
      <w:r w:rsidR="00B05B44" w:rsidRPr="002E09FA">
        <w:rPr>
          <w:color w:val="auto"/>
        </w:rPr>
        <w:t>úkolů</w:t>
      </w:r>
      <w:r w:rsidR="00F92A99" w:rsidRPr="002E09FA">
        <w:rPr>
          <w:color w:val="auto"/>
        </w:rPr>
        <w:t xml:space="preserve"> a aktivit</w:t>
      </w:r>
      <w:r w:rsidR="00B05B44" w:rsidRPr="002E09FA">
        <w:rPr>
          <w:color w:val="auto"/>
        </w:rPr>
        <w:t xml:space="preserve"> v</w:t>
      </w:r>
      <w:r w:rsidR="004513F9" w:rsidRPr="002E09FA">
        <w:rPr>
          <w:color w:val="auto"/>
        </w:rPr>
        <w:t> </w:t>
      </w:r>
      <w:r w:rsidR="00B05B44" w:rsidRPr="002E09FA">
        <w:rPr>
          <w:color w:val="auto"/>
        </w:rPr>
        <w:t>rámci</w:t>
      </w:r>
      <w:r w:rsidR="004513F9" w:rsidRPr="002E09FA">
        <w:rPr>
          <w:color w:val="auto"/>
        </w:rPr>
        <w:t xml:space="preserve"> společného mezinárodního</w:t>
      </w:r>
      <w:r w:rsidR="00B05B44" w:rsidRPr="002E09FA">
        <w:rPr>
          <w:color w:val="auto"/>
        </w:rPr>
        <w:t xml:space="preserve"> </w:t>
      </w:r>
      <w:r w:rsidR="004513F9" w:rsidRPr="002E09FA">
        <w:rPr>
          <w:color w:val="auto"/>
        </w:rPr>
        <w:t>p</w:t>
      </w:r>
      <w:r w:rsidR="00B05B44" w:rsidRPr="002E09FA">
        <w:rPr>
          <w:color w:val="auto"/>
        </w:rPr>
        <w:t xml:space="preserve">rojektu od partnerské zahraniční agentury. Předpokládané financování </w:t>
      </w:r>
      <w:r w:rsidR="001F7881" w:rsidRPr="002E09FA">
        <w:rPr>
          <w:color w:val="auto"/>
        </w:rPr>
        <w:t xml:space="preserve">mezinárodní </w:t>
      </w:r>
      <w:r w:rsidR="00B05B44" w:rsidRPr="002E09FA">
        <w:rPr>
          <w:color w:val="auto"/>
        </w:rPr>
        <w:t xml:space="preserve">části </w:t>
      </w:r>
      <w:r w:rsidR="004513F9" w:rsidRPr="002E09FA">
        <w:rPr>
          <w:color w:val="auto"/>
        </w:rPr>
        <w:t>p</w:t>
      </w:r>
      <w:r w:rsidR="00B05B44" w:rsidRPr="002E09FA">
        <w:rPr>
          <w:color w:val="auto"/>
        </w:rPr>
        <w:t>rojektu, řešené zahraničním</w:t>
      </w:r>
      <w:r w:rsidR="001F7881" w:rsidRPr="002E09FA">
        <w:rPr>
          <w:color w:val="auto"/>
        </w:rPr>
        <w:t>i</w:t>
      </w:r>
      <w:r w:rsidR="00B05B44" w:rsidRPr="002E09FA">
        <w:rPr>
          <w:color w:val="auto"/>
        </w:rPr>
        <w:t xml:space="preserve"> partner</w:t>
      </w:r>
      <w:r w:rsidR="001F7881" w:rsidRPr="002E09FA">
        <w:rPr>
          <w:color w:val="auto"/>
        </w:rPr>
        <w:t>y</w:t>
      </w:r>
      <w:r w:rsidR="00E729C7" w:rsidRPr="002E09FA">
        <w:rPr>
          <w:color w:val="auto"/>
        </w:rPr>
        <w:t>,</w:t>
      </w:r>
      <w:r w:rsidR="00B05B44" w:rsidRPr="002E09FA">
        <w:rPr>
          <w:color w:val="auto"/>
        </w:rPr>
        <w:t xml:space="preserve"> je popsáno ve formuláři </w:t>
      </w:r>
      <w:proofErr w:type="spellStart"/>
      <w:r w:rsidRPr="002E09FA">
        <w:rPr>
          <w:color w:val="auto"/>
        </w:rPr>
        <w:t>P</w:t>
      </w:r>
      <w:r w:rsidR="00B05B44" w:rsidRPr="002E09FA">
        <w:rPr>
          <w:color w:val="auto"/>
        </w:rPr>
        <w:t>roposal</w:t>
      </w:r>
      <w:proofErr w:type="spellEnd"/>
      <w:r w:rsidR="00B05B44" w:rsidRPr="002E09FA">
        <w:rPr>
          <w:color w:val="auto"/>
        </w:rPr>
        <w:t>,</w:t>
      </w:r>
      <w:r w:rsidR="009012DF" w:rsidRPr="002E09FA">
        <w:rPr>
          <w:color w:val="auto"/>
        </w:rPr>
        <w:t xml:space="preserve"> </w:t>
      </w:r>
      <w:r w:rsidR="003C14B8" w:rsidRPr="002E09FA">
        <w:rPr>
          <w:color w:val="auto"/>
        </w:rPr>
        <w:t>který je přikládán k návrhu projektu, předkládanému TA</w:t>
      </w:r>
      <w:r w:rsidR="00F92A99" w:rsidRPr="002E09FA">
        <w:rPr>
          <w:color w:val="auto"/>
        </w:rPr>
        <w:t xml:space="preserve"> </w:t>
      </w:r>
      <w:r w:rsidR="003C14B8" w:rsidRPr="002E09FA">
        <w:rPr>
          <w:color w:val="auto"/>
        </w:rPr>
        <w:t xml:space="preserve">ČR. </w:t>
      </w:r>
    </w:p>
    <w:p w14:paraId="2D000CB5" w14:textId="3F0B637D" w:rsidR="00EE64BC" w:rsidRPr="002E09FA" w:rsidRDefault="00EE64BC" w:rsidP="003C14B8">
      <w:pPr>
        <w:tabs>
          <w:tab w:val="clear" w:pos="425"/>
        </w:tabs>
        <w:rPr>
          <w:color w:val="auto"/>
        </w:rPr>
      </w:pPr>
    </w:p>
    <w:p w14:paraId="75F44914" w14:textId="77777777" w:rsidR="00EE64BC" w:rsidRPr="002E09FA" w:rsidRDefault="00EE64BC" w:rsidP="008516B3">
      <w:pPr>
        <w:pStyle w:val="Nadpis2"/>
        <w:rPr>
          <w:color w:val="auto"/>
        </w:rPr>
      </w:pPr>
      <w:r w:rsidRPr="002E09FA">
        <w:rPr>
          <w:color w:val="auto"/>
        </w:rPr>
        <w:t>V.</w:t>
      </w:r>
      <w:r w:rsidRPr="002E09FA">
        <w:rPr>
          <w:color w:val="auto"/>
        </w:rPr>
        <w:br/>
        <w:t>Podmínky použití poskytnutých účelových finančních prostředků</w:t>
      </w:r>
    </w:p>
    <w:p w14:paraId="37A46F7D" w14:textId="11232F45" w:rsidR="00EE64BC" w:rsidRPr="002E09FA" w:rsidRDefault="00EE64BC" w:rsidP="00EE64BC">
      <w:pPr>
        <w:rPr>
          <w:color w:val="auto"/>
        </w:rPr>
      </w:pPr>
      <w:r w:rsidRPr="002E09FA">
        <w:rPr>
          <w:color w:val="auto"/>
        </w:rPr>
        <w:t>1.</w:t>
      </w:r>
      <w:r w:rsidRPr="002E09FA">
        <w:rPr>
          <w:color w:val="auto"/>
        </w:rPr>
        <w:tab/>
        <w:t xml:space="preserve">Další účastník je povinen: </w:t>
      </w:r>
    </w:p>
    <w:p w14:paraId="3A55E58D" w14:textId="08E77200" w:rsidR="00EE64BC" w:rsidRPr="002E09FA" w:rsidRDefault="00EE64BC" w:rsidP="00EE64BC">
      <w:pPr>
        <w:pStyle w:val="Odstavecseseznamem"/>
        <w:numPr>
          <w:ilvl w:val="0"/>
          <w:numId w:val="4"/>
        </w:numPr>
        <w:tabs>
          <w:tab w:val="clear" w:pos="425"/>
        </w:tabs>
        <w:rPr>
          <w:color w:val="auto"/>
        </w:rPr>
      </w:pPr>
      <w:r w:rsidRPr="002E09FA">
        <w:rPr>
          <w:color w:val="auto"/>
        </w:rPr>
        <w:t xml:space="preserve">Použít </w:t>
      </w:r>
      <w:r w:rsidR="00CF4E96" w:rsidRPr="002E09FA">
        <w:rPr>
          <w:color w:val="auto"/>
        </w:rPr>
        <w:t>Prostředky</w:t>
      </w:r>
      <w:r w:rsidRPr="002E09FA">
        <w:rPr>
          <w:color w:val="auto"/>
        </w:rPr>
        <w:t xml:space="preserve"> výhradně k úhradě prokazatelných, nezbytně nutných nákladů přímo souvisejících s plněním cílů a parametrů řešené č</w:t>
      </w:r>
      <w:r w:rsidR="00155579" w:rsidRPr="002E09FA">
        <w:rPr>
          <w:color w:val="auto"/>
        </w:rPr>
        <w:t xml:space="preserve">ásti </w:t>
      </w:r>
      <w:r w:rsidR="00CF4E96" w:rsidRPr="002E09FA">
        <w:rPr>
          <w:color w:val="auto"/>
        </w:rPr>
        <w:t>P</w:t>
      </w:r>
      <w:r w:rsidR="00155579" w:rsidRPr="002E09FA">
        <w:rPr>
          <w:color w:val="auto"/>
        </w:rPr>
        <w:t>rojektu, a to v souladu s </w:t>
      </w:r>
      <w:r w:rsidRPr="002E09FA">
        <w:rPr>
          <w:color w:val="auto"/>
        </w:rPr>
        <w:t>podmínkami stanovenými obecně závaznými právními předpisy.</w:t>
      </w:r>
    </w:p>
    <w:p w14:paraId="0C543595" w14:textId="7DB3ACD6" w:rsidR="00EE64BC" w:rsidRPr="002E09FA" w:rsidRDefault="00EE64BC" w:rsidP="00EE64BC">
      <w:pPr>
        <w:pStyle w:val="Odstavecseseznamem"/>
        <w:numPr>
          <w:ilvl w:val="0"/>
          <w:numId w:val="4"/>
        </w:numPr>
        <w:tabs>
          <w:tab w:val="clear" w:pos="425"/>
        </w:tabs>
        <w:rPr>
          <w:color w:val="auto"/>
        </w:rPr>
      </w:pPr>
      <w:r w:rsidRPr="002E09FA">
        <w:rPr>
          <w:color w:val="auto"/>
        </w:rPr>
        <w:t xml:space="preserve">Vést o čerpání a užití </w:t>
      </w:r>
      <w:r w:rsidR="00CF4E96" w:rsidRPr="002E09FA">
        <w:rPr>
          <w:color w:val="auto"/>
        </w:rPr>
        <w:t>Prostředků</w:t>
      </w:r>
      <w:r w:rsidRPr="002E09FA">
        <w:rPr>
          <w:color w:val="auto"/>
        </w:rPr>
        <w:t xml:space="preserve"> poskytnutých na řešení </w:t>
      </w:r>
      <w:r w:rsidR="00CF4E96" w:rsidRPr="002E09FA">
        <w:rPr>
          <w:color w:val="auto"/>
        </w:rPr>
        <w:t>P</w:t>
      </w:r>
      <w:r w:rsidRPr="002E09FA">
        <w:rPr>
          <w:color w:val="auto"/>
        </w:rPr>
        <w:t xml:space="preserve">rojektu samostatnou účetní evidenci tak, aby tyto </w:t>
      </w:r>
      <w:r w:rsidR="00CF4E96" w:rsidRPr="002E09FA">
        <w:rPr>
          <w:color w:val="auto"/>
        </w:rPr>
        <w:t>P</w:t>
      </w:r>
      <w:r w:rsidRPr="002E09FA">
        <w:rPr>
          <w:color w:val="auto"/>
        </w:rPr>
        <w:t xml:space="preserve">rostředky a nakládání s nimi bylo odděleno od ostatního majetku. Tuto evidenci uchovávat po dobu </w:t>
      </w:r>
      <w:r w:rsidR="00DD4F56" w:rsidRPr="002E09FA">
        <w:rPr>
          <w:color w:val="auto"/>
        </w:rPr>
        <w:t>10</w:t>
      </w:r>
      <w:r w:rsidRPr="002E09FA">
        <w:rPr>
          <w:color w:val="auto"/>
        </w:rPr>
        <w:t xml:space="preserve"> let od poskytnutí </w:t>
      </w:r>
      <w:r w:rsidR="00CF4E96" w:rsidRPr="002E09FA">
        <w:rPr>
          <w:color w:val="auto"/>
        </w:rPr>
        <w:t>P</w:t>
      </w:r>
      <w:r w:rsidRPr="002E09FA">
        <w:rPr>
          <w:color w:val="auto"/>
        </w:rPr>
        <w:t xml:space="preserve">rostředků na řešení části </w:t>
      </w:r>
      <w:r w:rsidR="00CF4E96" w:rsidRPr="002E09FA">
        <w:rPr>
          <w:color w:val="auto"/>
        </w:rPr>
        <w:t>P</w:t>
      </w:r>
      <w:r w:rsidRPr="002E09FA">
        <w:rPr>
          <w:color w:val="auto"/>
        </w:rPr>
        <w:t>rojektu. Při vedení této účetní evidence je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65F77C5D" w14:textId="7A1D34EA" w:rsidR="00CF4E96" w:rsidRPr="002E09FA" w:rsidRDefault="00CF4E96" w:rsidP="00EE64BC">
      <w:pPr>
        <w:pStyle w:val="Odstavecseseznamem"/>
        <w:numPr>
          <w:ilvl w:val="0"/>
          <w:numId w:val="4"/>
        </w:numPr>
        <w:tabs>
          <w:tab w:val="clear" w:pos="425"/>
        </w:tabs>
        <w:rPr>
          <w:color w:val="auto"/>
        </w:rPr>
      </w:pPr>
      <w:r w:rsidRPr="00CF26C4">
        <w:rPr>
          <w:color w:val="auto"/>
        </w:rPr>
        <w:t xml:space="preserve">Provádět pravidelnou kontrolu vlastních zaměstnanců, kteří jsou pověřeni řešením Projektu, dále též jako </w:t>
      </w:r>
      <w:r w:rsidRPr="00CF26C4">
        <w:rPr>
          <w:b/>
          <w:color w:val="auto"/>
        </w:rPr>
        <w:t xml:space="preserve">„Řešitelé“, </w:t>
      </w:r>
      <w:r w:rsidRPr="00CF26C4">
        <w:rPr>
          <w:color w:val="auto"/>
        </w:rPr>
        <w:t xml:space="preserve">resp. zaměstnanců a dalších jím pověřených osob, které se na řešení </w:t>
      </w:r>
      <w:r w:rsidRPr="002E09FA">
        <w:rPr>
          <w:color w:val="auto"/>
        </w:rPr>
        <w:t xml:space="preserve">Projektu přímo či nepřímo podílí jakýmkoli jiným způsobem, dále též jako </w:t>
      </w:r>
      <w:r w:rsidRPr="002E09FA">
        <w:rPr>
          <w:b/>
          <w:color w:val="auto"/>
        </w:rPr>
        <w:t>„Další osoby“</w:t>
      </w:r>
      <w:r w:rsidRPr="002E09FA">
        <w:rPr>
          <w:color w:val="auto"/>
        </w:rPr>
        <w:t>,</w:t>
      </w:r>
      <w:r w:rsidRPr="002E09FA">
        <w:rPr>
          <w:b/>
          <w:color w:val="auto"/>
        </w:rPr>
        <w:t xml:space="preserve"> </w:t>
      </w:r>
      <w:r w:rsidRPr="002E09FA">
        <w:rPr>
          <w:color w:val="auto"/>
        </w:rPr>
        <w:t>ve věci čerpání, užití a evidence Prostředků poskytnutých mu Příjemcem v souvislosti s řešením části Projektu</w:t>
      </w:r>
      <w:r w:rsidR="005F575E">
        <w:rPr>
          <w:color w:val="auto"/>
        </w:rPr>
        <w:t>.</w:t>
      </w:r>
    </w:p>
    <w:p w14:paraId="0D517D8E" w14:textId="716B2642" w:rsidR="00EE64BC" w:rsidRPr="002E09FA" w:rsidRDefault="00EE64BC" w:rsidP="00EE64BC">
      <w:pPr>
        <w:pStyle w:val="Odstavecseseznamem"/>
        <w:numPr>
          <w:ilvl w:val="0"/>
          <w:numId w:val="4"/>
        </w:numPr>
        <w:tabs>
          <w:tab w:val="clear" w:pos="425"/>
        </w:tabs>
        <w:rPr>
          <w:color w:val="auto"/>
        </w:rPr>
      </w:pPr>
      <w:r w:rsidRPr="002E09FA">
        <w:rPr>
          <w:color w:val="auto"/>
        </w:rPr>
        <w:t xml:space="preserve">Dosáhnout stanovených cílů a parametrů části </w:t>
      </w:r>
      <w:r w:rsidR="00CF4E96" w:rsidRPr="002E09FA">
        <w:rPr>
          <w:color w:val="auto"/>
        </w:rPr>
        <w:t>P</w:t>
      </w:r>
      <w:r w:rsidRPr="002E09FA">
        <w:rPr>
          <w:color w:val="auto"/>
        </w:rPr>
        <w:t>rojektu.</w:t>
      </w:r>
    </w:p>
    <w:p w14:paraId="0CB3DF6A" w14:textId="77777777" w:rsidR="00610B0F" w:rsidRPr="002E09FA" w:rsidRDefault="00610B0F" w:rsidP="00610B0F">
      <w:pPr>
        <w:pStyle w:val="Odstavecseseznamem"/>
        <w:numPr>
          <w:ilvl w:val="0"/>
          <w:numId w:val="4"/>
        </w:numPr>
        <w:tabs>
          <w:tab w:val="clear" w:pos="425"/>
        </w:tabs>
        <w:rPr>
          <w:color w:val="auto"/>
        </w:rPr>
      </w:pPr>
      <w:r w:rsidRPr="002E09FA">
        <w:rPr>
          <w:color w:val="auto"/>
        </w:rPr>
        <w:t>Dodržet v rámci celkových nákladů skutečně vynaložených na řešení části Projektu stanovený poměr mezi náklady hrazenými z Prostředků poskytnutých ze státního rozpočtu a ostatními stanovenými formami financování části Projektu.</w:t>
      </w:r>
    </w:p>
    <w:p w14:paraId="16BEBB11" w14:textId="28912E1A" w:rsidR="00133AFC" w:rsidRPr="002E09FA" w:rsidRDefault="00133AFC" w:rsidP="00AD221C">
      <w:pPr>
        <w:pStyle w:val="Odstavecseseznamem"/>
        <w:numPr>
          <w:ilvl w:val="0"/>
          <w:numId w:val="4"/>
        </w:numPr>
        <w:tabs>
          <w:tab w:val="clear" w:pos="425"/>
        </w:tabs>
        <w:rPr>
          <w:color w:val="auto"/>
        </w:rPr>
      </w:pPr>
      <w:r w:rsidRPr="002E09FA">
        <w:rPr>
          <w:color w:val="auto"/>
        </w:rPr>
        <w:t xml:space="preserve">Předložit Příjemci nejpozději do dne </w:t>
      </w:r>
      <w:r w:rsidRPr="002E09FA">
        <w:rPr>
          <w:b/>
          <w:color w:val="auto"/>
        </w:rPr>
        <w:t>31. 12</w:t>
      </w:r>
      <w:r w:rsidRPr="002E09FA">
        <w:rPr>
          <w:color w:val="auto"/>
        </w:rPr>
        <w:t xml:space="preserve">. každého kalendářního roku, ve kterém trvalo řešení Projektu, písemnou roční zprávu o realizaci části Projektu v průběhu daného roku. Do </w:t>
      </w:r>
      <w:r w:rsidRPr="002E09FA">
        <w:rPr>
          <w:b/>
          <w:color w:val="auto"/>
        </w:rPr>
        <w:t>12. 1</w:t>
      </w:r>
      <w:r w:rsidRPr="002E09FA">
        <w:rPr>
          <w:color w:val="auto"/>
        </w:rPr>
        <w:t xml:space="preserve">. každého následujícího roku musí Příjemci předložit podrobné vyúčtování hospodaření s poskytnutými Prostředky. Současně je Další účastník povinen vrátit Příjemci do dne </w:t>
      </w:r>
      <w:r w:rsidRPr="002E09FA">
        <w:rPr>
          <w:b/>
          <w:color w:val="auto"/>
        </w:rPr>
        <w:t>31. 12.</w:t>
      </w:r>
      <w:r w:rsidRPr="002E09FA">
        <w:rPr>
          <w:color w:val="auto"/>
        </w:rPr>
        <w:t xml:space="preserve"> každého kalendářního roku, ve kterém trvalo řešení Projektu, veškeré Prostředky, které nebyly Dalším účastníkem dočerpány do konce daného kalendářního roku s tím, že tyto vrácené Prostředky budou Příjemci avizovány předem a ten je povinen je do </w:t>
      </w:r>
      <w:r w:rsidRPr="002E09FA">
        <w:rPr>
          <w:b/>
          <w:color w:val="auto"/>
        </w:rPr>
        <w:t>15. 2</w:t>
      </w:r>
      <w:r w:rsidRPr="002E09FA">
        <w:rPr>
          <w:color w:val="auto"/>
        </w:rPr>
        <w:t>. následujícího kalendářního roku v plné výši vrátit zpět do státního rozpočtu. Stanoví-li zvláštní právní předpis či rozhodnutí Poskytovatele odlišné podmínky pro vyúčtování či finanční vypořádání, jsou Příjemce a Další účastník povinni tyto podmínky dodržet.</w:t>
      </w:r>
    </w:p>
    <w:p w14:paraId="4D8EA6A4" w14:textId="3F3CD9CD" w:rsidR="00783E1D" w:rsidRPr="002E09FA" w:rsidRDefault="006C428D" w:rsidP="00AD221C">
      <w:pPr>
        <w:pStyle w:val="Odstavecseseznamem"/>
        <w:numPr>
          <w:ilvl w:val="0"/>
          <w:numId w:val="4"/>
        </w:numPr>
        <w:tabs>
          <w:tab w:val="clear" w:pos="425"/>
        </w:tabs>
        <w:rPr>
          <w:color w:val="auto"/>
        </w:rPr>
      </w:pPr>
      <w:r w:rsidRPr="002E09FA">
        <w:rPr>
          <w:rFonts w:ascii="Calibri" w:eastAsia="Calibri" w:hAnsi="Calibri" w:cs="Calibri"/>
          <w:color w:val="auto"/>
        </w:rPr>
        <w:lastRenderedPageBreak/>
        <w:t>P</w:t>
      </w:r>
      <w:r w:rsidR="00783E1D" w:rsidRPr="002E09FA">
        <w:rPr>
          <w:rFonts w:ascii="Calibri" w:eastAsia="Calibri" w:hAnsi="Calibri" w:cs="Calibri"/>
          <w:color w:val="auto"/>
        </w:rPr>
        <w:t xml:space="preserve">řispívat k průběžným mezinárodním zprávám o pokroku </w:t>
      </w:r>
      <w:r w:rsidR="005070EC" w:rsidRPr="002E09FA">
        <w:rPr>
          <w:rFonts w:ascii="Calibri" w:eastAsia="Calibri" w:hAnsi="Calibri" w:cs="Calibri"/>
          <w:color w:val="auto"/>
        </w:rPr>
        <w:t>P</w:t>
      </w:r>
      <w:r w:rsidR="00783E1D" w:rsidRPr="002E09FA">
        <w:rPr>
          <w:rFonts w:ascii="Calibri" w:eastAsia="Calibri" w:hAnsi="Calibri" w:cs="Calibri"/>
          <w:color w:val="auto"/>
        </w:rPr>
        <w:t xml:space="preserve">rojektu a závěrečné zprávě podle požadavků koordinátora konsorcia </w:t>
      </w:r>
      <w:r w:rsidR="00CF3A48" w:rsidRPr="002E09FA">
        <w:rPr>
          <w:rFonts w:ascii="Calibri" w:eastAsia="Calibri" w:hAnsi="Calibri" w:cs="Calibri"/>
          <w:color w:val="auto"/>
        </w:rPr>
        <w:t>p</w:t>
      </w:r>
      <w:r w:rsidR="00783E1D" w:rsidRPr="002E09FA">
        <w:rPr>
          <w:rFonts w:ascii="Calibri" w:eastAsia="Calibri" w:hAnsi="Calibri" w:cs="Calibri"/>
          <w:color w:val="auto"/>
        </w:rPr>
        <w:t>rojektu.</w:t>
      </w:r>
    </w:p>
    <w:p w14:paraId="73AB7C1B" w14:textId="3ED3C4E2" w:rsidR="00783E1D" w:rsidRPr="002E09FA" w:rsidRDefault="006C428D" w:rsidP="00386EB0">
      <w:pPr>
        <w:pStyle w:val="Odstavecseseznamem"/>
        <w:numPr>
          <w:ilvl w:val="0"/>
          <w:numId w:val="4"/>
        </w:numPr>
        <w:rPr>
          <w:color w:val="auto"/>
        </w:rPr>
      </w:pPr>
      <w:r w:rsidRPr="002E09FA">
        <w:rPr>
          <w:color w:val="auto"/>
        </w:rPr>
        <w:t xml:space="preserve">Spolupracovat na vytvoření Plánu správy dat dle podmínek </w:t>
      </w:r>
      <w:r w:rsidR="006C04DC" w:rsidRPr="002E09FA">
        <w:rPr>
          <w:color w:val="auto"/>
        </w:rPr>
        <w:t>P</w:t>
      </w:r>
      <w:r w:rsidRPr="002E09FA">
        <w:rPr>
          <w:color w:val="auto"/>
        </w:rPr>
        <w:t xml:space="preserve">oskytovatele, tak aby mohl být předložen společně s první průběžnou zprávou, pravidelně ho aktualizovat a spolupracovat s </w:t>
      </w:r>
      <w:r w:rsidR="00FD5EF5" w:rsidRPr="002E09FA">
        <w:rPr>
          <w:color w:val="auto"/>
        </w:rPr>
        <w:t>P</w:t>
      </w:r>
      <w:r w:rsidRPr="002E09FA">
        <w:rPr>
          <w:color w:val="auto"/>
        </w:rPr>
        <w:t xml:space="preserve">říjemcem tak, aby aktualizovaná verze Plánu správy dat mohla být předkládána jako součást průběžné a závěrečné zprávy. </w:t>
      </w:r>
    </w:p>
    <w:p w14:paraId="39D03FDD" w14:textId="732E7A0F" w:rsidR="00C56EB4" w:rsidRPr="002E09FA" w:rsidRDefault="00C56EB4" w:rsidP="00EE64BC">
      <w:pPr>
        <w:pStyle w:val="Odstavecseseznamem"/>
        <w:numPr>
          <w:ilvl w:val="0"/>
          <w:numId w:val="4"/>
        </w:numPr>
        <w:tabs>
          <w:tab w:val="clear" w:pos="425"/>
        </w:tabs>
        <w:rPr>
          <w:color w:val="auto"/>
        </w:rPr>
      </w:pPr>
      <w:r w:rsidRPr="002E09FA">
        <w:rPr>
          <w:color w:val="auto"/>
        </w:rPr>
        <w:t>V případě, že vznikne povinnost vrácení Prostředků z jiných důvodů, než na základě pravidelného finančního vypořádání dle čl. V odst. 1 písm. f), je Další účastník povinen neprodleně písemně požádat Příjemce o sdělení podmínek a způsobu vypořádání těchto Prostředků.</w:t>
      </w:r>
    </w:p>
    <w:p w14:paraId="17EDBE96" w14:textId="572FC1BB" w:rsidR="00DD7FC4" w:rsidRPr="002E09FA" w:rsidRDefault="00DD7FC4" w:rsidP="00DD7FC4">
      <w:pPr>
        <w:pStyle w:val="Odstavecseseznamem"/>
        <w:numPr>
          <w:ilvl w:val="0"/>
          <w:numId w:val="4"/>
        </w:numPr>
        <w:tabs>
          <w:tab w:val="clear" w:pos="425"/>
        </w:tabs>
        <w:rPr>
          <w:color w:val="auto"/>
        </w:rPr>
      </w:pPr>
      <w:r w:rsidRPr="002E09FA">
        <w:rPr>
          <w:color w:val="auto"/>
        </w:rPr>
        <w:t>Umožnit Poskytovateli a Příjemci či jimi pověřeným osobám provádět komplexní kontrolu jak průběžných, dílčích, resp. konečných výsledků řešení Projektu, tak i účetní evidence a použití Prostředků, které byly na řešení části Projektu poskytnuty ze státního rozpočtu, a to kdykoli v průběhu řešení Projektu nebo do 10 let od ukončení poskytování Prostředků ze státního rozpočtu na část Projektu. Tímto ujednáním nejsou dotčena ani omezena práva kontrolních a finančních orgánů státní správy České republiky.</w:t>
      </w:r>
    </w:p>
    <w:p w14:paraId="695CAE96" w14:textId="77777777" w:rsidR="00DD7FC4" w:rsidRPr="002E09FA" w:rsidRDefault="00DD7FC4" w:rsidP="00DD7FC4">
      <w:pPr>
        <w:pStyle w:val="Odstavecseseznamem"/>
        <w:numPr>
          <w:ilvl w:val="0"/>
          <w:numId w:val="4"/>
        </w:numPr>
        <w:tabs>
          <w:tab w:val="clear" w:pos="425"/>
        </w:tabs>
        <w:rPr>
          <w:color w:val="auto"/>
        </w:rPr>
      </w:pPr>
      <w:r w:rsidRPr="002E09FA">
        <w:rPr>
          <w:color w:val="auto"/>
        </w:rPr>
        <w:t>Postupovat při nakládání s Prostředky získanými na základě rozhodnutí Poskytovatele a této Smlouvy a s majetkem a právy za ně pořízenými v souladu s obecně závaznými právními předpisy týkajícími se hospodaření se státním majetkem, např. zák. č. 134/2016 Sb., Zákon o zadávání veřejných zakázek, ve znění pozdějších předpisů; zák. č. 218/2000 Sb., Zákon o rozpočtových pravidlech a o změně některých souvisejících zákonů (rozpočtová pravidla), ve znění pozdějších předpisů.</w:t>
      </w:r>
    </w:p>
    <w:p w14:paraId="23A2B0B2" w14:textId="77777777" w:rsidR="00DD7FC4" w:rsidRPr="002E09FA" w:rsidRDefault="00DD7FC4" w:rsidP="00DD7FC4">
      <w:pPr>
        <w:pStyle w:val="Odstavecseseznamem"/>
        <w:numPr>
          <w:ilvl w:val="0"/>
          <w:numId w:val="4"/>
        </w:numPr>
        <w:tabs>
          <w:tab w:val="clear" w:pos="425"/>
        </w:tabs>
        <w:rPr>
          <w:color w:val="auto"/>
        </w:rPr>
      </w:pPr>
      <w:r w:rsidRPr="002E09FA">
        <w:rPr>
          <w:color w:val="auto"/>
        </w:rP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33616E56" w14:textId="77777777" w:rsidR="00DD7FC4" w:rsidRPr="002E09FA" w:rsidRDefault="00DD7FC4" w:rsidP="00DD7FC4">
      <w:pPr>
        <w:pStyle w:val="Odstavecseseznamem"/>
        <w:numPr>
          <w:ilvl w:val="0"/>
          <w:numId w:val="4"/>
        </w:numPr>
        <w:tabs>
          <w:tab w:val="clear" w:pos="425"/>
        </w:tabs>
        <w:rPr>
          <w:color w:val="auto"/>
        </w:rPr>
      </w:pPr>
      <w:r w:rsidRPr="002E09FA">
        <w:rPr>
          <w:color w:val="auto"/>
        </w:rPr>
        <w:t>Vrátit Příjemci veškeré poskytnuté Prostředky včetně majetkového prospěchu získaného v souvislosti s jejich použitím a to do 30 dnů ode dne, kdy oznámí, nebo kdy měl oznámit Příjemci ve smyslu předchozího odstavce, že nastaly skutečnosti, na jejichž základě Další účastník nebude moci nadále plnit své povinnosti vyplývající pro něj z této Smlouvy.</w:t>
      </w:r>
    </w:p>
    <w:p w14:paraId="7DAAEE97" w14:textId="4832F654" w:rsidR="006C428D" w:rsidRPr="002E09FA" w:rsidRDefault="006C428D" w:rsidP="006C428D">
      <w:pPr>
        <w:pStyle w:val="Odstavecseseznamem"/>
        <w:numPr>
          <w:ilvl w:val="0"/>
          <w:numId w:val="4"/>
        </w:numPr>
        <w:tabs>
          <w:tab w:val="clear" w:pos="425"/>
        </w:tabs>
        <w:rPr>
          <w:color w:val="auto"/>
        </w:rPr>
      </w:pPr>
      <w:r w:rsidRPr="002E09FA">
        <w:rPr>
          <w:color w:val="auto"/>
        </w:rPr>
        <w:t xml:space="preserve">Dodržovat během realizace </w:t>
      </w:r>
      <w:r w:rsidR="00DD7FC4" w:rsidRPr="002E09FA">
        <w:rPr>
          <w:color w:val="auto"/>
        </w:rPr>
        <w:t>p</w:t>
      </w:r>
      <w:r w:rsidRPr="002E09FA">
        <w:rPr>
          <w:color w:val="auto"/>
        </w:rPr>
        <w:t xml:space="preserve">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w:t>
      </w:r>
      <w:r w:rsidR="00AE6FAC" w:rsidRPr="002E09FA">
        <w:rPr>
          <w:color w:val="auto"/>
        </w:rPr>
        <w:t>P</w:t>
      </w:r>
      <w:r w:rsidRPr="002E09FA">
        <w:rPr>
          <w:color w:val="auto"/>
        </w:rPr>
        <w:t>rojektu budou na úrovni uplatňování technologicky neutrální.</w:t>
      </w:r>
    </w:p>
    <w:p w14:paraId="21900CF2" w14:textId="461685F5" w:rsidR="006C428D" w:rsidRPr="002E09FA" w:rsidRDefault="006C428D" w:rsidP="006C428D">
      <w:pPr>
        <w:pStyle w:val="Odstavecseseznamem"/>
        <w:numPr>
          <w:ilvl w:val="0"/>
          <w:numId w:val="4"/>
        </w:numPr>
        <w:tabs>
          <w:tab w:val="clear" w:pos="425"/>
        </w:tabs>
        <w:rPr>
          <w:color w:val="auto"/>
        </w:rPr>
      </w:pPr>
      <w:r w:rsidRPr="002E09FA">
        <w:rPr>
          <w:color w:val="auto"/>
        </w:rPr>
        <w:t xml:space="preserve">Učinit veškerá opatření, aby nevznikl střet zájmů ve smyslu článku 61 Nařízení Evropského parlamentu a Rady (EU) 2018/1046 ze dne 18. července 2018, a pokud taková situace nastane, je povinen tuto skutečnost neprodleně oznámit </w:t>
      </w:r>
      <w:r w:rsidR="00DD7FC4" w:rsidRPr="002E09FA">
        <w:rPr>
          <w:color w:val="auto"/>
        </w:rPr>
        <w:t>P</w:t>
      </w:r>
      <w:r w:rsidRPr="002E09FA">
        <w:rPr>
          <w:color w:val="auto"/>
        </w:rPr>
        <w:t xml:space="preserve">říjemci, který ji sdělí </w:t>
      </w:r>
      <w:r w:rsidR="00DD7FC4" w:rsidRPr="002E09FA">
        <w:rPr>
          <w:color w:val="auto"/>
        </w:rPr>
        <w:t>P</w:t>
      </w:r>
      <w:r w:rsidRPr="002E09FA">
        <w:rPr>
          <w:color w:val="auto"/>
        </w:rPr>
        <w:t>oskytovateli.</w:t>
      </w:r>
    </w:p>
    <w:p w14:paraId="29620F0E" w14:textId="3D258DD8" w:rsidR="006C428D" w:rsidRPr="002E09FA" w:rsidRDefault="006C428D" w:rsidP="006C428D">
      <w:pPr>
        <w:pStyle w:val="Odstavecseseznamem"/>
        <w:numPr>
          <w:ilvl w:val="0"/>
          <w:numId w:val="4"/>
        </w:numPr>
        <w:tabs>
          <w:tab w:val="clear" w:pos="425"/>
        </w:tabs>
        <w:rPr>
          <w:color w:val="auto"/>
        </w:rPr>
      </w:pPr>
      <w:r w:rsidRPr="002E09FA">
        <w:rPr>
          <w:color w:val="auto"/>
        </w:rPr>
        <w:t xml:space="preserve">Předávat </w:t>
      </w:r>
      <w:r w:rsidR="00DD7FC4" w:rsidRPr="002E09FA">
        <w:rPr>
          <w:color w:val="auto"/>
        </w:rPr>
        <w:t>P</w:t>
      </w:r>
      <w:r w:rsidRPr="002E09FA">
        <w:rPr>
          <w:color w:val="auto"/>
        </w:rPr>
        <w:t>říjemci v průběhu realizace projektu informace o dostupnosti a způsobu šíření výsledků výzkumu a výzkumných dat, pokud byly vytvořeny za podpory z veřejných prostředků, v souladu se zásadou, že výsledky výzkumu a výzkumná data nejsou zveřejňovány pouze v odůvodněných případech.</w:t>
      </w:r>
    </w:p>
    <w:p w14:paraId="4BEAD244" w14:textId="3EFDA0FE" w:rsidR="006C428D" w:rsidRPr="002E09FA" w:rsidRDefault="006C428D" w:rsidP="006C428D">
      <w:pPr>
        <w:pStyle w:val="Odstavecseseznamem"/>
        <w:numPr>
          <w:ilvl w:val="0"/>
          <w:numId w:val="4"/>
        </w:numPr>
        <w:tabs>
          <w:tab w:val="clear" w:pos="425"/>
        </w:tabs>
        <w:rPr>
          <w:color w:val="auto"/>
        </w:rPr>
      </w:pPr>
      <w:r w:rsidRPr="002E09FA">
        <w:rPr>
          <w:color w:val="auto"/>
        </w:rPr>
        <w:t xml:space="preserve">Při prezentaci informací o řešeném </w:t>
      </w:r>
      <w:r w:rsidR="00DD7FC4" w:rsidRPr="002E09FA">
        <w:rPr>
          <w:color w:val="auto"/>
        </w:rPr>
        <w:t>P</w:t>
      </w:r>
      <w:r w:rsidRPr="002E09FA">
        <w:rPr>
          <w:color w:val="auto"/>
        </w:rPr>
        <w:t xml:space="preserve">rojektu či o jeho výsledcích v hromadných sdělovacích prostředcích či jiným způsobem, informovat přiměřeným způsobem o tom, že </w:t>
      </w:r>
      <w:r w:rsidR="00C94616" w:rsidRPr="002E09FA">
        <w:rPr>
          <w:color w:val="auto"/>
        </w:rPr>
        <w:t>P</w:t>
      </w:r>
      <w:r w:rsidRPr="002E09FA">
        <w:rPr>
          <w:color w:val="auto"/>
        </w:rPr>
        <w:t xml:space="preserve">rojekt byl realizován za finanční podpory TA ČR, a to na všech propagačních materiálech i ve všech typech médií, které se k </w:t>
      </w:r>
      <w:r w:rsidR="00E9520F" w:rsidRPr="002E09FA">
        <w:rPr>
          <w:color w:val="auto"/>
        </w:rPr>
        <w:t>P</w:t>
      </w:r>
      <w:r w:rsidRPr="002E09FA">
        <w:rPr>
          <w:color w:val="auto"/>
        </w:rPr>
        <w:t xml:space="preserve">rojektu či jeho výsledkům a výstupům vztahují, a to v souladu s podmínkami vizuální identity uveřejněnými na webových stránkách </w:t>
      </w:r>
      <w:r w:rsidR="00DD7FC4" w:rsidRPr="002E09FA">
        <w:rPr>
          <w:color w:val="auto"/>
        </w:rPr>
        <w:t>P</w:t>
      </w:r>
      <w:r w:rsidRPr="002E09FA">
        <w:rPr>
          <w:color w:val="auto"/>
        </w:rPr>
        <w:t>oskytovatele, a též v souladu s podmínkami vizuální identity stanovenými v Metodickém pokynu pro publicitu a komunikaci pro Národní plán obnovy na období 2021–2026.</w:t>
      </w:r>
    </w:p>
    <w:p w14:paraId="17930170" w14:textId="6BD35548" w:rsidR="006C428D" w:rsidRPr="002E09FA" w:rsidRDefault="006C428D" w:rsidP="006C428D">
      <w:pPr>
        <w:pStyle w:val="Odstavecseseznamem"/>
        <w:numPr>
          <w:ilvl w:val="0"/>
          <w:numId w:val="4"/>
        </w:numPr>
        <w:tabs>
          <w:tab w:val="clear" w:pos="425"/>
        </w:tabs>
        <w:rPr>
          <w:color w:val="auto"/>
        </w:rPr>
      </w:pPr>
      <w:r w:rsidRPr="002E09FA">
        <w:rPr>
          <w:color w:val="auto"/>
        </w:rPr>
        <w:lastRenderedPageBreak/>
        <w:t xml:space="preserve">Dodržovat další povinnosti, vyplývající z čl. 4 Všeobecných podmínek „Programu na podporu aplikovaného výzkumu a </w:t>
      </w:r>
      <w:r w:rsidR="007D03A5" w:rsidRPr="002E09FA">
        <w:rPr>
          <w:color w:val="auto"/>
        </w:rPr>
        <w:t>experimentálního vývoje</w:t>
      </w:r>
      <w:r w:rsidRPr="002E09FA">
        <w:rPr>
          <w:color w:val="auto"/>
        </w:rPr>
        <w:t xml:space="preserve"> </w:t>
      </w:r>
      <w:r w:rsidR="007D03A5" w:rsidRPr="002E09FA">
        <w:rPr>
          <w:color w:val="auto"/>
        </w:rPr>
        <w:t>EPSILON</w:t>
      </w:r>
      <w:r w:rsidRPr="002E09FA">
        <w:rPr>
          <w:color w:val="auto"/>
        </w:rPr>
        <w:t>“ Technologické agentury České republiky</w:t>
      </w:r>
      <w:r w:rsidR="00386EB0" w:rsidRPr="002E09FA">
        <w:rPr>
          <w:color w:val="auto"/>
        </w:rPr>
        <w:t xml:space="preserve"> a podmínek Národního plánu obnovy</w:t>
      </w:r>
      <w:r w:rsidRPr="002E09FA">
        <w:rPr>
          <w:color w:val="auto"/>
        </w:rPr>
        <w:t>.</w:t>
      </w:r>
    </w:p>
    <w:p w14:paraId="5C80C93C" w14:textId="77777777" w:rsidR="00EE64BC" w:rsidRPr="002E09FA" w:rsidRDefault="00EE64BC" w:rsidP="00EE64BC">
      <w:pPr>
        <w:rPr>
          <w:color w:val="auto"/>
        </w:rPr>
      </w:pPr>
    </w:p>
    <w:p w14:paraId="53B4D884" w14:textId="77777777" w:rsidR="00EE64BC" w:rsidRPr="002E09FA" w:rsidRDefault="00EE64BC" w:rsidP="008516B3">
      <w:pPr>
        <w:pStyle w:val="Nadpis2"/>
        <w:rPr>
          <w:color w:val="auto"/>
        </w:rPr>
      </w:pPr>
      <w:r w:rsidRPr="002E09FA">
        <w:rPr>
          <w:color w:val="auto"/>
        </w:rPr>
        <w:t>VI.</w:t>
      </w:r>
      <w:r w:rsidRPr="002E09FA">
        <w:rPr>
          <w:color w:val="auto"/>
        </w:rPr>
        <w:br/>
        <w:t>Práva k hmotnému majetku</w:t>
      </w:r>
    </w:p>
    <w:p w14:paraId="7A98090F" w14:textId="1A0E804D" w:rsidR="00DE6A2B" w:rsidRPr="002E09FA" w:rsidRDefault="00EE64BC" w:rsidP="00DE6A2B">
      <w:pPr>
        <w:rPr>
          <w:color w:val="auto"/>
        </w:rPr>
      </w:pPr>
      <w:r w:rsidRPr="002E09FA">
        <w:rPr>
          <w:color w:val="auto"/>
        </w:rPr>
        <w:t>1.</w:t>
      </w:r>
      <w:r w:rsidRPr="002E09FA">
        <w:rPr>
          <w:color w:val="auto"/>
        </w:rPr>
        <w:tab/>
      </w:r>
      <w:r w:rsidR="00DE6A2B" w:rsidRPr="002E09FA">
        <w:rPr>
          <w:color w:val="auto"/>
        </w:rPr>
        <w:t xml:space="preserve">Vlastníkem hmotného majetku, potřebného k řešení Projektu a pořízeného z poskytnutých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písemně jinak. </w:t>
      </w:r>
    </w:p>
    <w:p w14:paraId="35A085C7" w14:textId="77777777" w:rsidR="00DE6A2B" w:rsidRPr="002E09FA" w:rsidRDefault="00DE6A2B" w:rsidP="00DE6A2B">
      <w:pPr>
        <w:rPr>
          <w:color w:val="auto"/>
        </w:rPr>
      </w:pPr>
      <w:r w:rsidRPr="002E09FA">
        <w:rPr>
          <w:color w:val="auto"/>
        </w:rPr>
        <w:t>2.</w:t>
      </w:r>
      <w:r w:rsidRPr="002E09FA">
        <w:rPr>
          <w:color w:val="auto"/>
        </w:rPr>
        <w:tab/>
        <w:t>S majetkem, který Další účastník získá v přímé souvislosti s plněním cílů Projektu a který pořídí z poskytnutých Prostředků, není Další účastník oprávněn nakládat ve vztahu k třetím stranám v rozporu s touto Smlouvou bez předchozího písemného souhlasu Příjemce, a to až do doby úplného vyrovnání všech závazků, které pro Dalšího účastníka Projektu vyplývají z této Smlouvy.</w:t>
      </w:r>
    </w:p>
    <w:p w14:paraId="1C621A4F" w14:textId="6A38EA8C" w:rsidR="00DE6A2B" w:rsidRPr="00CF26C4" w:rsidRDefault="00DE6A2B" w:rsidP="00DE6A2B">
      <w:pPr>
        <w:rPr>
          <w:color w:val="auto"/>
        </w:rPr>
      </w:pPr>
      <w:r w:rsidRPr="002E09FA">
        <w:rPr>
          <w:color w:val="auto"/>
        </w:rPr>
        <w:t>3.</w:t>
      </w:r>
      <w:r w:rsidRPr="002E09FA">
        <w:rPr>
          <w:color w:val="auto"/>
        </w:rPr>
        <w:tab/>
        <w:t>Smluvní strany se zavazují zpřístupnit si vzájemně zařízení potřebná k úspěšnému vyřešení cílů Projektu. Obecně se předpokládá, že Smluvní strany si navzájem poskytnou během řešení Projektu veškerou podporu v oblasti návrhu, vývoje a výzkumu jednotlivých cílů Projektu. Také se předpokládá, že si Smluvní strany navzájem poskytnou přístup k měřícím či testovacím zařízením, materiálovému vybavení či s nimi souvisejícím návrhovým prostředkům, které jsou pro druhou Smluvní stranu nedosažitelné, ať již z hlediska nedostatku erudovanosti či z hlediska finančního, a současně jsou nezbytné pro úspěšné vyřešení cílů Projektu.</w:t>
      </w:r>
    </w:p>
    <w:p w14:paraId="7D13BF79" w14:textId="77777777" w:rsidR="00EE64BC" w:rsidRPr="00CF26C4" w:rsidRDefault="00EE64BC" w:rsidP="00EE64BC">
      <w:pPr>
        <w:rPr>
          <w:color w:val="auto"/>
        </w:rPr>
      </w:pPr>
    </w:p>
    <w:p w14:paraId="79A58C0D" w14:textId="77777777" w:rsidR="00EE64BC" w:rsidRPr="00CF26C4" w:rsidRDefault="00EE64BC" w:rsidP="008516B3">
      <w:pPr>
        <w:pStyle w:val="Nadpis2"/>
        <w:rPr>
          <w:color w:val="auto"/>
        </w:rPr>
      </w:pPr>
      <w:r w:rsidRPr="00CF26C4">
        <w:rPr>
          <w:color w:val="auto"/>
        </w:rPr>
        <w:t>VII.</w:t>
      </w:r>
      <w:r w:rsidRPr="00CF26C4">
        <w:rPr>
          <w:color w:val="auto"/>
        </w:rPr>
        <w:br/>
        <w:t>Ochrana duševního vlastnictví</w:t>
      </w:r>
    </w:p>
    <w:p w14:paraId="387C9D9B" w14:textId="77777777" w:rsidR="00DE6A2B" w:rsidRPr="00CF26C4" w:rsidRDefault="00EE64BC" w:rsidP="00DE6A2B">
      <w:pPr>
        <w:rPr>
          <w:color w:val="auto"/>
        </w:rPr>
      </w:pPr>
      <w:r w:rsidRPr="00CF26C4">
        <w:rPr>
          <w:color w:val="auto"/>
        </w:rPr>
        <w:t>1.</w:t>
      </w:r>
      <w:r w:rsidRPr="00CF26C4">
        <w:rPr>
          <w:color w:val="auto"/>
        </w:rPr>
        <w:tab/>
      </w:r>
      <w:r w:rsidR="00DE6A2B" w:rsidRPr="00CF26C4">
        <w:rPr>
          <w:color w:val="auto"/>
        </w:rPr>
        <w:t xml:space="preserve">Smluvní strany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si Smluvní strany navzájem zpřístupní, pokud poskytující Strana při jejich předání výslovně neuvede, že důvěrný charakter nemají. Smluvní strany se zavazují dbát o utajení všech důvěrných informací s náležitou péčí a nepředat důvěrné informace získané od druhé Strany bez jejího předchozího písemného souhlasu třetí straně. S důvěrnými informacemi se mohou seznámit jen takoví pracovníci Smluvních stran a příp. jejich subdodavatelů,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 </w:t>
      </w:r>
    </w:p>
    <w:p w14:paraId="5EFABBBE" w14:textId="70FA83D4" w:rsidR="00EE64BC" w:rsidRPr="00CF26C4" w:rsidRDefault="00DE6A2B" w:rsidP="00DE6A2B">
      <w:pPr>
        <w:rPr>
          <w:color w:val="auto"/>
        </w:rPr>
      </w:pPr>
      <w:r w:rsidRPr="00CF26C4">
        <w:rPr>
          <w:color w:val="auto"/>
        </w:rPr>
        <w:tab/>
        <w:t>Smluvní strany výslovně udělují souhlas s předáváním důvěrných informací mateřské společnosti Dalšího účastníka ELVAC a.s., IČ 25833812, se sídlem Hasičská 930/53, 700 30 Ostrava – Hrabůvka</w:t>
      </w:r>
      <w:r w:rsidR="00D15015">
        <w:rPr>
          <w:color w:val="auto"/>
        </w:rPr>
        <w:t>, a to výhradně za účelem řešení cílů Projektu</w:t>
      </w:r>
      <w:r w:rsidR="00077219">
        <w:rPr>
          <w:color w:val="auto"/>
        </w:rPr>
        <w:t>.</w:t>
      </w:r>
      <w:r w:rsidR="00D15015" w:rsidRPr="00CF26C4">
        <w:rPr>
          <w:color w:val="auto"/>
        </w:rPr>
        <w:t xml:space="preserve"> </w:t>
      </w:r>
      <w:r w:rsidRPr="00CF26C4">
        <w:rPr>
          <w:color w:val="auto"/>
        </w:rPr>
        <w:t>Další účastník je povinen zajistit v samostatném smluvním vztahu s mateřskou společností, aby se na ni v plném rozsahu vztahovala veškerá ustanovení čl. VII této Smlouvy s výjimkou poskytnutí práva předání důvěrných informací jejím subdodavatelům bez předchozího písemného souhlasu obou Smluvních stran. Další účastník současně prohlašuje, že mateřské společnosti neposkytne oprávnění využívat duševní vlastnictví kterékoli ze Stran pro jakékoli jiné účely</w:t>
      </w:r>
      <w:r w:rsidR="00285519">
        <w:rPr>
          <w:color w:val="auto"/>
        </w:rPr>
        <w:t>, než které vyplývají ze subdodavatelského vztahu v rámci řešení Projektu</w:t>
      </w:r>
      <w:r w:rsidRPr="00CF26C4">
        <w:rPr>
          <w:color w:val="auto"/>
        </w:rPr>
        <w:t>.</w:t>
      </w:r>
    </w:p>
    <w:p w14:paraId="54014CF3" w14:textId="6A13A88A" w:rsidR="00EE64BC" w:rsidRPr="002E09FA" w:rsidRDefault="00EE64BC" w:rsidP="00EE64BC">
      <w:pPr>
        <w:rPr>
          <w:color w:val="auto"/>
        </w:rPr>
      </w:pPr>
      <w:r w:rsidRPr="00CF26C4">
        <w:rPr>
          <w:color w:val="auto"/>
        </w:rPr>
        <w:lastRenderedPageBreak/>
        <w:t>2.</w:t>
      </w:r>
      <w:r w:rsidRPr="00CF26C4">
        <w:rPr>
          <w:color w:val="auto"/>
        </w:rPr>
        <w:tab/>
      </w:r>
      <w:r w:rsidRPr="002E09FA">
        <w:rPr>
          <w:color w:val="auto"/>
        </w:rPr>
        <w:t xml:space="preserve">Znalosti vkládané do </w:t>
      </w:r>
      <w:r w:rsidR="006F75A5" w:rsidRPr="002E09FA">
        <w:rPr>
          <w:color w:val="auto"/>
        </w:rPr>
        <w:t>P</w:t>
      </w:r>
      <w:r w:rsidRPr="002E09FA">
        <w:rPr>
          <w:color w:val="auto"/>
        </w:rPr>
        <w:t>rojektu:</w:t>
      </w:r>
    </w:p>
    <w:p w14:paraId="364125D6" w14:textId="77777777" w:rsidR="00EA124B" w:rsidRPr="002E09FA" w:rsidRDefault="00EA124B" w:rsidP="00EA124B">
      <w:pPr>
        <w:pStyle w:val="Odstavecseseznamem"/>
        <w:numPr>
          <w:ilvl w:val="0"/>
          <w:numId w:val="5"/>
        </w:numPr>
        <w:tabs>
          <w:tab w:val="clear" w:pos="425"/>
        </w:tabs>
        <w:ind w:left="714" w:hanging="357"/>
        <w:contextualSpacing w:val="0"/>
        <w:rPr>
          <w:color w:val="auto"/>
        </w:rPr>
      </w:pPr>
      <w:r w:rsidRPr="002E09FA">
        <w:rPr>
          <w:color w:val="auto"/>
        </w:rPr>
        <w:t>Smluvní strany vstupují do Projektu s následujícími dovednostmi, know-how a jinými právy duševního vlastnictví, které jsou potřebné pro realizaci Projektu (vkládané znalosti):</w:t>
      </w:r>
    </w:p>
    <w:p w14:paraId="7C5558FB" w14:textId="304F9484" w:rsidR="00EA124B" w:rsidRPr="002E09FA" w:rsidRDefault="00EA124B" w:rsidP="002F16C0">
      <w:pPr>
        <w:tabs>
          <w:tab w:val="clear" w:pos="425"/>
        </w:tabs>
        <w:spacing w:before="120"/>
        <w:ind w:left="709" w:firstLine="1"/>
        <w:rPr>
          <w:color w:val="auto"/>
        </w:rPr>
      </w:pPr>
      <w:r w:rsidRPr="002E09FA">
        <w:rPr>
          <w:color w:val="auto"/>
        </w:rPr>
        <w:t>Příjemce:</w:t>
      </w:r>
      <w:r w:rsidR="002F16C0" w:rsidRPr="002E09FA">
        <w:rPr>
          <w:color w:val="auto"/>
        </w:rPr>
        <w:t xml:space="preserve"> know-how pro výzkum a vývoj algoritmů využívající data z PMU pro potřeby vyhodnocení aktuálního provozu distribuční soustavy a její optimalizaci, návrh a vývoj uživatelského rozhraní SW nástroje pro využití dat z PMU, implementace jednotlivých modulů do SW balíku.</w:t>
      </w:r>
    </w:p>
    <w:p w14:paraId="643D4133" w14:textId="7FC5D2B7" w:rsidR="002F16C0" w:rsidRPr="002E09FA" w:rsidRDefault="00EA124B" w:rsidP="002F16C0">
      <w:pPr>
        <w:tabs>
          <w:tab w:val="clear" w:pos="425"/>
        </w:tabs>
        <w:spacing w:before="120"/>
        <w:ind w:left="709" w:firstLine="0"/>
        <w:rPr>
          <w:color w:val="auto"/>
        </w:rPr>
      </w:pPr>
      <w:r w:rsidRPr="002E09FA">
        <w:rPr>
          <w:color w:val="auto"/>
        </w:rPr>
        <w:t xml:space="preserve">Další účastník: </w:t>
      </w:r>
      <w:r w:rsidR="002F16C0" w:rsidRPr="002E09FA">
        <w:rPr>
          <w:color w:val="auto"/>
        </w:rPr>
        <w:t xml:space="preserve">know-how pro vývoj a implementaci systémového i aplikačního SW balíku nástroje pro využití dat z PMU pro optimalizaci sítě vysokého napětí, </w:t>
      </w:r>
      <w:r w:rsidR="00E547DA" w:rsidRPr="002E09FA">
        <w:rPr>
          <w:color w:val="auto"/>
        </w:rPr>
        <w:t xml:space="preserve">návrh a optimalizace </w:t>
      </w:r>
      <w:r w:rsidR="002F16C0" w:rsidRPr="002E09FA">
        <w:rPr>
          <w:color w:val="auto"/>
        </w:rPr>
        <w:t>databáze a uživatelského rozhraní</w:t>
      </w:r>
      <w:r w:rsidR="00D63314" w:rsidRPr="002E09FA">
        <w:rPr>
          <w:color w:val="auto"/>
        </w:rPr>
        <w:t xml:space="preserve"> </w:t>
      </w:r>
      <w:r w:rsidR="00D63314" w:rsidRPr="002E09FA">
        <w:t>pro efektivní vizualizaci výsledků měření</w:t>
      </w:r>
      <w:r w:rsidR="00296163" w:rsidRPr="002E09FA">
        <w:t xml:space="preserve"> vč. projekce do mapových podkladů</w:t>
      </w:r>
      <w:r w:rsidR="00E547DA" w:rsidRPr="002E09FA">
        <w:t>.</w:t>
      </w:r>
    </w:p>
    <w:p w14:paraId="6D7BB15A" w14:textId="77777777" w:rsidR="00EA124B" w:rsidRPr="00CF26C4" w:rsidRDefault="00EA124B" w:rsidP="00EA124B">
      <w:pPr>
        <w:pStyle w:val="Odstavecseseznamem"/>
        <w:numPr>
          <w:ilvl w:val="0"/>
          <w:numId w:val="5"/>
        </w:numPr>
        <w:tabs>
          <w:tab w:val="clear" w:pos="425"/>
        </w:tabs>
        <w:rPr>
          <w:color w:val="auto"/>
        </w:rPr>
      </w:pPr>
      <w:r w:rsidRPr="002E09FA">
        <w:rPr>
          <w:color w:val="auto"/>
        </w:rPr>
        <w:t>Vkládané znalosti zůstávají vlastnictvím Smluvní strany, která je do Projektu vložila. Smluvní strany prohlašují, že mohou s vkládanými</w:t>
      </w:r>
      <w:r w:rsidRPr="00CF26C4">
        <w:rPr>
          <w:color w:val="auto"/>
        </w:rPr>
        <w:t xml:space="preserve"> znalostmi uvedenými v písm. a) tohoto odstavce volně nakládat a zpřístupnit je druhé Smluvní straně.</w:t>
      </w:r>
    </w:p>
    <w:p w14:paraId="3D4FC88D" w14:textId="77777777" w:rsidR="00EA124B" w:rsidRPr="00CF26C4" w:rsidRDefault="00EA124B" w:rsidP="00EA124B">
      <w:pPr>
        <w:pStyle w:val="Odstavecseseznamem"/>
        <w:numPr>
          <w:ilvl w:val="0"/>
          <w:numId w:val="5"/>
        </w:numPr>
        <w:tabs>
          <w:tab w:val="clear" w:pos="425"/>
        </w:tabs>
        <w:rPr>
          <w:color w:val="auto"/>
        </w:rPr>
      </w:pPr>
      <w:r w:rsidRPr="00CF26C4">
        <w:rPr>
          <w:color w:val="auto"/>
        </w:rPr>
        <w:t xml:space="preserve">Smluvní strany jsou oprávněny použít vkládané znalosti pro práce na Projektu, pokud jsou nezbytně potřebné, po dobu trvání Projektu zdarma. </w:t>
      </w:r>
    </w:p>
    <w:p w14:paraId="38CD90A1" w14:textId="19982A8D" w:rsidR="00EA124B" w:rsidRPr="00CF26C4" w:rsidRDefault="00EA124B" w:rsidP="00EA124B">
      <w:pPr>
        <w:pStyle w:val="Odstavecseseznamem"/>
        <w:numPr>
          <w:ilvl w:val="0"/>
          <w:numId w:val="5"/>
        </w:numPr>
        <w:tabs>
          <w:tab w:val="clear" w:pos="425"/>
        </w:tabs>
        <w:rPr>
          <w:color w:val="auto"/>
        </w:rPr>
      </w:pPr>
      <w:r w:rsidRPr="00CF26C4">
        <w:rPr>
          <w:color w:val="auto"/>
        </w:rPr>
        <w:t>Smluvní strany mají právo na nevýhradní licenci za tržních podmínek k vkládaným znalostem ve vlastnictví druhé Strany, pokud je nezbytně potřebují pro využití vlastních výsledků Projektu, protože bez nich by bylo užití vlastních výsledků technicky nebo právně nemožné. O</w:t>
      </w:r>
      <w:r w:rsidR="009049B2" w:rsidRPr="00CF26C4">
        <w:rPr>
          <w:color w:val="auto"/>
        </w:rPr>
        <w:t> </w:t>
      </w:r>
      <w:r w:rsidRPr="00CF26C4">
        <w:rPr>
          <w:color w:val="auto"/>
        </w:rPr>
        <w:t xml:space="preserve">licenci je třeba požádat do dvou let od skončení Projektu. </w:t>
      </w:r>
    </w:p>
    <w:p w14:paraId="41324E4C" w14:textId="77777777" w:rsidR="00EA124B" w:rsidRPr="00CF26C4" w:rsidRDefault="00EA124B" w:rsidP="00EA124B">
      <w:pPr>
        <w:pStyle w:val="Odstavecseseznamem"/>
        <w:numPr>
          <w:ilvl w:val="0"/>
          <w:numId w:val="5"/>
        </w:numPr>
        <w:tabs>
          <w:tab w:val="clear" w:pos="425"/>
        </w:tabs>
        <w:rPr>
          <w:color w:val="auto"/>
        </w:rPr>
      </w:pPr>
      <w:r w:rsidRPr="00CF26C4">
        <w:rPr>
          <w:color w:val="auto"/>
        </w:rPr>
        <w:t>Smluvní strany nejsou oprávněny použít vkládané znalosti k jinému účelu a jiným způsobem, pokud si předem písemně nesjednají jinak samostatně uzavřenou smlouvou.</w:t>
      </w:r>
    </w:p>
    <w:p w14:paraId="7DC44ECF" w14:textId="6F1052A2" w:rsidR="00EA124B" w:rsidRPr="00CF26C4" w:rsidRDefault="00EA124B" w:rsidP="00EE64BC">
      <w:pPr>
        <w:pStyle w:val="Odstavecseseznamem"/>
        <w:numPr>
          <w:ilvl w:val="0"/>
          <w:numId w:val="5"/>
        </w:numPr>
        <w:tabs>
          <w:tab w:val="clear" w:pos="425"/>
        </w:tabs>
        <w:rPr>
          <w:color w:val="auto"/>
        </w:rPr>
      </w:pPr>
      <w:r w:rsidRPr="00CF26C4">
        <w:rPr>
          <w:color w:val="auto"/>
        </w:rP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druhé Strany použije (dále v tomto odstavci jako první Strana), je sama odpovědná za případná porušení práv duševního vlastnictví třetích stran, avšak pouze v případě, že podmínky použití duševního vlastnictví třetích stran jsou uvedeny v odpovídajících veřejně přístupných licenčních podmínkách nebo ve smluvních podmínkách používání duševního vlastnictví třetích stran, které druhá Strana přímo či nepřímo se třetími stranami uzavřela, a o nichž první Stranu předem písemně informovala. V opačném případě se má za to, že první Strana jednala v dobré víře (</w:t>
      </w:r>
      <w:r w:rsidRPr="00CF26C4">
        <w:rPr>
          <w:i/>
          <w:color w:val="auto"/>
        </w:rPr>
        <w:t>bona fide</w:t>
      </w:r>
      <w:r w:rsidRPr="00CF26C4">
        <w:rPr>
          <w:color w:val="auto"/>
        </w:rPr>
        <w:t>) a proto nenese za takové své jednání a za veškeré jeho následky odpovědnost. Za vypořádání porušení práv duševního vlastnictví třetích stran založených smlouvami, které s nimi uzavřela druhá Strana a o nichž první Stranu předem písemně neinformovala, je v tomto případě plně zodpovědná druhá Strana, a to včetně urovnání případných soudních sporů.</w:t>
      </w:r>
    </w:p>
    <w:p w14:paraId="13F86A67" w14:textId="77777777" w:rsidR="00EE64BC" w:rsidRPr="00CF26C4" w:rsidRDefault="00EE64BC" w:rsidP="00EE64BC">
      <w:pPr>
        <w:rPr>
          <w:color w:val="auto"/>
        </w:rPr>
      </w:pPr>
      <w:r w:rsidRPr="00CF26C4">
        <w:rPr>
          <w:color w:val="auto"/>
        </w:rPr>
        <w:t>3.</w:t>
      </w:r>
      <w:r w:rsidRPr="00CF26C4">
        <w:rPr>
          <w:color w:val="auto"/>
        </w:rPr>
        <w:tab/>
        <w:t>Ochrana duševního vlastnictví:</w:t>
      </w:r>
    </w:p>
    <w:p w14:paraId="486844F6" w14:textId="77777777" w:rsidR="009049B2" w:rsidRPr="00CF26C4" w:rsidRDefault="009049B2" w:rsidP="009049B2">
      <w:pPr>
        <w:pStyle w:val="Odstavecseseznamem"/>
        <w:numPr>
          <w:ilvl w:val="0"/>
          <w:numId w:val="3"/>
        </w:numPr>
        <w:tabs>
          <w:tab w:val="clear" w:pos="425"/>
        </w:tabs>
        <w:rPr>
          <w:color w:val="auto"/>
        </w:rPr>
      </w:pPr>
      <w:r w:rsidRPr="00CF26C4">
        <w:rPr>
          <w:color w:val="auto"/>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6EE3B077" w14:textId="77777777" w:rsidR="009049B2" w:rsidRPr="00CF26C4" w:rsidRDefault="009049B2" w:rsidP="009049B2">
      <w:pPr>
        <w:pStyle w:val="Odstavecseseznamem"/>
        <w:numPr>
          <w:ilvl w:val="0"/>
          <w:numId w:val="3"/>
        </w:numPr>
        <w:tabs>
          <w:tab w:val="clear" w:pos="425"/>
        </w:tabs>
        <w:rPr>
          <w:color w:val="auto"/>
        </w:rPr>
      </w:pPr>
      <w:r w:rsidRPr="00CF26C4">
        <w:rPr>
          <w:color w:val="auto"/>
        </w:rPr>
        <w:t xml:space="preserve">Pokud výsledek vlastní Smluvní strany společně, podají přihlášku k ochraně společně a to tak, aby se obě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stranou bude vždy zapotřebí písemného souhlasu obou </w:t>
      </w:r>
      <w:r w:rsidRPr="00CF26C4">
        <w:rPr>
          <w:color w:val="auto"/>
        </w:rPr>
        <w:lastRenderedPageBreak/>
        <w:t>spoluvlastníků. Každý ze spoluvlastníků je oprávněn samostatně uplatňovat nároky z prokazatelných porušení práv k předmětu (předmětům) duševního vlastnictví. Výnosy z licencování společných výsledků třetím stranám se rozdělí podle výše spoluvlastnických podílů.</w:t>
      </w:r>
    </w:p>
    <w:p w14:paraId="1F09BAC9" w14:textId="1CD15828" w:rsidR="009049B2" w:rsidRPr="00CF26C4" w:rsidRDefault="00EE64BC" w:rsidP="009049B2">
      <w:pPr>
        <w:rPr>
          <w:color w:val="auto"/>
        </w:rPr>
      </w:pPr>
      <w:r w:rsidRPr="00CF26C4">
        <w:rPr>
          <w:color w:val="auto"/>
        </w:rPr>
        <w:t>4.</w:t>
      </w:r>
      <w:r w:rsidRPr="00CF26C4">
        <w:rPr>
          <w:color w:val="auto"/>
        </w:rPr>
        <w:tab/>
      </w:r>
      <w:r w:rsidR="009049B2" w:rsidRPr="00CF26C4">
        <w:rPr>
          <w:color w:val="auto"/>
        </w:rPr>
        <w:t>Smluvní strany jsou povinny zajistit si vůči nositelům chráněných práv duševního vlastnictví používaných, resp. vzniklých v souvislosti s realizací částí Projektu možnost volného nakládání s těmito právy (zejména řádně a včas uplatnit vůči původci právo na zaměstnanecký vynález, užitný vzor nebo průmyslový vzor, popřípadě se vypořádat s původci a autory smluvně, zakoupit či jiným legálním způsobem získat potřebné licence ke všem SW komponentám, knihovnám, algoritmům třetích stran či jejich částem použitým při řešení Projektu apod.) Každá ze Smluvních stran je zodpovědná za vypořádání nároků autorů a původců na své straně.</w:t>
      </w:r>
    </w:p>
    <w:p w14:paraId="62B58496" w14:textId="36208B99" w:rsidR="00EE64BC" w:rsidRPr="00CF26C4" w:rsidRDefault="00EE64BC" w:rsidP="00EE64BC">
      <w:pPr>
        <w:rPr>
          <w:color w:val="auto"/>
        </w:rPr>
      </w:pPr>
      <w:r w:rsidRPr="00CF26C4">
        <w:rPr>
          <w:color w:val="auto"/>
        </w:rPr>
        <w:t>5.</w:t>
      </w:r>
      <w:r w:rsidRPr="00CF26C4">
        <w:rPr>
          <w:color w:val="auto"/>
        </w:rPr>
        <w:tab/>
      </w:r>
      <w:r w:rsidR="009049B2" w:rsidRPr="00CF26C4">
        <w:rPr>
          <w:color w:val="auto"/>
        </w:rPr>
        <w:t>Pokud se Smluvní strany nedohodnou písemně jinak, uplatní se ustanovení tohoto článku obdobně na nároky k výsledkům Projektu v případě předčasného ukončení této Smlouvy.</w:t>
      </w:r>
    </w:p>
    <w:p w14:paraId="68AC6627" w14:textId="77777777" w:rsidR="00EE64BC" w:rsidRPr="00CF26C4" w:rsidRDefault="00EE64BC" w:rsidP="00EE64BC">
      <w:pPr>
        <w:rPr>
          <w:color w:val="auto"/>
        </w:rPr>
      </w:pPr>
    </w:p>
    <w:p w14:paraId="38D7C314" w14:textId="77777777" w:rsidR="00EE64BC" w:rsidRPr="00CF26C4" w:rsidRDefault="00EE64BC" w:rsidP="008516B3">
      <w:pPr>
        <w:pStyle w:val="Nadpis2"/>
        <w:rPr>
          <w:color w:val="auto"/>
        </w:rPr>
      </w:pPr>
      <w:r w:rsidRPr="00CF26C4">
        <w:rPr>
          <w:color w:val="auto"/>
        </w:rPr>
        <w:t>VIII.</w:t>
      </w:r>
      <w:r w:rsidRPr="00CF26C4">
        <w:rPr>
          <w:color w:val="auto"/>
        </w:rPr>
        <w:br/>
        <w:t>Práva k výsledkům a využití výsledků</w:t>
      </w:r>
    </w:p>
    <w:p w14:paraId="4863B919" w14:textId="77777777" w:rsidR="00EE64BC" w:rsidRPr="00CF26C4" w:rsidRDefault="00EE64BC" w:rsidP="00EE64BC">
      <w:pPr>
        <w:rPr>
          <w:color w:val="auto"/>
        </w:rPr>
      </w:pPr>
      <w:r w:rsidRPr="00CF26C4">
        <w:rPr>
          <w:color w:val="auto"/>
        </w:rPr>
        <w:t>1.</w:t>
      </w:r>
      <w:r w:rsidRPr="00CF26C4">
        <w:rPr>
          <w:color w:val="auto"/>
        </w:rPr>
        <w:tab/>
        <w:t>Práva k výsledkům:</w:t>
      </w:r>
    </w:p>
    <w:p w14:paraId="4BC52B79" w14:textId="6702D83D" w:rsidR="009049B2" w:rsidRPr="00CF26C4" w:rsidRDefault="009049B2" w:rsidP="009049B2">
      <w:pPr>
        <w:pStyle w:val="Odstavecseseznamem"/>
        <w:numPr>
          <w:ilvl w:val="0"/>
          <w:numId w:val="2"/>
        </w:numPr>
        <w:tabs>
          <w:tab w:val="clear" w:pos="425"/>
        </w:tabs>
        <w:rPr>
          <w:color w:val="auto"/>
        </w:rPr>
      </w:pPr>
      <w:r w:rsidRPr="00CF26C4">
        <w:rPr>
          <w:color w:val="auto"/>
        </w:rPr>
        <w:t>Výsledky Projektu, kterých bude v rámci Projektu dosaženo pouze jednou Smluvní stranou, budou zcela ve vlastnictví Strany, která tyto výsledky vyvinula (vytvořila vlastní tvůrčí prací).</w:t>
      </w:r>
    </w:p>
    <w:p w14:paraId="6621A7AF" w14:textId="77777777" w:rsidR="009049B2" w:rsidRPr="00CF26C4" w:rsidRDefault="009049B2" w:rsidP="009049B2">
      <w:pPr>
        <w:pStyle w:val="Odstavecseseznamem"/>
        <w:numPr>
          <w:ilvl w:val="0"/>
          <w:numId w:val="2"/>
        </w:numPr>
        <w:tabs>
          <w:tab w:val="clear" w:pos="425"/>
        </w:tabs>
        <w:rPr>
          <w:color w:val="auto"/>
        </w:rPr>
      </w:pPr>
      <w:r w:rsidRPr="00CF26C4">
        <w:rPr>
          <w:color w:val="auto"/>
        </w:rPr>
        <w:t>Výsledky Projektu, které budou dosaženy v rámci Projektu oběma Smluvními stranami společně tak, že jednotlivé tvůrčí příspěvky Smluvních stran nelze oddělit bez ztráty jejich podstaty, budou ve společném vlastnictví Stran. Pokud nelze určit tvůrčí podíly jednotlivých Smluvních stran na výsledku a Strany se nedohodly jinak, platí, že jsou spoluvlastnické podíly rovné.</w:t>
      </w:r>
    </w:p>
    <w:p w14:paraId="17BB5C76" w14:textId="77777777" w:rsidR="00EE64BC" w:rsidRPr="00CF26C4" w:rsidRDefault="00EE64BC" w:rsidP="00EE64BC">
      <w:pPr>
        <w:rPr>
          <w:color w:val="auto"/>
        </w:rPr>
      </w:pPr>
      <w:r w:rsidRPr="00CF26C4">
        <w:rPr>
          <w:color w:val="auto"/>
        </w:rPr>
        <w:t>2.</w:t>
      </w:r>
      <w:r w:rsidRPr="00CF26C4">
        <w:rPr>
          <w:color w:val="auto"/>
        </w:rPr>
        <w:tab/>
        <w:t>Využití výsledků:</w:t>
      </w:r>
    </w:p>
    <w:p w14:paraId="6A6BF426" w14:textId="77777777" w:rsidR="009049B2" w:rsidRPr="00CF26C4" w:rsidRDefault="009049B2" w:rsidP="009049B2">
      <w:pPr>
        <w:pStyle w:val="Odstavecseseznamem"/>
        <w:numPr>
          <w:ilvl w:val="0"/>
          <w:numId w:val="6"/>
        </w:numPr>
        <w:tabs>
          <w:tab w:val="clear" w:pos="425"/>
        </w:tabs>
        <w:rPr>
          <w:color w:val="auto"/>
        </w:rPr>
      </w:pPr>
      <w:r w:rsidRPr="00CF26C4">
        <w:rPr>
          <w:color w:val="auto"/>
        </w:rPr>
        <w:t xml:space="preserve">Smluvní strana je oprávněna k nevýhradnímu užití výsledků ve vlastnictví druhé Strany, pokud jsou nezbytné pro užívání výsledků Projektu vlastněných touto Smluvní stranou, za obvyklých tržních podmínek, přičemž o licenci je třeba požádat do dvou let od skončení Projektu. </w:t>
      </w:r>
    </w:p>
    <w:p w14:paraId="4A82436D" w14:textId="79AD47BB" w:rsidR="009049B2" w:rsidRPr="00CF26C4" w:rsidRDefault="009049B2" w:rsidP="009049B2">
      <w:pPr>
        <w:pStyle w:val="Odstavecseseznamem"/>
        <w:numPr>
          <w:ilvl w:val="0"/>
          <w:numId w:val="6"/>
        </w:numPr>
        <w:tabs>
          <w:tab w:val="clear" w:pos="425"/>
        </w:tabs>
        <w:rPr>
          <w:color w:val="auto"/>
        </w:rPr>
      </w:pPr>
      <w:r w:rsidRPr="00CF26C4">
        <w:rPr>
          <w:color w:val="auto"/>
        </w:rPr>
        <w:t>Výsledky ve společném vlastnictví obou Smluvních stran je oprávněna samostatně užívat každá Strana. Ke komerčním účelům je výsledky ve společném vlastnictví obou Smluvních stran oprávněna používat každá Strana, je však povinna předtím uzavřít s druhou Stranou samostatnou smlouvu o využití předmětného výsledku či výsledků, která stanoví způsob dělení příjmů z jejich komerčního využití. Příjemce je oprávněn využívat veškeré výsledky Projektu v rámci své nekomerční činnosti, především ve vědě, výuce a dalším výzkumu.</w:t>
      </w:r>
    </w:p>
    <w:p w14:paraId="02617C7A" w14:textId="77777777" w:rsidR="009049B2" w:rsidRPr="00CF26C4" w:rsidRDefault="009049B2" w:rsidP="009049B2">
      <w:pPr>
        <w:rPr>
          <w:color w:val="auto"/>
        </w:rPr>
      </w:pPr>
      <w:r w:rsidRPr="00CF26C4">
        <w:rPr>
          <w:color w:val="auto"/>
        </w:rPr>
        <w:t>3.</w:t>
      </w:r>
      <w:r w:rsidRPr="00CF26C4">
        <w:rPr>
          <w:color w:val="auto"/>
        </w:rPr>
        <w:tab/>
        <w:t>Ustanovení předchozích odstavců nebrání tomu, aby Smluvní strany po vzájemné dohodě upravily vlastnická a užívací práva k výsledkům Projektu v jednotlivých případech odlišně při respektování platné legislativy a podmínek řešení Projektu stanovených Poskytovatelem.</w:t>
      </w:r>
    </w:p>
    <w:p w14:paraId="70F0F98F" w14:textId="77777777" w:rsidR="009049B2" w:rsidRPr="00CF26C4" w:rsidRDefault="009049B2" w:rsidP="009049B2">
      <w:pPr>
        <w:rPr>
          <w:color w:val="auto"/>
        </w:rPr>
      </w:pPr>
      <w:r w:rsidRPr="00CF26C4">
        <w:rPr>
          <w:color w:val="auto"/>
        </w:rPr>
        <w:t>4.</w:t>
      </w:r>
      <w:r w:rsidRPr="00CF26C4">
        <w:rPr>
          <w:color w:val="auto"/>
        </w:rPr>
        <w:tab/>
        <w:t>Pokud se Smluvní strany nedohodnou písemně jinak, uplatní se ustanovení tohoto článku obdobně na nároky k výsledkům Projektu v případě předčasného ukončení Smlouvy.</w:t>
      </w:r>
    </w:p>
    <w:p w14:paraId="67A2C75A" w14:textId="77777777" w:rsidR="009049B2" w:rsidRPr="00CF26C4" w:rsidRDefault="009049B2" w:rsidP="009049B2">
      <w:pPr>
        <w:rPr>
          <w:color w:val="auto"/>
        </w:rPr>
      </w:pPr>
      <w:r w:rsidRPr="00CF26C4">
        <w:rPr>
          <w:color w:val="auto"/>
        </w:rPr>
        <w:t xml:space="preserve">5. </w:t>
      </w:r>
      <w:r w:rsidRPr="00CF26C4">
        <w:rPr>
          <w:color w:val="auto"/>
        </w:rPr>
        <w:tab/>
        <w:t>Smluvní strany se zavazují spolupracovat a poskytnout si vzájemně maximální součinnost k tomu, aby k dosaženým výsledkům Projektu vytvořily implementační plán.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Smluvní strany výslovně prohlašují, že touto Smlouvou nejsou převáděna jakákoli práva k výsledkům, pokud k ní nebude uzavřen dodatek nebo dodatky, tato práva následně měnící.</w:t>
      </w:r>
    </w:p>
    <w:p w14:paraId="3737DE3A" w14:textId="77777777" w:rsidR="006350FD" w:rsidRPr="00CF26C4" w:rsidRDefault="006350FD" w:rsidP="00EE64BC">
      <w:pPr>
        <w:rPr>
          <w:color w:val="auto"/>
        </w:rPr>
      </w:pPr>
    </w:p>
    <w:p w14:paraId="2ECC32E9" w14:textId="77777777" w:rsidR="00EE64BC" w:rsidRPr="00CF26C4" w:rsidRDefault="00EE64BC" w:rsidP="008516B3">
      <w:pPr>
        <w:pStyle w:val="Nadpis2"/>
        <w:rPr>
          <w:color w:val="auto"/>
        </w:rPr>
      </w:pPr>
      <w:r w:rsidRPr="00CF26C4">
        <w:rPr>
          <w:color w:val="auto"/>
        </w:rPr>
        <w:lastRenderedPageBreak/>
        <w:t>IX.</w:t>
      </w:r>
      <w:r w:rsidRPr="00CF26C4">
        <w:rPr>
          <w:color w:val="auto"/>
        </w:rPr>
        <w:br/>
        <w:t>Odpovědnost a sankce</w:t>
      </w:r>
    </w:p>
    <w:p w14:paraId="7DD2AB30" w14:textId="0E0E0439" w:rsidR="00B1707C" w:rsidRPr="00CF26C4" w:rsidRDefault="003042BB" w:rsidP="00B1707C">
      <w:pPr>
        <w:rPr>
          <w:color w:val="auto"/>
        </w:rPr>
      </w:pPr>
      <w:r w:rsidRPr="00CF26C4">
        <w:rPr>
          <w:color w:val="auto"/>
        </w:rPr>
        <w:t>1.</w:t>
      </w:r>
      <w:r w:rsidR="00EE64BC" w:rsidRPr="00CF26C4">
        <w:rPr>
          <w:color w:val="auto"/>
        </w:rPr>
        <w:tab/>
      </w:r>
      <w:r w:rsidR="00B1707C" w:rsidRPr="00CF26C4">
        <w:rPr>
          <w:color w:val="auto"/>
        </w:rPr>
        <w:t xml:space="preserve">Pokud Další účastník použije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w:t>
      </w:r>
      <w:r w:rsidR="00B1707C" w:rsidRPr="00CF26C4">
        <w:rPr>
          <w:i/>
          <w:color w:val="auto"/>
        </w:rPr>
        <w:t>Zákon o rozpočtových pravidlech a o změně některých souvisejících zákonů (rozpočtová pravidla)</w:t>
      </w:r>
      <w:r w:rsidR="00B1707C" w:rsidRPr="00CF26C4">
        <w:rPr>
          <w:color w:val="auto"/>
        </w:rPr>
        <w:t>, ve znění pozdějších předpisů, a bude mít důsledky analogické důsledkům v tomto zákoně uvedeným.</w:t>
      </w:r>
    </w:p>
    <w:p w14:paraId="15FE5E34" w14:textId="77777777" w:rsidR="00B1707C" w:rsidRPr="00CF26C4" w:rsidRDefault="00B1707C" w:rsidP="00B1707C">
      <w:pPr>
        <w:rPr>
          <w:color w:val="auto"/>
        </w:rPr>
      </w:pPr>
      <w:r w:rsidRPr="00CF26C4">
        <w:rPr>
          <w:color w:val="auto"/>
        </w:rPr>
        <w:t>2.</w:t>
      </w:r>
      <w:r w:rsidRPr="00CF26C4">
        <w:rPr>
          <w:color w:val="auto"/>
        </w:rPr>
        <w:tab/>
        <w:t>Za každé závažné (podstatné) porušení povinností vyplývajících z této Smlouvy je Smluvní strana, která svou povinnost porušila, povinna uhradit druhé Straně smluvní pokutu ve výši 0,05 % z celkové výše poskytnutých Prostředků. Tímto ujednáním o smluvních sankcích není dotčeno právo Smluvní strany na náhradu vzniklé škody, kterou je oprávněna vymáhat samostatně.</w:t>
      </w:r>
    </w:p>
    <w:p w14:paraId="5A70BDD7" w14:textId="77777777" w:rsidR="00B1707C" w:rsidRPr="00CF26C4" w:rsidRDefault="00B1707C" w:rsidP="00B1707C">
      <w:pPr>
        <w:rPr>
          <w:color w:val="auto"/>
        </w:rPr>
      </w:pPr>
      <w:r w:rsidRPr="00CF26C4">
        <w:rPr>
          <w:color w:val="auto"/>
        </w:rPr>
        <w:t>3.</w:t>
      </w:r>
      <w:r w:rsidRPr="00CF26C4">
        <w:rPr>
          <w:color w:val="auto"/>
        </w:rPr>
        <w:tab/>
        <w:t>Pokud by došlo k porušení pravidel (podmínek) spolupráce vymezených v této Smlouvě některou ze Smluvních stran, je Strana, která porušení způsobila, povinna nahradit druhé Straně prokazatelnou škodu, včetně případných smluvních pokut a/nebo jakýchkoli dalších sankcí uložených Poskytovatelem Příjemci dle Všeobecných podmínek Poskytovatele za následky tohoto porušení pravidel.</w:t>
      </w:r>
    </w:p>
    <w:p w14:paraId="083C1C06" w14:textId="77777777" w:rsidR="00EE64BC" w:rsidRPr="00CF26C4" w:rsidRDefault="00EE64BC" w:rsidP="00EE64BC">
      <w:pPr>
        <w:rPr>
          <w:color w:val="auto"/>
        </w:rPr>
      </w:pPr>
    </w:p>
    <w:p w14:paraId="050BD565" w14:textId="77777777" w:rsidR="00EE64BC" w:rsidRPr="00CF26C4" w:rsidRDefault="00EE64BC" w:rsidP="008516B3">
      <w:pPr>
        <w:pStyle w:val="Nadpis2"/>
        <w:rPr>
          <w:color w:val="auto"/>
        </w:rPr>
      </w:pPr>
      <w:r w:rsidRPr="00CF26C4">
        <w:rPr>
          <w:color w:val="auto"/>
        </w:rPr>
        <w:t>X.</w:t>
      </w:r>
      <w:r w:rsidRPr="00CF26C4">
        <w:rPr>
          <w:color w:val="auto"/>
        </w:rPr>
        <w:br/>
        <w:t>Závěrečná ustanovení</w:t>
      </w:r>
    </w:p>
    <w:p w14:paraId="41BBE97B" w14:textId="77777777" w:rsidR="00AA54F3" w:rsidRPr="002E09FA" w:rsidRDefault="00EE64BC" w:rsidP="00AA54F3">
      <w:pPr>
        <w:rPr>
          <w:color w:val="auto"/>
        </w:rPr>
      </w:pPr>
      <w:r w:rsidRPr="00CF26C4">
        <w:rPr>
          <w:color w:val="auto"/>
        </w:rPr>
        <w:t>1.</w:t>
      </w:r>
      <w:r w:rsidRPr="00CF26C4">
        <w:rPr>
          <w:color w:val="auto"/>
        </w:rPr>
        <w:tab/>
      </w:r>
      <w:r w:rsidR="00AA54F3" w:rsidRPr="00CF26C4">
        <w:rPr>
          <w:color w:val="auto"/>
        </w:rPr>
        <w:t xml:space="preserve">Další účastník se bezvýhradně zavazuje, že se bude řídit smlouvou o poskytnutí podpory na řešení Projektu </w:t>
      </w:r>
      <w:r w:rsidR="00AA54F3" w:rsidRPr="002E09FA">
        <w:rPr>
          <w:color w:val="auto"/>
        </w:rPr>
        <w:t>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5B348EC1" w14:textId="1FBAFEF1" w:rsidR="00AA54F3" w:rsidRPr="002E09FA" w:rsidRDefault="00AA54F3" w:rsidP="00AA54F3">
      <w:pPr>
        <w:rPr>
          <w:color w:val="auto"/>
        </w:rPr>
      </w:pPr>
      <w:r w:rsidRPr="002E09FA">
        <w:rPr>
          <w:color w:val="auto"/>
        </w:rPr>
        <w:t>2.</w:t>
      </w:r>
      <w:r w:rsidRPr="002E09FA">
        <w:rPr>
          <w:color w:val="auto"/>
        </w:rPr>
        <w:tab/>
        <w:t>Smluvní pokuty sjednané touto Smlouvou nesaturují případný nárok poškozené Strany na náhradu vzniklé škody.</w:t>
      </w:r>
    </w:p>
    <w:p w14:paraId="1FE52277" w14:textId="6331A5D2" w:rsidR="00EE64BC" w:rsidRPr="002E09FA" w:rsidRDefault="00A32119" w:rsidP="00EE64BC">
      <w:pPr>
        <w:rPr>
          <w:color w:val="auto"/>
        </w:rPr>
      </w:pPr>
      <w:r w:rsidRPr="002E09FA">
        <w:rPr>
          <w:color w:val="auto"/>
        </w:rPr>
        <w:t>3</w:t>
      </w:r>
      <w:r w:rsidR="00EE64BC" w:rsidRPr="002E09FA">
        <w:rPr>
          <w:color w:val="auto"/>
        </w:rPr>
        <w:t>.</w:t>
      </w:r>
      <w:r w:rsidR="00EE64BC" w:rsidRPr="002E09FA">
        <w:rPr>
          <w:color w:val="auto"/>
        </w:rPr>
        <w:tab/>
      </w:r>
      <w:r w:rsidR="00AA54F3" w:rsidRPr="002E09FA">
        <w:rPr>
          <w:color w:val="auto"/>
        </w:rPr>
        <w:t xml:space="preserve">Zásady, které nejsou touto Smlouvou upraveny, se řídí zákonem č. 89/2012 Sb., </w:t>
      </w:r>
      <w:r w:rsidR="00AA54F3" w:rsidRPr="002E09FA">
        <w:rPr>
          <w:i/>
          <w:color w:val="auto"/>
        </w:rPr>
        <w:t>Občanský zákoník</w:t>
      </w:r>
      <w:r w:rsidR="00AA54F3" w:rsidRPr="002E09FA">
        <w:rPr>
          <w:color w:val="auto"/>
        </w:rPr>
        <w:t xml:space="preserve">, v platném znění, a právními předpisy na občanský zákoník pro účely této Smlouvy navazujícími, a to zejména zákonem č. 130/2002 Sb., </w:t>
      </w:r>
      <w:r w:rsidR="00AA54F3" w:rsidRPr="002E09FA">
        <w:rPr>
          <w:i/>
          <w:color w:val="auto"/>
        </w:rPr>
        <w:t>Zákon o podpoře výzkumu, experimentálního vývoje a inovací z veřejných prostředků a o změně některých souvisejících zákonů (zákon o podpoře výzkumu, experimentálního vývoje a inovací)</w:t>
      </w:r>
      <w:r w:rsidR="00AA54F3" w:rsidRPr="002E09FA">
        <w:rPr>
          <w:color w:val="auto"/>
        </w:rPr>
        <w:t>, ve znění pozdějších předpisů.</w:t>
      </w:r>
    </w:p>
    <w:p w14:paraId="3467F058" w14:textId="02B36680" w:rsidR="00EE64BC" w:rsidRPr="002E09FA" w:rsidRDefault="00A32119" w:rsidP="00EE64BC">
      <w:pPr>
        <w:rPr>
          <w:color w:val="auto"/>
        </w:rPr>
      </w:pPr>
      <w:r w:rsidRPr="002E09FA">
        <w:rPr>
          <w:color w:val="auto"/>
        </w:rPr>
        <w:t>4</w:t>
      </w:r>
      <w:r w:rsidR="00EE64BC" w:rsidRPr="002E09FA">
        <w:rPr>
          <w:color w:val="auto"/>
        </w:rPr>
        <w:t>.</w:t>
      </w:r>
      <w:r w:rsidR="00EE64BC" w:rsidRPr="002E09FA">
        <w:rPr>
          <w:color w:val="auto"/>
        </w:rPr>
        <w:tab/>
      </w:r>
      <w:r w:rsidR="00AA54F3" w:rsidRPr="002E09FA">
        <w:rPr>
          <w:color w:val="auto"/>
        </w:rPr>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 i poté, co bylo započato s plněním.</w:t>
      </w:r>
    </w:p>
    <w:p w14:paraId="127C33E4" w14:textId="6870A328" w:rsidR="00EE64BC" w:rsidRPr="002E09FA" w:rsidRDefault="00A32119" w:rsidP="00EE64BC">
      <w:pPr>
        <w:rPr>
          <w:color w:val="auto"/>
        </w:rPr>
      </w:pPr>
      <w:r w:rsidRPr="002E09FA">
        <w:rPr>
          <w:color w:val="auto"/>
        </w:rPr>
        <w:t>5</w:t>
      </w:r>
      <w:r w:rsidR="002A16D1" w:rsidRPr="002E09FA">
        <w:rPr>
          <w:color w:val="auto"/>
        </w:rPr>
        <w:t>.</w:t>
      </w:r>
      <w:r w:rsidR="00EE64BC" w:rsidRPr="002E09FA">
        <w:rPr>
          <w:color w:val="auto"/>
        </w:rPr>
        <w:tab/>
        <w:t xml:space="preserve">Tato </w:t>
      </w:r>
      <w:r w:rsidR="00D5220D" w:rsidRPr="002E09FA">
        <w:rPr>
          <w:color w:val="auto"/>
        </w:rPr>
        <w:t>S</w:t>
      </w:r>
      <w:r w:rsidR="00EE64BC" w:rsidRPr="002E09FA">
        <w:rPr>
          <w:color w:val="auto"/>
        </w:rPr>
        <w:t xml:space="preserve">mlouva o vzájemných vztazích se uzavírá s účinností od data zahájení řešení </w:t>
      </w:r>
      <w:r w:rsidRPr="002E09FA">
        <w:rPr>
          <w:color w:val="auto"/>
        </w:rPr>
        <w:t>P</w:t>
      </w:r>
      <w:r w:rsidR="00EE64BC" w:rsidRPr="002E09FA">
        <w:rPr>
          <w:color w:val="auto"/>
        </w:rPr>
        <w:t>rojektu,</w:t>
      </w:r>
      <w:r w:rsidR="006350FD" w:rsidRPr="002E09FA">
        <w:rPr>
          <w:color w:val="auto"/>
        </w:rPr>
        <w:t xml:space="preserve"> ne však dříve, než dojde ke zveřejní v registru </w:t>
      </w:r>
      <w:r w:rsidR="00CE5857" w:rsidRPr="002E09FA">
        <w:rPr>
          <w:color w:val="auto"/>
        </w:rPr>
        <w:t xml:space="preserve">smluv </w:t>
      </w:r>
      <w:r w:rsidR="006350FD" w:rsidRPr="002E09FA">
        <w:rPr>
          <w:color w:val="auto"/>
        </w:rPr>
        <w:t xml:space="preserve">dle odst. </w:t>
      </w:r>
      <w:r w:rsidR="008E379D" w:rsidRPr="002E09FA">
        <w:rPr>
          <w:color w:val="auto"/>
        </w:rPr>
        <w:t xml:space="preserve">7 </w:t>
      </w:r>
      <w:r w:rsidR="006350FD" w:rsidRPr="002E09FA">
        <w:rPr>
          <w:color w:val="auto"/>
        </w:rPr>
        <w:t>tohoto článku,</w:t>
      </w:r>
      <w:r w:rsidR="00EE64BC" w:rsidRPr="002E09FA">
        <w:rPr>
          <w:color w:val="auto"/>
        </w:rPr>
        <w:t xml:space="preserve"> na dobu určitou do ukončení řešení </w:t>
      </w:r>
      <w:r w:rsidR="00DD33BF" w:rsidRPr="002E09FA">
        <w:rPr>
          <w:color w:val="auto"/>
        </w:rPr>
        <w:t>P</w:t>
      </w:r>
      <w:r w:rsidR="00EE64BC" w:rsidRPr="002E09FA">
        <w:rPr>
          <w:color w:val="auto"/>
        </w:rPr>
        <w:t xml:space="preserve">rojektu a vyrovnání všech závazků </w:t>
      </w:r>
      <w:r w:rsidR="00DD33BF" w:rsidRPr="002E09FA">
        <w:rPr>
          <w:color w:val="auto"/>
        </w:rPr>
        <w:t>S</w:t>
      </w:r>
      <w:r w:rsidR="00EE64BC" w:rsidRPr="002E09FA">
        <w:rPr>
          <w:color w:val="auto"/>
        </w:rPr>
        <w:t xml:space="preserve">mluvních stran s tím souvisejících, avšak s výjimkou přežívajícího článku VII a VIII této </w:t>
      </w:r>
      <w:r w:rsidR="00DD33BF" w:rsidRPr="002E09FA">
        <w:rPr>
          <w:color w:val="auto"/>
        </w:rPr>
        <w:t>S</w:t>
      </w:r>
      <w:r w:rsidR="00EE64BC" w:rsidRPr="002E09FA">
        <w:rPr>
          <w:color w:val="auto"/>
        </w:rPr>
        <w:t xml:space="preserve">mlouvy. V případě, že nebude </w:t>
      </w:r>
      <w:r w:rsidR="00DD33BF" w:rsidRPr="002E09FA">
        <w:rPr>
          <w:color w:val="auto"/>
        </w:rPr>
        <w:t>P</w:t>
      </w:r>
      <w:r w:rsidR="00EE64BC" w:rsidRPr="002E09FA">
        <w:rPr>
          <w:color w:val="auto"/>
        </w:rPr>
        <w:t xml:space="preserve">oskytovatelem přiznána a poskytnuta podpora na řešení </w:t>
      </w:r>
      <w:r w:rsidR="00DD33BF" w:rsidRPr="002E09FA">
        <w:rPr>
          <w:color w:val="auto"/>
        </w:rPr>
        <w:t>P</w:t>
      </w:r>
      <w:r w:rsidR="00EE64BC" w:rsidRPr="002E09FA">
        <w:rPr>
          <w:color w:val="auto"/>
        </w:rPr>
        <w:t xml:space="preserve">rojektu a s řešením </w:t>
      </w:r>
      <w:r w:rsidR="00DD33BF" w:rsidRPr="002E09FA">
        <w:rPr>
          <w:color w:val="auto"/>
        </w:rPr>
        <w:t>P</w:t>
      </w:r>
      <w:r w:rsidR="00EE64BC" w:rsidRPr="002E09FA">
        <w:rPr>
          <w:color w:val="auto"/>
        </w:rPr>
        <w:t xml:space="preserve">rojektu tudíž nebude započato, tato </w:t>
      </w:r>
      <w:r w:rsidR="00DD33BF" w:rsidRPr="002E09FA">
        <w:rPr>
          <w:color w:val="auto"/>
        </w:rPr>
        <w:t>S</w:t>
      </w:r>
      <w:r w:rsidR="00EE64BC" w:rsidRPr="002E09FA">
        <w:rPr>
          <w:color w:val="auto"/>
        </w:rPr>
        <w:t xml:space="preserve">mlouva nevstoupí v účinnost a její platnost automaticky skončí dnem zveřejnění rozhodnutí, resp. oznámení </w:t>
      </w:r>
      <w:r w:rsidR="00FA282D" w:rsidRPr="002E09FA">
        <w:rPr>
          <w:color w:val="auto"/>
        </w:rPr>
        <w:t>P</w:t>
      </w:r>
      <w:r w:rsidR="00EE64BC" w:rsidRPr="002E09FA">
        <w:rPr>
          <w:color w:val="auto"/>
        </w:rPr>
        <w:t>oskytovatele o nepřiznání podpory.</w:t>
      </w:r>
    </w:p>
    <w:p w14:paraId="41DF7617" w14:textId="650649F4" w:rsidR="00EE64BC" w:rsidRPr="002E09FA" w:rsidRDefault="00A32119" w:rsidP="00EE64BC">
      <w:pPr>
        <w:rPr>
          <w:color w:val="auto"/>
        </w:rPr>
      </w:pPr>
      <w:r w:rsidRPr="002E09FA">
        <w:rPr>
          <w:color w:val="auto"/>
        </w:rPr>
        <w:t>6</w:t>
      </w:r>
      <w:r w:rsidR="00EE64BC" w:rsidRPr="002E09FA">
        <w:rPr>
          <w:color w:val="auto"/>
        </w:rPr>
        <w:t>.</w:t>
      </w:r>
      <w:r w:rsidR="00EE64BC" w:rsidRPr="002E09FA">
        <w:rPr>
          <w:color w:val="auto"/>
        </w:rPr>
        <w:tab/>
      </w:r>
      <w:r w:rsidR="00FC04DA" w:rsidRPr="002E09FA">
        <w:rPr>
          <w:color w:val="auto"/>
        </w:rPr>
        <w:t xml:space="preserve">Kterákoli Smluvní strana může tuto Smlouvu vypovědět. Výpovědní doba je v takovém případě dvouměsíční a její běh začíná prvým dnem měsíce následujícího po doručení výpovědi. Výpověď musí být učiněna v písemné formě a musí být doručena druhé Straně, jinak je neplatná. Poskytnuté Prostředky musí být vypořádány před doběhnutím výpovědní doby. Smluvní strana, která Smlouvu vypověděla, je odpovědná za případné prokazatelné škody vzniklé tímto jednáním </w:t>
      </w:r>
      <w:r w:rsidR="00FC04DA" w:rsidRPr="002E09FA">
        <w:rPr>
          <w:color w:val="auto"/>
        </w:rPr>
        <w:lastRenderedPageBreak/>
        <w:t>druhé Straně a Poskytovateli, a je povinna podniknout veškeré kroky vedoucí k zamezení či alespoň minimalizaci těchto škod a rovněž nahradit druhé Straně případnou prokazatelnou škodu, včetně případných smluvních pokut a/nebo jakýchkoli dalších sankcí uložených Poskytovatelem Příjemci dle Všeobecných podmínek Poskytovatele za následky tohoto vypovězení Smlouvy.</w:t>
      </w:r>
    </w:p>
    <w:p w14:paraId="34C2160A" w14:textId="3D4FF21A" w:rsidR="00EE64BC" w:rsidRPr="002E09FA" w:rsidRDefault="00A32119" w:rsidP="00EE64BC">
      <w:pPr>
        <w:rPr>
          <w:color w:val="auto"/>
        </w:rPr>
      </w:pPr>
      <w:r w:rsidRPr="002E09FA">
        <w:rPr>
          <w:color w:val="auto"/>
        </w:rPr>
        <w:t>7</w:t>
      </w:r>
      <w:r w:rsidR="00EE64BC" w:rsidRPr="002E09FA">
        <w:rPr>
          <w:color w:val="auto"/>
        </w:rPr>
        <w:t>.</w:t>
      </w:r>
      <w:r w:rsidR="00EE64BC" w:rsidRPr="002E09FA">
        <w:rPr>
          <w:color w:val="auto"/>
        </w:rPr>
        <w:tab/>
      </w:r>
      <w:r w:rsidR="00FC04DA" w:rsidRPr="002E09FA">
        <w:rPr>
          <w:color w:val="auto"/>
        </w:rPr>
        <w:t xml:space="preserve">Smluvní strany podpisem této Smlouvy potvrzují, že jsou si vědomy, že se na Smlouvu vztahuje povinnost jejího uveřejnění dle zákona č. 340/2015 Sb. </w:t>
      </w:r>
      <w:r w:rsidR="00FC04DA" w:rsidRPr="002E09FA">
        <w:rPr>
          <w:i/>
          <w:color w:val="auto"/>
        </w:rPr>
        <w:t>Zákon o zvláštních podmínkách účinnosti některých smluv, uveřejňování těchto smluv a o registru smluv (zákon o registru smluv)</w:t>
      </w:r>
      <w:r w:rsidR="00FC04DA" w:rsidRPr="002E09FA">
        <w:rPr>
          <w:color w:val="auto"/>
        </w:rPr>
        <w:t>, v platném znění. Uveřejnění Smlouvy zajišťuje VUT.</w:t>
      </w:r>
    </w:p>
    <w:p w14:paraId="14D454A1" w14:textId="176BC21D" w:rsidR="00EE64BC" w:rsidRPr="002E09FA" w:rsidRDefault="00A32119" w:rsidP="00EE64BC">
      <w:pPr>
        <w:rPr>
          <w:color w:val="auto"/>
        </w:rPr>
      </w:pPr>
      <w:r w:rsidRPr="002E09FA">
        <w:rPr>
          <w:color w:val="auto"/>
        </w:rPr>
        <w:t>8</w:t>
      </w:r>
      <w:r w:rsidR="00EE64BC" w:rsidRPr="002E09FA">
        <w:rPr>
          <w:color w:val="auto"/>
        </w:rPr>
        <w:t>.</w:t>
      </w:r>
      <w:r w:rsidR="00EE64BC" w:rsidRPr="002E09FA">
        <w:rPr>
          <w:color w:val="auto"/>
        </w:rPr>
        <w:tab/>
      </w:r>
      <w:r w:rsidR="00FC04DA" w:rsidRPr="002E09FA">
        <w:rPr>
          <w:color w:val="auto"/>
        </w:rPr>
        <w:t xml:space="preserve">Smlouva je vyhotovena </w:t>
      </w:r>
      <w:r w:rsidR="002006BE">
        <w:rPr>
          <w:color w:val="auto"/>
        </w:rPr>
        <w:t>ve čtyřech (4) stejnopisech s platností originálu, z nichž každá Strana obdrží dva (2).</w:t>
      </w:r>
    </w:p>
    <w:p w14:paraId="30BF538B" w14:textId="24CADDA0" w:rsidR="00EE64BC" w:rsidRPr="002E09FA" w:rsidRDefault="00A32119" w:rsidP="00EE64BC">
      <w:pPr>
        <w:rPr>
          <w:color w:val="auto"/>
        </w:rPr>
      </w:pPr>
      <w:r w:rsidRPr="002E09FA">
        <w:rPr>
          <w:color w:val="auto"/>
        </w:rPr>
        <w:t>9</w:t>
      </w:r>
      <w:r w:rsidR="00EE64BC" w:rsidRPr="002E09FA">
        <w:rPr>
          <w:color w:val="auto"/>
        </w:rPr>
        <w:t>.</w:t>
      </w:r>
      <w:r w:rsidR="00EE64BC" w:rsidRPr="002E09FA">
        <w:rPr>
          <w:color w:val="auto"/>
        </w:rPr>
        <w:tab/>
      </w:r>
      <w:r w:rsidR="00FC04DA" w:rsidRPr="002E09FA">
        <w:rPr>
          <w:color w:val="auto"/>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36F4D809" w14:textId="15A4F81A" w:rsidR="00EE64BC" w:rsidRPr="002E09FA" w:rsidRDefault="00A32119" w:rsidP="00EE64BC">
      <w:pPr>
        <w:rPr>
          <w:color w:val="auto"/>
        </w:rPr>
      </w:pPr>
      <w:r w:rsidRPr="002E09FA">
        <w:rPr>
          <w:color w:val="auto"/>
        </w:rPr>
        <w:t>10</w:t>
      </w:r>
      <w:r w:rsidR="00EE64BC" w:rsidRPr="002E09FA">
        <w:rPr>
          <w:color w:val="auto"/>
        </w:rPr>
        <w:t>.</w:t>
      </w:r>
      <w:r w:rsidR="00EE64BC" w:rsidRPr="002E09FA">
        <w:rPr>
          <w:color w:val="auto"/>
        </w:rPr>
        <w:tab/>
      </w:r>
      <w:r w:rsidR="00FC04DA" w:rsidRPr="002E09FA">
        <w:rPr>
          <w:color w:val="auto"/>
        </w:rPr>
        <w:t>Smluvní strany výslovně potvrzují, že tato Smlouva je výsledkem jejich jednání a každá ze Stran měla příležitost ovlivnit její základní podmínky.</w:t>
      </w:r>
    </w:p>
    <w:p w14:paraId="04B71772" w14:textId="2854AD55" w:rsidR="00FC04DA" w:rsidRPr="00CF26C4" w:rsidRDefault="00A32119" w:rsidP="00EE64BC">
      <w:pPr>
        <w:rPr>
          <w:color w:val="auto"/>
        </w:rPr>
      </w:pPr>
      <w:r w:rsidRPr="002E09FA">
        <w:rPr>
          <w:color w:val="auto"/>
        </w:rPr>
        <w:t>11</w:t>
      </w:r>
      <w:r w:rsidR="00FC04DA" w:rsidRPr="002E09FA">
        <w:rPr>
          <w:color w:val="auto"/>
        </w:rPr>
        <w:t>.</w:t>
      </w:r>
      <w:r w:rsidR="00FC04DA" w:rsidRPr="002E09FA">
        <w:rPr>
          <w:color w:val="auto"/>
        </w:rPr>
        <w:tab/>
        <w:t xml:space="preserve">Tato Smlouva nabývá platnosti dnem uvedeným </w:t>
      </w:r>
      <w:r w:rsidR="00204F8C">
        <w:rPr>
          <w:color w:val="auto"/>
        </w:rPr>
        <w:t>u</w:t>
      </w:r>
      <w:r w:rsidR="00FC04DA" w:rsidRPr="002E09FA">
        <w:rPr>
          <w:color w:val="auto"/>
        </w:rPr>
        <w:t xml:space="preserve"> podpisu Strany, která Smlouvu podepsala jako</w:t>
      </w:r>
      <w:r w:rsidR="00FC04DA" w:rsidRPr="00CF26C4">
        <w:rPr>
          <w:color w:val="auto"/>
        </w:rPr>
        <w:t xml:space="preserve"> poslední.</w:t>
      </w:r>
    </w:p>
    <w:p w14:paraId="75CC8D26" w14:textId="77777777" w:rsidR="00A056DE" w:rsidRPr="00CF26C4" w:rsidRDefault="00A056DE" w:rsidP="006522BB">
      <w:pPr>
        <w:rPr>
          <w:color w:val="auto"/>
        </w:rPr>
      </w:pPr>
    </w:p>
    <w:p w14:paraId="77EFC330" w14:textId="309FF661" w:rsidR="00204F8C" w:rsidRDefault="00204F8C">
      <w:pPr>
        <w:tabs>
          <w:tab w:val="clear" w:pos="425"/>
        </w:tabs>
        <w:spacing w:after="160" w:line="259" w:lineRule="auto"/>
        <w:ind w:left="0" w:firstLine="0"/>
        <w:jc w:val="left"/>
        <w:rPr>
          <w:color w:val="auto"/>
        </w:rPr>
      </w:pPr>
      <w:r>
        <w:rPr>
          <w:color w:val="auto"/>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204F8C" w14:paraId="6A071689" w14:textId="77777777" w:rsidTr="0008302E">
        <w:tc>
          <w:tcPr>
            <w:tcW w:w="9056" w:type="dxa"/>
          </w:tcPr>
          <w:p w14:paraId="2A4E9E14" w14:textId="77777777" w:rsidR="00204F8C" w:rsidRDefault="00204F8C" w:rsidP="00204F8C">
            <w:pPr>
              <w:tabs>
                <w:tab w:val="clear" w:pos="425"/>
                <w:tab w:val="left" w:pos="0"/>
                <w:tab w:val="left" w:pos="5812"/>
              </w:tabs>
              <w:ind w:left="0" w:firstLine="0"/>
              <w:jc w:val="center"/>
              <w:rPr>
                <w:color w:val="auto"/>
              </w:rPr>
            </w:pPr>
          </w:p>
          <w:p w14:paraId="51DC9DF9" w14:textId="59303ADA" w:rsidR="00204F8C" w:rsidRPr="00CF26C4" w:rsidRDefault="00204F8C" w:rsidP="0008302E">
            <w:pPr>
              <w:tabs>
                <w:tab w:val="clear" w:pos="425"/>
                <w:tab w:val="left" w:pos="0"/>
                <w:tab w:val="left" w:pos="5812"/>
              </w:tabs>
              <w:ind w:left="0" w:firstLine="0"/>
              <w:jc w:val="center"/>
              <w:rPr>
                <w:color w:val="auto"/>
              </w:rPr>
            </w:pPr>
            <w:r>
              <w:rPr>
                <w:color w:val="auto"/>
              </w:rPr>
              <w:t>V ___________________ dne __________________</w:t>
            </w:r>
          </w:p>
          <w:p w14:paraId="08956661" w14:textId="77777777" w:rsidR="00204F8C" w:rsidRDefault="00204F8C" w:rsidP="0008302E">
            <w:pPr>
              <w:tabs>
                <w:tab w:val="clear" w:pos="425"/>
                <w:tab w:val="left" w:pos="0"/>
                <w:tab w:val="left" w:pos="5812"/>
              </w:tabs>
              <w:ind w:left="0" w:firstLine="0"/>
              <w:jc w:val="center"/>
              <w:rPr>
                <w:color w:val="auto"/>
              </w:rPr>
            </w:pPr>
          </w:p>
          <w:p w14:paraId="21807C60" w14:textId="77777777" w:rsidR="00204F8C" w:rsidRDefault="00204F8C" w:rsidP="0008302E">
            <w:pPr>
              <w:tabs>
                <w:tab w:val="clear" w:pos="425"/>
                <w:tab w:val="left" w:pos="0"/>
                <w:tab w:val="left" w:pos="5812"/>
              </w:tabs>
              <w:ind w:left="0" w:firstLine="0"/>
              <w:jc w:val="center"/>
              <w:rPr>
                <w:color w:val="auto"/>
              </w:rPr>
            </w:pPr>
          </w:p>
          <w:p w14:paraId="286C9E71" w14:textId="668543A2" w:rsidR="00204F8C" w:rsidRDefault="00204F8C" w:rsidP="0008302E">
            <w:pPr>
              <w:tabs>
                <w:tab w:val="clear" w:pos="425"/>
                <w:tab w:val="left" w:pos="0"/>
                <w:tab w:val="left" w:pos="5812"/>
              </w:tabs>
              <w:ind w:left="0" w:firstLine="0"/>
              <w:jc w:val="center"/>
              <w:rPr>
                <w:color w:val="auto"/>
              </w:rPr>
            </w:pPr>
          </w:p>
        </w:tc>
      </w:tr>
      <w:tr w:rsidR="00204F8C" w14:paraId="53CE436C" w14:textId="77777777" w:rsidTr="0008302E">
        <w:tc>
          <w:tcPr>
            <w:tcW w:w="9056" w:type="dxa"/>
          </w:tcPr>
          <w:p w14:paraId="3EB84BDE" w14:textId="007E698D" w:rsidR="00204F8C" w:rsidRDefault="00204F8C" w:rsidP="0008302E">
            <w:pPr>
              <w:tabs>
                <w:tab w:val="clear" w:pos="425"/>
                <w:tab w:val="left" w:pos="0"/>
                <w:tab w:val="left" w:pos="5812"/>
              </w:tabs>
              <w:ind w:left="0" w:firstLine="0"/>
              <w:jc w:val="center"/>
              <w:rPr>
                <w:color w:val="auto"/>
              </w:rPr>
            </w:pPr>
            <w:r>
              <w:rPr>
                <w:color w:val="auto"/>
              </w:rPr>
              <w:t>___________________________________________</w:t>
            </w:r>
          </w:p>
          <w:p w14:paraId="4BE43071" w14:textId="1DB187ED" w:rsidR="00204F8C" w:rsidRDefault="00204F8C" w:rsidP="0008302E">
            <w:pPr>
              <w:tabs>
                <w:tab w:val="clear" w:pos="425"/>
                <w:tab w:val="left" w:pos="0"/>
                <w:tab w:val="left" w:pos="5812"/>
              </w:tabs>
              <w:ind w:left="0" w:firstLine="0"/>
              <w:jc w:val="center"/>
              <w:rPr>
                <w:color w:val="auto"/>
              </w:rPr>
            </w:pPr>
            <w:r w:rsidRPr="00CF26C4">
              <w:rPr>
                <w:color w:val="auto"/>
              </w:rPr>
              <w:t>prof. RNDr. Vladimír Aubrecht, CSc.</w:t>
            </w:r>
          </w:p>
          <w:p w14:paraId="6B105BB1" w14:textId="0284049C" w:rsidR="00204F8C" w:rsidRDefault="00204F8C" w:rsidP="0008302E">
            <w:pPr>
              <w:tabs>
                <w:tab w:val="clear" w:pos="425"/>
                <w:tab w:val="left" w:pos="0"/>
                <w:tab w:val="left" w:pos="5812"/>
              </w:tabs>
              <w:ind w:left="0" w:firstLine="0"/>
              <w:jc w:val="center"/>
              <w:rPr>
                <w:color w:val="auto"/>
              </w:rPr>
            </w:pPr>
            <w:r>
              <w:rPr>
                <w:color w:val="auto"/>
              </w:rPr>
              <w:t>d</w:t>
            </w:r>
            <w:r w:rsidRPr="00CF26C4">
              <w:rPr>
                <w:color w:val="auto"/>
              </w:rPr>
              <w:t>ěkan</w:t>
            </w:r>
          </w:p>
          <w:p w14:paraId="2CF87C88" w14:textId="6269F996" w:rsidR="00204F8C" w:rsidRDefault="00204F8C" w:rsidP="0008302E">
            <w:pPr>
              <w:tabs>
                <w:tab w:val="clear" w:pos="425"/>
                <w:tab w:val="left" w:pos="0"/>
                <w:tab w:val="left" w:pos="5812"/>
              </w:tabs>
              <w:ind w:left="0" w:firstLine="0"/>
              <w:jc w:val="center"/>
              <w:rPr>
                <w:color w:val="auto"/>
              </w:rPr>
            </w:pPr>
            <w:r w:rsidRPr="00CF26C4">
              <w:rPr>
                <w:color w:val="auto"/>
              </w:rPr>
              <w:t>za Příjemce</w:t>
            </w:r>
          </w:p>
        </w:tc>
      </w:tr>
    </w:tbl>
    <w:p w14:paraId="41F5C737" w14:textId="77777777" w:rsidR="00204F8C" w:rsidRDefault="00204F8C" w:rsidP="00CB740A">
      <w:pPr>
        <w:tabs>
          <w:tab w:val="clear" w:pos="425"/>
          <w:tab w:val="left" w:pos="0"/>
          <w:tab w:val="left" w:pos="5812"/>
        </w:tabs>
        <w:ind w:left="0" w:firstLine="0"/>
        <w:jc w:val="left"/>
        <w:rPr>
          <w:color w:val="auto"/>
        </w:rPr>
      </w:pPr>
    </w:p>
    <w:p w14:paraId="0768A6FB" w14:textId="77777777" w:rsidR="00204F8C" w:rsidRDefault="00204F8C" w:rsidP="00204F8C">
      <w:pPr>
        <w:tabs>
          <w:tab w:val="clear" w:pos="425"/>
          <w:tab w:val="left" w:pos="0"/>
          <w:tab w:val="left" w:pos="5812"/>
        </w:tabs>
        <w:ind w:left="0" w:firstLine="0"/>
        <w:rPr>
          <w:b/>
        </w:rPr>
      </w:pPr>
      <w:r w:rsidRPr="00F60F5B">
        <w:rPr>
          <w:b/>
        </w:rPr>
        <w:t xml:space="preserve">Podpisová listina ke Smlouvě o účasti na řešení projektu a o využití </w:t>
      </w:r>
      <w:proofErr w:type="gramStart"/>
      <w:r w:rsidRPr="00F60F5B">
        <w:rPr>
          <w:b/>
        </w:rPr>
        <w:t>výsledků - Projekt</w:t>
      </w:r>
      <w:proofErr w:type="gramEnd"/>
      <w:r w:rsidRPr="00F60F5B">
        <w:rPr>
          <w:b/>
        </w:rPr>
        <w:t xml:space="preserve"> s názvem "Fúze informací z datových zdrojů v reálném čase pro energetický management v rozvíjejících se</w:t>
      </w:r>
      <w:r>
        <w:rPr>
          <w:b/>
        </w:rPr>
        <w:t> </w:t>
      </w:r>
      <w:r w:rsidRPr="00F60F5B">
        <w:rPr>
          <w:b/>
        </w:rPr>
        <w:t>elektroenergetických sítích" (</w:t>
      </w:r>
      <w:proofErr w:type="spellStart"/>
      <w:r>
        <w:rPr>
          <w:b/>
        </w:rPr>
        <w:t>r</w:t>
      </w:r>
      <w:r w:rsidRPr="00F60F5B">
        <w:rPr>
          <w:b/>
        </w:rPr>
        <w:t>eg</w:t>
      </w:r>
      <w:proofErr w:type="spellEnd"/>
      <w:r w:rsidRPr="00F60F5B">
        <w:rPr>
          <w:b/>
        </w:rPr>
        <w:t>. č.: TH89020002)</w:t>
      </w:r>
    </w:p>
    <w:p w14:paraId="4C2F0C6C" w14:textId="77777777" w:rsidR="00204F8C" w:rsidRDefault="00204F8C" w:rsidP="00CB740A">
      <w:pPr>
        <w:tabs>
          <w:tab w:val="clear" w:pos="425"/>
          <w:tab w:val="left" w:pos="0"/>
          <w:tab w:val="left" w:pos="5812"/>
        </w:tabs>
        <w:ind w:left="0" w:firstLine="0"/>
        <w:jc w:val="left"/>
        <w:rPr>
          <w:color w:val="auto"/>
        </w:rPr>
      </w:pPr>
    </w:p>
    <w:p w14:paraId="47423E9B" w14:textId="3D8FAD78" w:rsidR="00204F8C" w:rsidRDefault="00204F8C">
      <w:pPr>
        <w:tabs>
          <w:tab w:val="clear" w:pos="425"/>
        </w:tabs>
        <w:spacing w:after="160" w:line="259" w:lineRule="auto"/>
        <w:ind w:left="0" w:firstLine="0"/>
        <w:jc w:val="left"/>
        <w:rPr>
          <w:color w:val="auto"/>
        </w:rPr>
      </w:pPr>
      <w:r>
        <w:rPr>
          <w:color w:val="auto"/>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204F8C" w14:paraId="627A5F1B" w14:textId="77777777" w:rsidTr="0008302E">
        <w:tc>
          <w:tcPr>
            <w:tcW w:w="9056" w:type="dxa"/>
          </w:tcPr>
          <w:p w14:paraId="0151CE36" w14:textId="77777777" w:rsidR="00204F8C" w:rsidRDefault="00204F8C" w:rsidP="00F60F5B">
            <w:pPr>
              <w:tabs>
                <w:tab w:val="clear" w:pos="425"/>
                <w:tab w:val="left" w:pos="0"/>
                <w:tab w:val="left" w:pos="5812"/>
              </w:tabs>
              <w:ind w:left="0" w:firstLine="0"/>
              <w:jc w:val="center"/>
              <w:rPr>
                <w:color w:val="auto"/>
              </w:rPr>
            </w:pPr>
          </w:p>
          <w:p w14:paraId="3A60A3A4" w14:textId="77777777" w:rsidR="00204F8C" w:rsidRPr="00CF26C4" w:rsidRDefault="00204F8C" w:rsidP="00F60F5B">
            <w:pPr>
              <w:tabs>
                <w:tab w:val="clear" w:pos="425"/>
                <w:tab w:val="left" w:pos="0"/>
                <w:tab w:val="left" w:pos="5812"/>
              </w:tabs>
              <w:ind w:left="0" w:firstLine="0"/>
              <w:jc w:val="center"/>
              <w:rPr>
                <w:color w:val="auto"/>
              </w:rPr>
            </w:pPr>
            <w:r>
              <w:rPr>
                <w:color w:val="auto"/>
              </w:rPr>
              <w:t>V ___________________ dne __________________</w:t>
            </w:r>
          </w:p>
          <w:p w14:paraId="2872A2FF" w14:textId="77777777" w:rsidR="00204F8C" w:rsidRDefault="00204F8C" w:rsidP="00F60F5B">
            <w:pPr>
              <w:tabs>
                <w:tab w:val="clear" w:pos="425"/>
                <w:tab w:val="left" w:pos="0"/>
                <w:tab w:val="left" w:pos="5812"/>
              </w:tabs>
              <w:ind w:left="0" w:firstLine="0"/>
              <w:jc w:val="center"/>
              <w:rPr>
                <w:color w:val="auto"/>
              </w:rPr>
            </w:pPr>
          </w:p>
          <w:p w14:paraId="50E3DC77" w14:textId="77777777" w:rsidR="00204F8C" w:rsidRDefault="00204F8C" w:rsidP="00F60F5B">
            <w:pPr>
              <w:tabs>
                <w:tab w:val="clear" w:pos="425"/>
                <w:tab w:val="left" w:pos="0"/>
                <w:tab w:val="left" w:pos="5812"/>
              </w:tabs>
              <w:ind w:left="0" w:firstLine="0"/>
              <w:jc w:val="center"/>
              <w:rPr>
                <w:color w:val="auto"/>
              </w:rPr>
            </w:pPr>
          </w:p>
          <w:p w14:paraId="508D942D" w14:textId="77777777" w:rsidR="00204F8C" w:rsidRDefault="00204F8C" w:rsidP="00F60F5B">
            <w:pPr>
              <w:tabs>
                <w:tab w:val="clear" w:pos="425"/>
                <w:tab w:val="left" w:pos="0"/>
                <w:tab w:val="left" w:pos="5812"/>
              </w:tabs>
              <w:ind w:left="0" w:firstLine="0"/>
              <w:jc w:val="center"/>
              <w:rPr>
                <w:color w:val="auto"/>
              </w:rPr>
            </w:pPr>
          </w:p>
        </w:tc>
      </w:tr>
      <w:tr w:rsidR="00204F8C" w14:paraId="448AD5CC" w14:textId="77777777" w:rsidTr="0008302E">
        <w:tc>
          <w:tcPr>
            <w:tcW w:w="9056" w:type="dxa"/>
          </w:tcPr>
          <w:p w14:paraId="0B9F8A12" w14:textId="77777777" w:rsidR="00204F8C" w:rsidRDefault="00204F8C" w:rsidP="00F60F5B">
            <w:pPr>
              <w:tabs>
                <w:tab w:val="clear" w:pos="425"/>
                <w:tab w:val="left" w:pos="0"/>
                <w:tab w:val="left" w:pos="5812"/>
              </w:tabs>
              <w:ind w:left="0" w:firstLine="0"/>
              <w:jc w:val="center"/>
              <w:rPr>
                <w:color w:val="auto"/>
              </w:rPr>
            </w:pPr>
            <w:r>
              <w:rPr>
                <w:color w:val="auto"/>
              </w:rPr>
              <w:t>___________________________________________</w:t>
            </w:r>
          </w:p>
          <w:p w14:paraId="0280804D" w14:textId="23424915" w:rsidR="00204F8C" w:rsidRDefault="00204F8C" w:rsidP="00F60F5B">
            <w:pPr>
              <w:tabs>
                <w:tab w:val="clear" w:pos="425"/>
                <w:tab w:val="left" w:pos="0"/>
                <w:tab w:val="left" w:pos="5812"/>
              </w:tabs>
              <w:ind w:left="0" w:firstLine="0"/>
              <w:jc w:val="center"/>
              <w:rPr>
                <w:color w:val="auto"/>
              </w:rPr>
            </w:pPr>
            <w:r w:rsidRPr="00CF26C4">
              <w:rPr>
                <w:color w:val="auto"/>
              </w:rPr>
              <w:t>Mgr. Roman Gryc</w:t>
            </w:r>
          </w:p>
          <w:p w14:paraId="16C6C073" w14:textId="46E97D51" w:rsidR="00204F8C" w:rsidRDefault="00204F8C" w:rsidP="00F60F5B">
            <w:pPr>
              <w:tabs>
                <w:tab w:val="clear" w:pos="425"/>
                <w:tab w:val="left" w:pos="0"/>
                <w:tab w:val="left" w:pos="5812"/>
              </w:tabs>
              <w:ind w:left="0" w:firstLine="0"/>
              <w:jc w:val="center"/>
              <w:rPr>
                <w:color w:val="auto"/>
              </w:rPr>
            </w:pPr>
            <w:r>
              <w:rPr>
                <w:color w:val="auto"/>
              </w:rPr>
              <w:t>jednatel</w:t>
            </w:r>
          </w:p>
          <w:p w14:paraId="61D1B147" w14:textId="6826C81A" w:rsidR="00204F8C" w:rsidRDefault="00204F8C" w:rsidP="00F60F5B">
            <w:pPr>
              <w:tabs>
                <w:tab w:val="clear" w:pos="425"/>
                <w:tab w:val="left" w:pos="0"/>
                <w:tab w:val="left" w:pos="5812"/>
              </w:tabs>
              <w:ind w:left="0" w:firstLine="0"/>
              <w:jc w:val="center"/>
              <w:rPr>
                <w:color w:val="auto"/>
              </w:rPr>
            </w:pPr>
            <w:r w:rsidRPr="00CF26C4">
              <w:rPr>
                <w:color w:val="auto"/>
              </w:rPr>
              <w:t xml:space="preserve">za </w:t>
            </w:r>
            <w:r>
              <w:rPr>
                <w:color w:val="auto"/>
              </w:rPr>
              <w:t>Dalšího účastníka</w:t>
            </w:r>
          </w:p>
        </w:tc>
      </w:tr>
    </w:tbl>
    <w:p w14:paraId="1D38C742" w14:textId="77777777" w:rsidR="00204F8C" w:rsidRDefault="00204F8C" w:rsidP="00204F8C">
      <w:pPr>
        <w:tabs>
          <w:tab w:val="clear" w:pos="425"/>
          <w:tab w:val="left" w:pos="0"/>
          <w:tab w:val="left" w:pos="5812"/>
        </w:tabs>
        <w:ind w:left="0" w:firstLine="0"/>
        <w:jc w:val="left"/>
        <w:rPr>
          <w:color w:val="auto"/>
        </w:rPr>
      </w:pPr>
    </w:p>
    <w:p w14:paraId="2640E1C8" w14:textId="77777777" w:rsidR="00204F8C" w:rsidRDefault="00204F8C" w:rsidP="00204F8C">
      <w:pPr>
        <w:tabs>
          <w:tab w:val="clear" w:pos="425"/>
          <w:tab w:val="left" w:pos="0"/>
          <w:tab w:val="left" w:pos="5812"/>
        </w:tabs>
        <w:ind w:left="0" w:firstLine="0"/>
        <w:rPr>
          <w:b/>
        </w:rPr>
      </w:pPr>
      <w:r w:rsidRPr="00F60F5B">
        <w:rPr>
          <w:b/>
        </w:rPr>
        <w:t xml:space="preserve">Podpisová listina ke Smlouvě o účasti na řešení projektu a o využití </w:t>
      </w:r>
      <w:proofErr w:type="gramStart"/>
      <w:r w:rsidRPr="00F60F5B">
        <w:rPr>
          <w:b/>
        </w:rPr>
        <w:t>výsledků - Projekt</w:t>
      </w:r>
      <w:proofErr w:type="gramEnd"/>
      <w:r w:rsidRPr="00F60F5B">
        <w:rPr>
          <w:b/>
        </w:rPr>
        <w:t xml:space="preserve"> s názvem "Fúze informací z datových zdrojů v reálném čase pro energetický management v rozvíjejících se</w:t>
      </w:r>
      <w:r>
        <w:rPr>
          <w:b/>
        </w:rPr>
        <w:t> </w:t>
      </w:r>
      <w:r w:rsidRPr="00F60F5B">
        <w:rPr>
          <w:b/>
        </w:rPr>
        <w:t>elektroenergetických sítích" (</w:t>
      </w:r>
      <w:proofErr w:type="spellStart"/>
      <w:r>
        <w:rPr>
          <w:b/>
        </w:rPr>
        <w:t>r</w:t>
      </w:r>
      <w:r w:rsidRPr="00F60F5B">
        <w:rPr>
          <w:b/>
        </w:rPr>
        <w:t>eg</w:t>
      </w:r>
      <w:proofErr w:type="spellEnd"/>
      <w:r w:rsidRPr="00F60F5B">
        <w:rPr>
          <w:b/>
        </w:rPr>
        <w:t>. č.: TH89020002)</w:t>
      </w:r>
    </w:p>
    <w:p w14:paraId="4BFE9974" w14:textId="77777777" w:rsidR="00204F8C" w:rsidRDefault="00204F8C" w:rsidP="00CB740A">
      <w:pPr>
        <w:tabs>
          <w:tab w:val="clear" w:pos="425"/>
          <w:tab w:val="left" w:pos="0"/>
          <w:tab w:val="left" w:pos="5812"/>
        </w:tabs>
        <w:ind w:left="0" w:firstLine="0"/>
        <w:jc w:val="left"/>
        <w:rPr>
          <w:color w:val="auto"/>
        </w:rPr>
      </w:pPr>
    </w:p>
    <w:p w14:paraId="16E9071C" w14:textId="77777777" w:rsidR="00FC04DA" w:rsidRPr="00CF26C4" w:rsidRDefault="00FC04DA" w:rsidP="00FC04DA">
      <w:pPr>
        <w:tabs>
          <w:tab w:val="clear" w:pos="425"/>
          <w:tab w:val="left" w:pos="0"/>
          <w:tab w:val="left" w:pos="5812"/>
        </w:tabs>
        <w:ind w:left="0" w:firstLine="0"/>
        <w:jc w:val="left"/>
        <w:rPr>
          <w:color w:val="auto"/>
        </w:rPr>
      </w:pPr>
    </w:p>
    <w:p w14:paraId="62767312" w14:textId="77777777" w:rsidR="00204F8C" w:rsidRPr="0008302E" w:rsidRDefault="00204F8C" w:rsidP="0008302E">
      <w:pPr>
        <w:tabs>
          <w:tab w:val="clear" w:pos="425"/>
          <w:tab w:val="left" w:pos="0"/>
          <w:tab w:val="left" w:pos="5812"/>
        </w:tabs>
        <w:ind w:left="0" w:firstLine="0"/>
        <w:rPr>
          <w:b/>
        </w:rPr>
      </w:pPr>
    </w:p>
    <w:sectPr w:rsidR="00204F8C" w:rsidRPr="0008302E"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2E2C" w14:textId="77777777" w:rsidR="005B6BB3" w:rsidRDefault="005B6BB3" w:rsidP="006522BB">
      <w:r>
        <w:separator/>
      </w:r>
    </w:p>
    <w:p w14:paraId="75ED4199" w14:textId="77777777" w:rsidR="005B6BB3" w:rsidRDefault="005B6BB3" w:rsidP="006522BB"/>
  </w:endnote>
  <w:endnote w:type="continuationSeparator" w:id="0">
    <w:p w14:paraId="077AE315" w14:textId="77777777" w:rsidR="005B6BB3" w:rsidRDefault="005B6BB3" w:rsidP="006522BB">
      <w:r>
        <w:continuationSeparator/>
      </w:r>
    </w:p>
    <w:p w14:paraId="10666038" w14:textId="77777777" w:rsidR="005B6BB3" w:rsidRDefault="005B6BB3"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E11F" w14:textId="77777777" w:rsidR="006C04DC" w:rsidRPr="00FE3E51" w:rsidRDefault="006C04DC" w:rsidP="006522BB">
    <w:pPr>
      <w:pStyle w:val="Zpat"/>
    </w:pPr>
  </w:p>
  <w:p w14:paraId="17B92EEB" w14:textId="77777777" w:rsidR="006C04DC" w:rsidRDefault="006C04DC" w:rsidP="00652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288" w14:textId="2C5BA3B0" w:rsidR="006C04DC" w:rsidRPr="00CC047C" w:rsidRDefault="006C04DC"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Pr>
        <w:rStyle w:val="slostrnky"/>
        <w:noProof/>
        <w:sz w:val="18"/>
        <w:szCs w:val="18"/>
      </w:rPr>
      <w:t>7</w:t>
    </w:r>
    <w:r w:rsidRPr="00CC047C">
      <w:rPr>
        <w:rStyle w:val="slostrnky"/>
        <w:sz w:val="18"/>
        <w:szCs w:val="18"/>
      </w:rPr>
      <w:fldChar w:fldCharType="end"/>
    </w:r>
    <w:r w:rsidRPr="00CC047C">
      <w:rPr>
        <w:rStyle w:val="slostrnky"/>
        <w:sz w:val="18"/>
        <w:szCs w:val="18"/>
      </w:rPr>
      <w:t xml:space="preserve"> (celkem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0B5A" w14:textId="77777777" w:rsidR="005B6BB3" w:rsidRDefault="005B6BB3" w:rsidP="006522BB">
      <w:r>
        <w:separator/>
      </w:r>
    </w:p>
    <w:p w14:paraId="20CE7A67" w14:textId="77777777" w:rsidR="005B6BB3" w:rsidRDefault="005B6BB3" w:rsidP="006522BB"/>
  </w:footnote>
  <w:footnote w:type="continuationSeparator" w:id="0">
    <w:p w14:paraId="5A893C84" w14:textId="77777777" w:rsidR="005B6BB3" w:rsidRDefault="005B6BB3" w:rsidP="006522BB">
      <w:r>
        <w:continuationSeparator/>
      </w:r>
    </w:p>
    <w:p w14:paraId="5DE37CED" w14:textId="77777777" w:rsidR="005B6BB3" w:rsidRDefault="005B6BB3"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A1E" w14:textId="77777777" w:rsidR="006C04DC" w:rsidRDefault="006C04DC" w:rsidP="006522BB">
    <w:pPr>
      <w:pStyle w:val="Zhlav"/>
    </w:pPr>
  </w:p>
  <w:p w14:paraId="66094B13" w14:textId="77777777" w:rsidR="006C04DC" w:rsidRDefault="006C04DC" w:rsidP="00652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9613029">
    <w:abstractNumId w:val="1"/>
  </w:num>
  <w:num w:numId="2" w16cid:durableId="364598266">
    <w:abstractNumId w:val="4"/>
  </w:num>
  <w:num w:numId="3" w16cid:durableId="1114712594">
    <w:abstractNumId w:val="6"/>
  </w:num>
  <w:num w:numId="4" w16cid:durableId="348414354">
    <w:abstractNumId w:val="5"/>
  </w:num>
  <w:num w:numId="5" w16cid:durableId="545527523">
    <w:abstractNumId w:val="0"/>
  </w:num>
  <w:num w:numId="6" w16cid:durableId="1985038909">
    <w:abstractNumId w:val="3"/>
  </w:num>
  <w:num w:numId="7" w16cid:durableId="2115859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CF"/>
    <w:rsid w:val="0000130E"/>
    <w:rsid w:val="00004C4F"/>
    <w:rsid w:val="00012CEA"/>
    <w:rsid w:val="00016B85"/>
    <w:rsid w:val="00017C6C"/>
    <w:rsid w:val="00036F42"/>
    <w:rsid w:val="00046321"/>
    <w:rsid w:val="000556F1"/>
    <w:rsid w:val="00063C04"/>
    <w:rsid w:val="000665B6"/>
    <w:rsid w:val="000679F7"/>
    <w:rsid w:val="0007065E"/>
    <w:rsid w:val="00073C8E"/>
    <w:rsid w:val="0007547B"/>
    <w:rsid w:val="00077219"/>
    <w:rsid w:val="00080937"/>
    <w:rsid w:val="0008302E"/>
    <w:rsid w:val="000840BB"/>
    <w:rsid w:val="00090986"/>
    <w:rsid w:val="00093FBF"/>
    <w:rsid w:val="000950F5"/>
    <w:rsid w:val="000A00ED"/>
    <w:rsid w:val="000A2CE7"/>
    <w:rsid w:val="000A34FB"/>
    <w:rsid w:val="000B21F9"/>
    <w:rsid w:val="000B2E29"/>
    <w:rsid w:val="000C70EE"/>
    <w:rsid w:val="000E082F"/>
    <w:rsid w:val="000E2EE3"/>
    <w:rsid w:val="000F3B18"/>
    <w:rsid w:val="00103D80"/>
    <w:rsid w:val="00111963"/>
    <w:rsid w:val="00117510"/>
    <w:rsid w:val="00120A6B"/>
    <w:rsid w:val="00122BBD"/>
    <w:rsid w:val="00126B7F"/>
    <w:rsid w:val="00133AFC"/>
    <w:rsid w:val="0013442F"/>
    <w:rsid w:val="0014465D"/>
    <w:rsid w:val="001453C5"/>
    <w:rsid w:val="00150155"/>
    <w:rsid w:val="001505A4"/>
    <w:rsid w:val="00155579"/>
    <w:rsid w:val="00157AF3"/>
    <w:rsid w:val="00182900"/>
    <w:rsid w:val="00183557"/>
    <w:rsid w:val="00190FF3"/>
    <w:rsid w:val="00191D43"/>
    <w:rsid w:val="001A30AD"/>
    <w:rsid w:val="001B3E0A"/>
    <w:rsid w:val="001B7EA4"/>
    <w:rsid w:val="001C1F86"/>
    <w:rsid w:val="001C3992"/>
    <w:rsid w:val="001E680B"/>
    <w:rsid w:val="001E7EB7"/>
    <w:rsid w:val="001F2EB6"/>
    <w:rsid w:val="001F3E2F"/>
    <w:rsid w:val="001F7881"/>
    <w:rsid w:val="002006BE"/>
    <w:rsid w:val="00201242"/>
    <w:rsid w:val="00202665"/>
    <w:rsid w:val="00204F8C"/>
    <w:rsid w:val="00213C84"/>
    <w:rsid w:val="00217A1A"/>
    <w:rsid w:val="00226D78"/>
    <w:rsid w:val="00226D98"/>
    <w:rsid w:val="00227E43"/>
    <w:rsid w:val="00236434"/>
    <w:rsid w:val="00241F78"/>
    <w:rsid w:val="00262C68"/>
    <w:rsid w:val="00263CA8"/>
    <w:rsid w:val="00271679"/>
    <w:rsid w:val="00276E9C"/>
    <w:rsid w:val="00284705"/>
    <w:rsid w:val="00285519"/>
    <w:rsid w:val="00287BB6"/>
    <w:rsid w:val="002925FB"/>
    <w:rsid w:val="00294963"/>
    <w:rsid w:val="00296163"/>
    <w:rsid w:val="002A0213"/>
    <w:rsid w:val="002A11CA"/>
    <w:rsid w:val="002A16D1"/>
    <w:rsid w:val="002A67D3"/>
    <w:rsid w:val="002C7A1B"/>
    <w:rsid w:val="002D374E"/>
    <w:rsid w:val="002D5E47"/>
    <w:rsid w:val="002E03C2"/>
    <w:rsid w:val="002E09FA"/>
    <w:rsid w:val="002F16C0"/>
    <w:rsid w:val="002F7129"/>
    <w:rsid w:val="003042BB"/>
    <w:rsid w:val="00310990"/>
    <w:rsid w:val="00321C12"/>
    <w:rsid w:val="00331155"/>
    <w:rsid w:val="00332DD6"/>
    <w:rsid w:val="003349C0"/>
    <w:rsid w:val="00342A93"/>
    <w:rsid w:val="003453AD"/>
    <w:rsid w:val="00354B09"/>
    <w:rsid w:val="00356815"/>
    <w:rsid w:val="0036302C"/>
    <w:rsid w:val="00373A26"/>
    <w:rsid w:val="00377F36"/>
    <w:rsid w:val="00383CEE"/>
    <w:rsid w:val="0038683A"/>
    <w:rsid w:val="00386EB0"/>
    <w:rsid w:val="00394256"/>
    <w:rsid w:val="0039636B"/>
    <w:rsid w:val="00396D09"/>
    <w:rsid w:val="003A3579"/>
    <w:rsid w:val="003B14DC"/>
    <w:rsid w:val="003B4D90"/>
    <w:rsid w:val="003C14B8"/>
    <w:rsid w:val="003D4852"/>
    <w:rsid w:val="003E150F"/>
    <w:rsid w:val="00420746"/>
    <w:rsid w:val="00423B33"/>
    <w:rsid w:val="00423E16"/>
    <w:rsid w:val="00424A37"/>
    <w:rsid w:val="004349D5"/>
    <w:rsid w:val="00444F46"/>
    <w:rsid w:val="004513F9"/>
    <w:rsid w:val="00453ED0"/>
    <w:rsid w:val="00454B2A"/>
    <w:rsid w:val="004566BE"/>
    <w:rsid w:val="004571C4"/>
    <w:rsid w:val="00477AB1"/>
    <w:rsid w:val="0049304B"/>
    <w:rsid w:val="00497963"/>
    <w:rsid w:val="004A0BDC"/>
    <w:rsid w:val="004A2C39"/>
    <w:rsid w:val="004B2F54"/>
    <w:rsid w:val="004B4479"/>
    <w:rsid w:val="004C73EC"/>
    <w:rsid w:val="004C78F8"/>
    <w:rsid w:val="004F6C7B"/>
    <w:rsid w:val="004F726C"/>
    <w:rsid w:val="005043AD"/>
    <w:rsid w:val="00504947"/>
    <w:rsid w:val="00506A38"/>
    <w:rsid w:val="005070EC"/>
    <w:rsid w:val="005071C7"/>
    <w:rsid w:val="00550367"/>
    <w:rsid w:val="0056216E"/>
    <w:rsid w:val="0057281F"/>
    <w:rsid w:val="00573204"/>
    <w:rsid w:val="0057612E"/>
    <w:rsid w:val="00585507"/>
    <w:rsid w:val="00587654"/>
    <w:rsid w:val="005904F3"/>
    <w:rsid w:val="00592D6D"/>
    <w:rsid w:val="0059497D"/>
    <w:rsid w:val="00597B0E"/>
    <w:rsid w:val="005A209D"/>
    <w:rsid w:val="005A4898"/>
    <w:rsid w:val="005A79A4"/>
    <w:rsid w:val="005A7E3C"/>
    <w:rsid w:val="005B00CE"/>
    <w:rsid w:val="005B11B1"/>
    <w:rsid w:val="005B6BB3"/>
    <w:rsid w:val="005C1554"/>
    <w:rsid w:val="005D0DC1"/>
    <w:rsid w:val="005F575E"/>
    <w:rsid w:val="005F6578"/>
    <w:rsid w:val="006010E3"/>
    <w:rsid w:val="00603914"/>
    <w:rsid w:val="00605E46"/>
    <w:rsid w:val="00610B0F"/>
    <w:rsid w:val="00612130"/>
    <w:rsid w:val="006350FD"/>
    <w:rsid w:val="00635AF1"/>
    <w:rsid w:val="00640009"/>
    <w:rsid w:val="0064336F"/>
    <w:rsid w:val="006522BB"/>
    <w:rsid w:val="00674BDA"/>
    <w:rsid w:val="006769C9"/>
    <w:rsid w:val="0069072F"/>
    <w:rsid w:val="0069377E"/>
    <w:rsid w:val="006946FB"/>
    <w:rsid w:val="006957B6"/>
    <w:rsid w:val="00695A0C"/>
    <w:rsid w:val="006A18D3"/>
    <w:rsid w:val="006B1C9F"/>
    <w:rsid w:val="006C04DC"/>
    <w:rsid w:val="006C428D"/>
    <w:rsid w:val="006D02E8"/>
    <w:rsid w:val="006D29DD"/>
    <w:rsid w:val="006D51CB"/>
    <w:rsid w:val="006E3FB0"/>
    <w:rsid w:val="006E4C54"/>
    <w:rsid w:val="006F75A5"/>
    <w:rsid w:val="00702F2A"/>
    <w:rsid w:val="007210F2"/>
    <w:rsid w:val="00735A48"/>
    <w:rsid w:val="007459D2"/>
    <w:rsid w:val="007475C6"/>
    <w:rsid w:val="00756A88"/>
    <w:rsid w:val="00760D88"/>
    <w:rsid w:val="00762547"/>
    <w:rsid w:val="007826D3"/>
    <w:rsid w:val="00783E1D"/>
    <w:rsid w:val="007955E4"/>
    <w:rsid w:val="007B144B"/>
    <w:rsid w:val="007C11C0"/>
    <w:rsid w:val="007D03A5"/>
    <w:rsid w:val="007D28A7"/>
    <w:rsid w:val="007E5F30"/>
    <w:rsid w:val="007E6AF4"/>
    <w:rsid w:val="007F385F"/>
    <w:rsid w:val="00800606"/>
    <w:rsid w:val="00805419"/>
    <w:rsid w:val="008063AA"/>
    <w:rsid w:val="00807AA1"/>
    <w:rsid w:val="00807D64"/>
    <w:rsid w:val="00811681"/>
    <w:rsid w:val="00824688"/>
    <w:rsid w:val="00831D43"/>
    <w:rsid w:val="00833674"/>
    <w:rsid w:val="008478B4"/>
    <w:rsid w:val="008516B3"/>
    <w:rsid w:val="00853578"/>
    <w:rsid w:val="00862D80"/>
    <w:rsid w:val="008630B7"/>
    <w:rsid w:val="00864024"/>
    <w:rsid w:val="00883686"/>
    <w:rsid w:val="00884425"/>
    <w:rsid w:val="0088531E"/>
    <w:rsid w:val="008926C6"/>
    <w:rsid w:val="00895600"/>
    <w:rsid w:val="008964CA"/>
    <w:rsid w:val="008A3BBE"/>
    <w:rsid w:val="008A57E4"/>
    <w:rsid w:val="008B58B6"/>
    <w:rsid w:val="008B5D0F"/>
    <w:rsid w:val="008C45E6"/>
    <w:rsid w:val="008C5CB7"/>
    <w:rsid w:val="008C71E5"/>
    <w:rsid w:val="008D59DE"/>
    <w:rsid w:val="008E1F78"/>
    <w:rsid w:val="008E379D"/>
    <w:rsid w:val="008F687B"/>
    <w:rsid w:val="008F6AE1"/>
    <w:rsid w:val="009012DF"/>
    <w:rsid w:val="009049B2"/>
    <w:rsid w:val="00907454"/>
    <w:rsid w:val="00911181"/>
    <w:rsid w:val="0092138C"/>
    <w:rsid w:val="009356B2"/>
    <w:rsid w:val="0095435C"/>
    <w:rsid w:val="009653BB"/>
    <w:rsid w:val="0099150E"/>
    <w:rsid w:val="00997228"/>
    <w:rsid w:val="009A2266"/>
    <w:rsid w:val="009A27D5"/>
    <w:rsid w:val="009C25F1"/>
    <w:rsid w:val="009C6EEA"/>
    <w:rsid w:val="009D37D8"/>
    <w:rsid w:val="009D7EF8"/>
    <w:rsid w:val="009E0D5D"/>
    <w:rsid w:val="009E130B"/>
    <w:rsid w:val="009F010A"/>
    <w:rsid w:val="009F0540"/>
    <w:rsid w:val="009F4962"/>
    <w:rsid w:val="00A00770"/>
    <w:rsid w:val="00A0174B"/>
    <w:rsid w:val="00A056DE"/>
    <w:rsid w:val="00A05BCC"/>
    <w:rsid w:val="00A07FF9"/>
    <w:rsid w:val="00A24505"/>
    <w:rsid w:val="00A24F12"/>
    <w:rsid w:val="00A32119"/>
    <w:rsid w:val="00A36C68"/>
    <w:rsid w:val="00A41127"/>
    <w:rsid w:val="00A459F3"/>
    <w:rsid w:val="00A554A9"/>
    <w:rsid w:val="00A56689"/>
    <w:rsid w:val="00A570E6"/>
    <w:rsid w:val="00A712A0"/>
    <w:rsid w:val="00A72E20"/>
    <w:rsid w:val="00A75499"/>
    <w:rsid w:val="00A75CD2"/>
    <w:rsid w:val="00A85C35"/>
    <w:rsid w:val="00A92AF7"/>
    <w:rsid w:val="00A93A8D"/>
    <w:rsid w:val="00A962F8"/>
    <w:rsid w:val="00A965B4"/>
    <w:rsid w:val="00AA0C09"/>
    <w:rsid w:val="00AA54F3"/>
    <w:rsid w:val="00AA616B"/>
    <w:rsid w:val="00AA626C"/>
    <w:rsid w:val="00AB5494"/>
    <w:rsid w:val="00AB7E69"/>
    <w:rsid w:val="00AC2325"/>
    <w:rsid w:val="00AC5970"/>
    <w:rsid w:val="00AD221C"/>
    <w:rsid w:val="00AE6FAC"/>
    <w:rsid w:val="00AF131A"/>
    <w:rsid w:val="00AF3E6E"/>
    <w:rsid w:val="00B03B97"/>
    <w:rsid w:val="00B05B44"/>
    <w:rsid w:val="00B1707C"/>
    <w:rsid w:val="00B17CD4"/>
    <w:rsid w:val="00B30B4A"/>
    <w:rsid w:val="00B30EE8"/>
    <w:rsid w:val="00B35878"/>
    <w:rsid w:val="00B45FB2"/>
    <w:rsid w:val="00B53FAC"/>
    <w:rsid w:val="00B564EB"/>
    <w:rsid w:val="00B632A5"/>
    <w:rsid w:val="00B6708A"/>
    <w:rsid w:val="00B74B22"/>
    <w:rsid w:val="00B84EF9"/>
    <w:rsid w:val="00B8576C"/>
    <w:rsid w:val="00BA1717"/>
    <w:rsid w:val="00BB1EE1"/>
    <w:rsid w:val="00BB59C2"/>
    <w:rsid w:val="00BB6108"/>
    <w:rsid w:val="00BC1CD8"/>
    <w:rsid w:val="00BD369B"/>
    <w:rsid w:val="00BE2AF1"/>
    <w:rsid w:val="00C00D41"/>
    <w:rsid w:val="00C033BC"/>
    <w:rsid w:val="00C05461"/>
    <w:rsid w:val="00C11808"/>
    <w:rsid w:val="00C122C9"/>
    <w:rsid w:val="00C26B63"/>
    <w:rsid w:val="00C451BF"/>
    <w:rsid w:val="00C455DE"/>
    <w:rsid w:val="00C46A1A"/>
    <w:rsid w:val="00C53873"/>
    <w:rsid w:val="00C54923"/>
    <w:rsid w:val="00C553A9"/>
    <w:rsid w:val="00C56EB4"/>
    <w:rsid w:val="00C623A4"/>
    <w:rsid w:val="00C65CD7"/>
    <w:rsid w:val="00C73D49"/>
    <w:rsid w:val="00C854D6"/>
    <w:rsid w:val="00C94616"/>
    <w:rsid w:val="00CA5F17"/>
    <w:rsid w:val="00CB029B"/>
    <w:rsid w:val="00CB2930"/>
    <w:rsid w:val="00CB3484"/>
    <w:rsid w:val="00CB740A"/>
    <w:rsid w:val="00CB741B"/>
    <w:rsid w:val="00CC047C"/>
    <w:rsid w:val="00CC485F"/>
    <w:rsid w:val="00CD02B2"/>
    <w:rsid w:val="00CD314A"/>
    <w:rsid w:val="00CD3641"/>
    <w:rsid w:val="00CD4F3D"/>
    <w:rsid w:val="00CE5857"/>
    <w:rsid w:val="00CE7A16"/>
    <w:rsid w:val="00CF26C4"/>
    <w:rsid w:val="00CF3A48"/>
    <w:rsid w:val="00CF4B06"/>
    <w:rsid w:val="00CF4E96"/>
    <w:rsid w:val="00CF5611"/>
    <w:rsid w:val="00CF5AD4"/>
    <w:rsid w:val="00D15015"/>
    <w:rsid w:val="00D21402"/>
    <w:rsid w:val="00D27502"/>
    <w:rsid w:val="00D302A8"/>
    <w:rsid w:val="00D31EE7"/>
    <w:rsid w:val="00D33C52"/>
    <w:rsid w:val="00D41D47"/>
    <w:rsid w:val="00D4254E"/>
    <w:rsid w:val="00D50D27"/>
    <w:rsid w:val="00D51DB6"/>
    <w:rsid w:val="00D5220D"/>
    <w:rsid w:val="00D567EB"/>
    <w:rsid w:val="00D63314"/>
    <w:rsid w:val="00D77DD2"/>
    <w:rsid w:val="00D858A1"/>
    <w:rsid w:val="00D92A2D"/>
    <w:rsid w:val="00D95C09"/>
    <w:rsid w:val="00DA5893"/>
    <w:rsid w:val="00DB10AE"/>
    <w:rsid w:val="00DB7278"/>
    <w:rsid w:val="00DD152F"/>
    <w:rsid w:val="00DD33BF"/>
    <w:rsid w:val="00DD4F56"/>
    <w:rsid w:val="00DD7CFF"/>
    <w:rsid w:val="00DD7FC4"/>
    <w:rsid w:val="00DE374E"/>
    <w:rsid w:val="00DE6A2B"/>
    <w:rsid w:val="00DF1ED8"/>
    <w:rsid w:val="00E132EA"/>
    <w:rsid w:val="00E14FF5"/>
    <w:rsid w:val="00E2451F"/>
    <w:rsid w:val="00E47B0E"/>
    <w:rsid w:val="00E51F85"/>
    <w:rsid w:val="00E547DA"/>
    <w:rsid w:val="00E57030"/>
    <w:rsid w:val="00E64A43"/>
    <w:rsid w:val="00E71E64"/>
    <w:rsid w:val="00E729C7"/>
    <w:rsid w:val="00E72FD6"/>
    <w:rsid w:val="00E76C94"/>
    <w:rsid w:val="00E8179A"/>
    <w:rsid w:val="00E83F14"/>
    <w:rsid w:val="00E85325"/>
    <w:rsid w:val="00E94F0D"/>
    <w:rsid w:val="00E9520F"/>
    <w:rsid w:val="00EA124B"/>
    <w:rsid w:val="00EB2572"/>
    <w:rsid w:val="00EC065B"/>
    <w:rsid w:val="00EE64BC"/>
    <w:rsid w:val="00F04ADD"/>
    <w:rsid w:val="00F060C3"/>
    <w:rsid w:val="00F10AFC"/>
    <w:rsid w:val="00F126CF"/>
    <w:rsid w:val="00F21957"/>
    <w:rsid w:val="00F22150"/>
    <w:rsid w:val="00F274FA"/>
    <w:rsid w:val="00F31474"/>
    <w:rsid w:val="00F40789"/>
    <w:rsid w:val="00F40C6D"/>
    <w:rsid w:val="00F41827"/>
    <w:rsid w:val="00F42874"/>
    <w:rsid w:val="00F434FE"/>
    <w:rsid w:val="00F57FAC"/>
    <w:rsid w:val="00F679EA"/>
    <w:rsid w:val="00F7379B"/>
    <w:rsid w:val="00F8090F"/>
    <w:rsid w:val="00F84D79"/>
    <w:rsid w:val="00F905FE"/>
    <w:rsid w:val="00F92A99"/>
    <w:rsid w:val="00FA282D"/>
    <w:rsid w:val="00FA6F5B"/>
    <w:rsid w:val="00FA77D0"/>
    <w:rsid w:val="00FB47FE"/>
    <w:rsid w:val="00FC04DA"/>
    <w:rsid w:val="00FC1EB9"/>
    <w:rsid w:val="00FC76E7"/>
    <w:rsid w:val="00FD2E3F"/>
    <w:rsid w:val="00FD5EF5"/>
    <w:rsid w:val="00FE3E51"/>
    <w:rsid w:val="00FE41D4"/>
    <w:rsid w:val="00FF2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F723"/>
  <w15:chartTrackingRefBased/>
  <w15:docId w15:val="{D2C7ABEA-14AD-4E07-B74D-5F71CD1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unhideWhenUsed/>
    <w:rsid w:val="00201242"/>
    <w:rPr>
      <w:szCs w:val="20"/>
    </w:rPr>
  </w:style>
  <w:style w:type="character" w:customStyle="1" w:styleId="TextkomenteChar">
    <w:name w:val="Text komentáře Char"/>
    <w:basedOn w:val="Standardnpsmoodstavce"/>
    <w:link w:val="Textkomente"/>
    <w:uiPriority w:val="99"/>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character" w:customStyle="1" w:styleId="value">
    <w:name w:val="value"/>
    <w:basedOn w:val="Standardnpsmoodstavce"/>
    <w:rsid w:val="00420746"/>
  </w:style>
  <w:style w:type="table" w:styleId="Mkatabulky">
    <w:name w:val="Table Grid"/>
    <w:basedOn w:val="Normlntabulka"/>
    <w:uiPriority w:val="39"/>
    <w:rsid w:val="007D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03D80"/>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0824">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BDEC-B213-4505-B16E-BCCCF478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4559</Words>
  <Characters>26899</Characters>
  <Application>Microsoft Office Word</Application>
  <DocSecurity>0</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Gregorek Kamil</dc:creator>
  <cp:keywords/>
  <dc:description/>
  <cp:lastModifiedBy>Drahanská Iveta (19797)</cp:lastModifiedBy>
  <cp:revision>2</cp:revision>
  <cp:lastPrinted>2024-04-04T15:56:00Z</cp:lastPrinted>
  <dcterms:created xsi:type="dcterms:W3CDTF">2024-04-05T11:49:00Z</dcterms:created>
  <dcterms:modified xsi:type="dcterms:W3CDTF">2024-04-05T11:49:00Z</dcterms:modified>
</cp:coreProperties>
</file>