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DA" w:rsidRDefault="003E116F">
      <w:pPr>
        <w:pStyle w:val="Nadpis10"/>
        <w:keepNext/>
        <w:keepLines/>
        <w:shd w:val="clear" w:color="auto" w:fill="auto"/>
        <w:ind w:right="2580" w:firstLine="0"/>
      </w:pPr>
      <w:bookmarkStart w:id="0" w:name="bookmark0"/>
      <w:r>
        <w:t>Česká republika Ministerstvo spravedlnosti</w:t>
      </w:r>
      <w:bookmarkEnd w:id="0"/>
    </w:p>
    <w:p w:rsidR="00256ADA" w:rsidRDefault="003E116F">
      <w:pPr>
        <w:pStyle w:val="Zkladntext20"/>
        <w:shd w:val="clear" w:color="auto" w:fill="auto"/>
        <w:ind w:firstLine="0"/>
      </w:pPr>
      <w:r>
        <w:t>se sídlem Vyšehradská 16, 128 10 Praha 2</w:t>
      </w:r>
    </w:p>
    <w:p w:rsidR="003724E3" w:rsidRDefault="003E116F">
      <w:pPr>
        <w:pStyle w:val="Zkladntext20"/>
        <w:shd w:val="clear" w:color="auto" w:fill="auto"/>
        <w:ind w:right="1200" w:firstLine="0"/>
      </w:pPr>
      <w:r>
        <w:t xml:space="preserve">zastoupená </w:t>
      </w:r>
      <w:r w:rsidR="003724E3">
        <w:t xml:space="preserve">xxxxxxxxxxxxxx </w:t>
      </w:r>
      <w:r>
        <w:t xml:space="preserve">, MBA, LL.M., náměstkem člena vlády </w:t>
      </w:r>
    </w:p>
    <w:p w:rsidR="00256ADA" w:rsidRDefault="003E116F">
      <w:pPr>
        <w:pStyle w:val="Zkladntext20"/>
        <w:shd w:val="clear" w:color="auto" w:fill="auto"/>
        <w:ind w:right="1200" w:firstLine="0"/>
      </w:pPr>
      <w:r>
        <w:t>IČO: 00025429</w:t>
      </w:r>
    </w:p>
    <w:p w:rsidR="00256ADA" w:rsidRDefault="003E116F">
      <w:pPr>
        <w:pStyle w:val="Zkladntext30"/>
        <w:shd w:val="clear" w:color="auto" w:fill="auto"/>
        <w:spacing w:after="374"/>
      </w:pPr>
      <w:r>
        <w:rPr>
          <w:rStyle w:val="Zkladntext311ptNetun"/>
          <w:i/>
          <w:iCs/>
        </w:rPr>
        <w:t xml:space="preserve">(dále jen </w:t>
      </w:r>
      <w:r>
        <w:t>„ Centrální zadavatel“</w:t>
      </w:r>
      <w:r>
        <w:rPr>
          <w:rStyle w:val="Zkladntext311ptNetun"/>
          <w:i/>
          <w:iCs/>
        </w:rPr>
        <w:t>)</w:t>
      </w:r>
    </w:p>
    <w:p w:rsidR="00256ADA" w:rsidRDefault="003E116F">
      <w:pPr>
        <w:pStyle w:val="Nadpis10"/>
        <w:keepNext/>
        <w:keepLines/>
        <w:shd w:val="clear" w:color="auto" w:fill="auto"/>
        <w:spacing w:after="266" w:line="244" w:lineRule="exact"/>
        <w:ind w:firstLine="0"/>
        <w:jc w:val="center"/>
      </w:pPr>
      <w:bookmarkStart w:id="1" w:name="bookmark1"/>
      <w:r>
        <w:t>a</w:t>
      </w:r>
      <w:bookmarkEnd w:id="1"/>
    </w:p>
    <w:p w:rsidR="00256ADA" w:rsidRDefault="003E116F">
      <w:pPr>
        <w:pStyle w:val="Nadpis10"/>
        <w:keepNext/>
        <w:keepLines/>
        <w:shd w:val="clear" w:color="auto" w:fill="auto"/>
        <w:ind w:firstLine="0"/>
      </w:pPr>
      <w:bookmarkStart w:id="2" w:name="bookmark2"/>
      <w:r>
        <w:t>Česká republika</w:t>
      </w:r>
      <w:bookmarkEnd w:id="2"/>
    </w:p>
    <w:p w:rsidR="00256ADA" w:rsidRDefault="003E116F">
      <w:pPr>
        <w:pStyle w:val="Nadpis10"/>
        <w:keepNext/>
        <w:keepLines/>
        <w:shd w:val="clear" w:color="auto" w:fill="auto"/>
        <w:ind w:firstLine="0"/>
      </w:pPr>
      <w:bookmarkStart w:id="3" w:name="bookmark3"/>
      <w:r>
        <w:t xml:space="preserve">organizační složka státu </w:t>
      </w:r>
      <w:r>
        <w:t>Okresní soud v Tachově - 17 Spr 235/2024</w:t>
      </w:r>
      <w:bookmarkEnd w:id="3"/>
    </w:p>
    <w:p w:rsidR="00256ADA" w:rsidRDefault="003E116F">
      <w:pPr>
        <w:pStyle w:val="Zkladntext20"/>
        <w:shd w:val="clear" w:color="auto" w:fill="auto"/>
        <w:ind w:firstLine="0"/>
      </w:pPr>
      <w:r>
        <w:t>se sídlem náměstí Republiky 71, 347 30 Tachov</w:t>
      </w:r>
    </w:p>
    <w:p w:rsidR="00256ADA" w:rsidRDefault="003E116F">
      <w:pPr>
        <w:pStyle w:val="Zkladntext20"/>
        <w:shd w:val="clear" w:color="auto" w:fill="auto"/>
        <w:ind w:firstLine="0"/>
      </w:pPr>
      <w:r>
        <w:t xml:space="preserve">zastoupená </w:t>
      </w:r>
      <w:r w:rsidR="003724E3">
        <w:t>xxxxxxxxxxxxxx</w:t>
      </w:r>
      <w:r>
        <w:t>, předsedkyní okresního soudu</w:t>
      </w:r>
    </w:p>
    <w:p w:rsidR="00256ADA" w:rsidRDefault="003E116F">
      <w:pPr>
        <w:pStyle w:val="Zkladntext20"/>
        <w:shd w:val="clear" w:color="auto" w:fill="auto"/>
        <w:ind w:firstLine="0"/>
      </w:pPr>
      <w:r>
        <w:t>IČO: 00024805</w:t>
      </w:r>
    </w:p>
    <w:p w:rsidR="00256ADA" w:rsidRDefault="003E116F">
      <w:pPr>
        <w:pStyle w:val="Zkladntext40"/>
        <w:shd w:val="clear" w:color="auto" w:fill="auto"/>
        <w:spacing w:after="366"/>
      </w:pPr>
      <w:r>
        <w:t xml:space="preserve">(dále jen </w:t>
      </w:r>
      <w:r>
        <w:rPr>
          <w:rStyle w:val="Zkladntext4115ptTun"/>
          <w:i/>
          <w:iCs/>
        </w:rPr>
        <w:t>„Zadavatel“</w:t>
      </w:r>
      <w:r>
        <w:t>),</w:t>
      </w:r>
    </w:p>
    <w:p w:rsidR="00256ADA" w:rsidRDefault="003E116F">
      <w:pPr>
        <w:pStyle w:val="Zkladntext20"/>
        <w:shd w:val="clear" w:color="auto" w:fill="auto"/>
        <w:spacing w:after="530" w:line="254" w:lineRule="exact"/>
        <w:ind w:firstLine="0"/>
      </w:pPr>
      <w:r>
        <w:t xml:space="preserve">(dále také společně jen </w:t>
      </w:r>
      <w:r>
        <w:rPr>
          <w:rStyle w:val="Zkladntext2115ptTunKurzva"/>
        </w:rPr>
        <w:t>„Strany smlouvy“</w:t>
      </w:r>
      <w:r>
        <w:rPr>
          <w:rStyle w:val="Zkladntext2Kurzva"/>
        </w:rPr>
        <w:t>),</w:t>
      </w:r>
    </w:p>
    <w:p w:rsidR="00256ADA" w:rsidRDefault="003E116F">
      <w:pPr>
        <w:pStyle w:val="Zkladntext20"/>
        <w:shd w:val="clear" w:color="auto" w:fill="auto"/>
        <w:spacing w:line="317" w:lineRule="exact"/>
        <w:ind w:firstLine="0"/>
        <w:jc w:val="center"/>
      </w:pPr>
      <w:r>
        <w:t>uzavřely, v souladu s ust.</w:t>
      </w:r>
      <w:r>
        <w:t xml:space="preserve"> § 1746 odst. 2 zákona č. 89/2012 Sb., občanský zákoník, ve znění</w:t>
      </w:r>
      <w:r>
        <w:br/>
        <w:t>pozdějších předpisů a v souladu s ust. § 9 odst. 5 zákona č. 134/2016 Sb., o zadávání</w:t>
      </w:r>
      <w:r>
        <w:br/>
        <w:t>veřejných zakázek, ve znění pozdějších předpisů (dále jen ,,ZZVZ“),</w:t>
      </w:r>
    </w:p>
    <w:p w:rsidR="00256ADA" w:rsidRDefault="003E116F">
      <w:pPr>
        <w:pStyle w:val="Zkladntext20"/>
        <w:shd w:val="clear" w:color="auto" w:fill="auto"/>
        <w:spacing w:after="638" w:line="317" w:lineRule="exact"/>
        <w:ind w:firstLine="0"/>
        <w:jc w:val="center"/>
      </w:pPr>
      <w:r>
        <w:t>tuto</w:t>
      </w:r>
    </w:p>
    <w:p w:rsidR="00256ADA" w:rsidRDefault="003E116F">
      <w:pPr>
        <w:pStyle w:val="Nadpis10"/>
        <w:keepNext/>
        <w:keepLines/>
        <w:shd w:val="clear" w:color="auto" w:fill="auto"/>
        <w:spacing w:after="572" w:line="244" w:lineRule="exact"/>
        <w:ind w:firstLine="0"/>
        <w:jc w:val="center"/>
      </w:pPr>
      <w:bookmarkStart w:id="4" w:name="bookmark4"/>
      <w:r>
        <w:t>SMLOUVU O CENTRALIZOVANÉM ZADÁV</w:t>
      </w:r>
      <w:r>
        <w:t>ÁNÍ VEŘEJNÝCH ZAKÁZEK</w:t>
      </w:r>
      <w:bookmarkEnd w:id="4"/>
    </w:p>
    <w:p w:rsidR="00256ADA" w:rsidRDefault="003E116F">
      <w:pPr>
        <w:pStyle w:val="Nadpis120"/>
        <w:keepNext/>
        <w:keepLines/>
        <w:shd w:val="clear" w:color="auto" w:fill="auto"/>
        <w:spacing w:before="0"/>
      </w:pPr>
      <w:bookmarkStart w:id="5" w:name="bookmark5"/>
      <w:r>
        <w:rPr>
          <w:rStyle w:val="Nadpis1211ptNetunNekurzva"/>
        </w:rPr>
        <w:t xml:space="preserve">(dále jen </w:t>
      </w:r>
      <w:r>
        <w:t>„Smlouva“)</w:t>
      </w:r>
      <w:bookmarkEnd w:id="5"/>
      <w:r>
        <w:t xml:space="preserve"> </w:t>
      </w:r>
      <w:r>
        <w:rPr>
          <w:vertAlign w:val="superscript"/>
        </w:rPr>
        <w:footnoteReference w:id="1"/>
      </w:r>
      <w:r>
        <w:rPr>
          <w:vertAlign w:val="superscript"/>
        </w:rPr>
        <w:t xml:space="preserve"> </w:t>
      </w:r>
      <w:r>
        <w:rPr>
          <w:vertAlign w:val="superscript"/>
        </w:rPr>
        <w:footnoteReference w:id="2"/>
      </w:r>
    </w:p>
    <w:p w:rsidR="00256ADA" w:rsidRDefault="003E116F">
      <w:pPr>
        <w:pStyle w:val="Zkladntext20"/>
        <w:numPr>
          <w:ilvl w:val="0"/>
          <w:numId w:val="2"/>
        </w:numPr>
        <w:shd w:val="clear" w:color="auto" w:fill="auto"/>
        <w:tabs>
          <w:tab w:val="left" w:pos="362"/>
        </w:tabs>
        <w:spacing w:line="317" w:lineRule="exact"/>
        <w:ind w:left="400"/>
        <w:jc w:val="both"/>
      </w:pPr>
      <w:r>
        <w:t>Smlouva předpokládá, že centrální zadávání je, s ohledem na potřeby resortu, prokazatelně žádoucí a ekonomicky výhodné a je dále odůvodněno především potřebou jednotné vybavenosti resortu, v jejímž důsledku do</w:t>
      </w:r>
      <w:r>
        <w:t>jde i k úspoře vynaložených finančních prostředků. Lze předpokládat zvýšení efektivity v případě centralizace.</w:t>
      </w:r>
    </w:p>
    <w:p w:rsidR="00256ADA" w:rsidRDefault="003E116F">
      <w:pPr>
        <w:pStyle w:val="Zkladntext20"/>
        <w:numPr>
          <w:ilvl w:val="0"/>
          <w:numId w:val="2"/>
        </w:numPr>
        <w:shd w:val="clear" w:color="auto" w:fill="auto"/>
        <w:tabs>
          <w:tab w:val="left" w:pos="362"/>
        </w:tabs>
        <w:spacing w:after="1018" w:line="317" w:lineRule="exact"/>
        <w:ind w:left="400"/>
        <w:jc w:val="both"/>
      </w:pPr>
      <w:r>
        <w:lastRenderedPageBreak/>
        <w:t>Účelem této Smlouvy je zjednodušení budoucího postupu při zadávání veřejných zakázek. Smluvní strany však nepředpokládají okamžitou realizaci spo</w:t>
      </w:r>
      <w:r>
        <w:t>lečného nákupu všech komodit a ani se do budoucna ke společnému nákupu nezavazují, vyjma společného nákupu komodit uvedených v čl. II. odst. 2 písm. a této Smlouvy.</w:t>
      </w:r>
    </w:p>
    <w:p w:rsidR="00256ADA" w:rsidRDefault="003E116F">
      <w:pPr>
        <w:pStyle w:val="Nadpis10"/>
        <w:keepNext/>
        <w:keepLines/>
        <w:numPr>
          <w:ilvl w:val="0"/>
          <w:numId w:val="3"/>
        </w:numPr>
        <w:shd w:val="clear" w:color="auto" w:fill="auto"/>
        <w:tabs>
          <w:tab w:val="left" w:pos="4185"/>
        </w:tabs>
        <w:spacing w:after="242" w:line="244" w:lineRule="exact"/>
        <w:ind w:left="3460" w:firstLine="0"/>
      </w:pPr>
      <w:bookmarkStart w:id="6" w:name="bookmark6"/>
      <w:r>
        <w:rPr>
          <w:rStyle w:val="Nadpis11"/>
          <w:b/>
          <w:bCs/>
        </w:rPr>
        <w:t>Předmět Smlouvy</w:t>
      </w:r>
      <w:bookmarkEnd w:id="6"/>
    </w:p>
    <w:p w:rsidR="00256ADA" w:rsidRDefault="003E116F">
      <w:pPr>
        <w:pStyle w:val="Zkladntext20"/>
        <w:numPr>
          <w:ilvl w:val="0"/>
          <w:numId w:val="4"/>
        </w:numPr>
        <w:shd w:val="clear" w:color="auto" w:fill="auto"/>
        <w:tabs>
          <w:tab w:val="left" w:pos="738"/>
        </w:tabs>
        <w:spacing w:line="317" w:lineRule="exact"/>
        <w:ind w:left="740" w:hanging="340"/>
        <w:jc w:val="both"/>
      </w:pPr>
      <w:r>
        <w:t xml:space="preserve">Předmětem této Smlouvy je úprava vzájemných práv a povinností Stran </w:t>
      </w:r>
      <w:r>
        <w:t>smlouvy, jakož i práv a povinností Stran smlouvy ve vztahu k třetím osobám při přípravě, zadávání a provedení veřejných zakázek na uzavření realizačních smluv nebo rámcových dohod na níže uvedené dodávky a služby.</w:t>
      </w:r>
    </w:p>
    <w:p w:rsidR="00256ADA" w:rsidRDefault="003E116F">
      <w:pPr>
        <w:pStyle w:val="Zkladntext20"/>
        <w:numPr>
          <w:ilvl w:val="0"/>
          <w:numId w:val="4"/>
        </w:numPr>
        <w:shd w:val="clear" w:color="auto" w:fill="auto"/>
        <w:tabs>
          <w:tab w:val="left" w:pos="738"/>
        </w:tabs>
        <w:spacing w:line="317" w:lineRule="exact"/>
        <w:ind w:left="740" w:hanging="340"/>
        <w:jc w:val="both"/>
      </w:pPr>
      <w:r>
        <w:t>Centrální zadavatel zabezpečuje nákup komo</w:t>
      </w:r>
      <w:r>
        <w:t>dit a služeb, které jsou předmětem společného nákupu, a to povinným nákupem komodit:</w:t>
      </w:r>
    </w:p>
    <w:p w:rsidR="00256ADA" w:rsidRDefault="003E116F">
      <w:pPr>
        <w:pStyle w:val="Zkladntext20"/>
        <w:numPr>
          <w:ilvl w:val="0"/>
          <w:numId w:val="5"/>
        </w:numPr>
        <w:shd w:val="clear" w:color="auto" w:fill="auto"/>
        <w:tabs>
          <w:tab w:val="left" w:pos="1460"/>
        </w:tabs>
        <w:spacing w:line="317" w:lineRule="exact"/>
        <w:ind w:left="1480" w:hanging="380"/>
        <w:jc w:val="both"/>
      </w:pPr>
      <w:r>
        <w:t>komodity definované usnesením vlády ze dne 8. července 2019 č. 487, o Zprávě o hodnocení centrálního nákupu státu a o resortních systémech centralizovaného zadávání za rok</w:t>
      </w:r>
      <w:r>
        <w:t xml:space="preserve"> 2018 a o pravidlech Společného nákupu (dle Přílohy č. 1 Pravidla společného nákupu</w:t>
      </w:r>
      <w:r>
        <w:rPr>
          <w:vertAlign w:val="superscript"/>
        </w:rPr>
        <w:footnoteReference w:id="3"/>
      </w:r>
      <w:r>
        <w:t>),</w:t>
      </w:r>
    </w:p>
    <w:p w:rsidR="00256ADA" w:rsidRDefault="003E116F">
      <w:pPr>
        <w:pStyle w:val="Zkladntext20"/>
        <w:numPr>
          <w:ilvl w:val="0"/>
          <w:numId w:val="5"/>
        </w:numPr>
        <w:shd w:val="clear" w:color="auto" w:fill="auto"/>
        <w:tabs>
          <w:tab w:val="left" w:pos="1460"/>
        </w:tabs>
        <w:spacing w:line="317" w:lineRule="exact"/>
        <w:ind w:left="1480" w:hanging="380"/>
        <w:jc w:val="both"/>
      </w:pPr>
      <w:r>
        <w:t>popřípadě další komodity či služby, které si centrální zadavatel vyhradí.</w:t>
      </w:r>
    </w:p>
    <w:p w:rsidR="00256ADA" w:rsidRDefault="003E116F">
      <w:pPr>
        <w:pStyle w:val="Zkladntext20"/>
        <w:numPr>
          <w:ilvl w:val="0"/>
          <w:numId w:val="4"/>
        </w:numPr>
        <w:shd w:val="clear" w:color="auto" w:fill="auto"/>
        <w:tabs>
          <w:tab w:val="left" w:pos="738"/>
        </w:tabs>
        <w:spacing w:line="317" w:lineRule="exact"/>
        <w:ind w:left="740" w:hanging="340"/>
        <w:jc w:val="both"/>
      </w:pPr>
      <w:r>
        <w:t>Centrální zadavatel bude provádět ve smyslu § 9 odst. 4 ZZVZ svým jménem, na účet svůj a Zadava</w:t>
      </w:r>
      <w:r>
        <w:t>tele zadávací řízení k veřejným zakázkám, jejichž předmět je vymezen v čl. II. odst. 2 této Smlouvy.</w:t>
      </w:r>
    </w:p>
    <w:p w:rsidR="00256ADA" w:rsidRDefault="003E116F">
      <w:pPr>
        <w:pStyle w:val="Zkladntext20"/>
        <w:numPr>
          <w:ilvl w:val="0"/>
          <w:numId w:val="4"/>
        </w:numPr>
        <w:shd w:val="clear" w:color="auto" w:fill="auto"/>
        <w:tabs>
          <w:tab w:val="left" w:pos="738"/>
        </w:tabs>
        <w:spacing w:after="1084" w:line="317" w:lineRule="exact"/>
        <w:ind w:left="740" w:hanging="340"/>
        <w:jc w:val="both"/>
      </w:pPr>
      <w:r>
        <w:t xml:space="preserve">Centrální zadavatel bude na základě provedeného zadávacího řízení uzavírat realizační smlouvy nebo rámcové dohody s dodavateli na předmět plnění spadající </w:t>
      </w:r>
      <w:r>
        <w:t>do skupin předmětů plnění uvedených v čl. II. odst. 2 s účinky pro Centrálního zadavatele i pro Zadavatele. Zadávání veřejných zakázek na základě uzavřené rámcové dohody nebo zavedeného dynamického nákupního systému bude provádět Zadavatel již sám dle svýc</w:t>
      </w:r>
      <w:r>
        <w:t>h aktuálních potřeb.</w:t>
      </w:r>
    </w:p>
    <w:p w:rsidR="00256ADA" w:rsidRDefault="003E116F">
      <w:pPr>
        <w:pStyle w:val="Nadpis10"/>
        <w:keepNext/>
        <w:keepLines/>
        <w:numPr>
          <w:ilvl w:val="0"/>
          <w:numId w:val="3"/>
        </w:numPr>
        <w:shd w:val="clear" w:color="auto" w:fill="auto"/>
        <w:tabs>
          <w:tab w:val="left" w:pos="3106"/>
        </w:tabs>
        <w:spacing w:line="562" w:lineRule="exact"/>
        <w:ind w:left="2640" w:firstLine="0"/>
      </w:pPr>
      <w:bookmarkStart w:id="7" w:name="bookmark7"/>
      <w:r>
        <w:rPr>
          <w:rStyle w:val="Nadpis11"/>
          <w:b/>
          <w:bCs/>
        </w:rPr>
        <w:t>Práva a povinnosti Stran smlouvy</w:t>
      </w:r>
      <w:bookmarkEnd w:id="7"/>
    </w:p>
    <w:p w:rsidR="00256ADA" w:rsidRDefault="003E116F">
      <w:pPr>
        <w:pStyle w:val="Nadpis10"/>
        <w:keepNext/>
        <w:keepLines/>
        <w:numPr>
          <w:ilvl w:val="0"/>
          <w:numId w:val="6"/>
        </w:numPr>
        <w:shd w:val="clear" w:color="auto" w:fill="auto"/>
        <w:tabs>
          <w:tab w:val="left" w:pos="738"/>
        </w:tabs>
        <w:spacing w:line="562" w:lineRule="exact"/>
        <w:ind w:left="400"/>
        <w:jc w:val="both"/>
      </w:pPr>
      <w:bookmarkStart w:id="8" w:name="bookmark8"/>
      <w:r>
        <w:t>Práva a povinnosti Centrálního zadavatele</w:t>
      </w:r>
      <w:bookmarkEnd w:id="8"/>
    </w:p>
    <w:p w:rsidR="00256ADA" w:rsidRDefault="003E116F">
      <w:pPr>
        <w:pStyle w:val="Zkladntext20"/>
        <w:numPr>
          <w:ilvl w:val="0"/>
          <w:numId w:val="7"/>
        </w:numPr>
        <w:shd w:val="clear" w:color="auto" w:fill="auto"/>
        <w:tabs>
          <w:tab w:val="left" w:pos="760"/>
        </w:tabs>
        <w:spacing w:line="317" w:lineRule="exact"/>
        <w:ind w:left="740" w:hanging="340"/>
        <w:jc w:val="both"/>
      </w:pPr>
      <w:r>
        <w:t xml:space="preserve">Centrální zadavatel je povinen provést zadávací řízení na uzavření rámcové dohody nebo zavedení dynamického nákupního systému na dodávky a služby uvedené v </w:t>
      </w:r>
      <w:r>
        <w:t>článku II. odst. 2 této Smlouvy, a to zcela v souladu s příslušnými právními předpisy (především ZZVZ).</w:t>
      </w:r>
    </w:p>
    <w:p w:rsidR="00256ADA" w:rsidRDefault="003E116F">
      <w:pPr>
        <w:pStyle w:val="Zkladntext20"/>
        <w:numPr>
          <w:ilvl w:val="0"/>
          <w:numId w:val="7"/>
        </w:numPr>
        <w:shd w:val="clear" w:color="auto" w:fill="auto"/>
        <w:tabs>
          <w:tab w:val="left" w:pos="760"/>
        </w:tabs>
        <w:spacing w:line="317" w:lineRule="exact"/>
        <w:ind w:left="740" w:hanging="340"/>
        <w:jc w:val="both"/>
      </w:pPr>
      <w:r>
        <w:t>Centrální zadavatel je povinen zejména:</w:t>
      </w:r>
    </w:p>
    <w:p w:rsidR="00256ADA" w:rsidRDefault="003E116F">
      <w:pPr>
        <w:pStyle w:val="Zkladntext20"/>
        <w:numPr>
          <w:ilvl w:val="0"/>
          <w:numId w:val="8"/>
        </w:numPr>
        <w:shd w:val="clear" w:color="auto" w:fill="auto"/>
        <w:tabs>
          <w:tab w:val="left" w:pos="1048"/>
        </w:tabs>
        <w:spacing w:line="317" w:lineRule="exact"/>
        <w:ind w:left="740" w:firstLine="0"/>
        <w:jc w:val="both"/>
      </w:pPr>
      <w:r>
        <w:t xml:space="preserve">zpracovat a vyhodnotit podklady a na jejich základě vypracovat zadávací dokumentaci k </w:t>
      </w:r>
      <w:r>
        <w:lastRenderedPageBreak/>
        <w:t>veřejné zakázce,</w:t>
      </w:r>
    </w:p>
    <w:p w:rsidR="00256ADA" w:rsidRDefault="003E116F">
      <w:pPr>
        <w:pStyle w:val="Zkladntext20"/>
        <w:numPr>
          <w:ilvl w:val="0"/>
          <w:numId w:val="8"/>
        </w:numPr>
        <w:shd w:val="clear" w:color="auto" w:fill="auto"/>
        <w:tabs>
          <w:tab w:val="left" w:pos="1072"/>
        </w:tabs>
        <w:spacing w:line="317" w:lineRule="exact"/>
        <w:ind w:left="740" w:firstLine="0"/>
        <w:jc w:val="both"/>
      </w:pPr>
      <w:r>
        <w:t>zahájit z</w:t>
      </w:r>
      <w:r>
        <w:t>adávací řízení v souladu se ZZVZ,</w:t>
      </w:r>
    </w:p>
    <w:p w:rsidR="00256ADA" w:rsidRDefault="003E116F">
      <w:pPr>
        <w:pStyle w:val="Zkladntext20"/>
        <w:numPr>
          <w:ilvl w:val="0"/>
          <w:numId w:val="8"/>
        </w:numPr>
        <w:shd w:val="clear" w:color="auto" w:fill="auto"/>
        <w:tabs>
          <w:tab w:val="left" w:pos="1072"/>
        </w:tabs>
        <w:spacing w:line="317" w:lineRule="exact"/>
        <w:ind w:left="740" w:firstLine="0"/>
        <w:jc w:val="both"/>
      </w:pPr>
      <w:r>
        <w:t>postupovat při zadávacím řízení tak, aby chránil oprávněné zájmy Zadavatele,</w:t>
      </w:r>
    </w:p>
    <w:p w:rsidR="00256ADA" w:rsidRDefault="003E116F">
      <w:pPr>
        <w:pStyle w:val="Zkladntext20"/>
        <w:numPr>
          <w:ilvl w:val="0"/>
          <w:numId w:val="8"/>
        </w:numPr>
        <w:shd w:val="clear" w:color="auto" w:fill="auto"/>
        <w:tabs>
          <w:tab w:val="left" w:pos="1072"/>
        </w:tabs>
        <w:spacing w:line="317" w:lineRule="exact"/>
        <w:ind w:left="740" w:firstLine="0"/>
        <w:jc w:val="both"/>
      </w:pPr>
      <w:r>
        <w:t>řádně přezkoumat kvalifikaci účastníků zadávacího řízení o veřejnou zakázku,</w:t>
      </w:r>
    </w:p>
    <w:p w:rsidR="00256ADA" w:rsidRDefault="003E116F">
      <w:pPr>
        <w:pStyle w:val="Zkladntext20"/>
        <w:numPr>
          <w:ilvl w:val="0"/>
          <w:numId w:val="8"/>
        </w:numPr>
        <w:shd w:val="clear" w:color="auto" w:fill="auto"/>
        <w:tabs>
          <w:tab w:val="left" w:pos="1072"/>
        </w:tabs>
        <w:spacing w:line="317" w:lineRule="exact"/>
        <w:ind w:left="740" w:firstLine="0"/>
        <w:jc w:val="both"/>
      </w:pPr>
      <w:r>
        <w:t xml:space="preserve">dodržovat zásady transparentnosti a přiměřenosti, rovného zacházení </w:t>
      </w:r>
      <w:r>
        <w:t>a zákazu diskriminace,</w:t>
      </w:r>
    </w:p>
    <w:p w:rsidR="00256ADA" w:rsidRDefault="003E116F">
      <w:pPr>
        <w:pStyle w:val="Zkladntext20"/>
        <w:numPr>
          <w:ilvl w:val="0"/>
          <w:numId w:val="8"/>
        </w:numPr>
        <w:shd w:val="clear" w:color="auto" w:fill="auto"/>
        <w:tabs>
          <w:tab w:val="left" w:pos="1072"/>
        </w:tabs>
        <w:spacing w:line="317" w:lineRule="exact"/>
        <w:ind w:left="740" w:firstLine="0"/>
        <w:jc w:val="both"/>
      </w:pPr>
      <w:r>
        <w:t>vyřídit případné podané námitky v plném rozsahu dle ustanovení § 245 ZZVZ.</w:t>
      </w:r>
    </w:p>
    <w:p w:rsidR="00256ADA" w:rsidRDefault="003E116F">
      <w:pPr>
        <w:pStyle w:val="Zkladntext20"/>
        <w:numPr>
          <w:ilvl w:val="0"/>
          <w:numId w:val="7"/>
        </w:numPr>
        <w:shd w:val="clear" w:color="auto" w:fill="auto"/>
        <w:tabs>
          <w:tab w:val="left" w:pos="760"/>
        </w:tabs>
        <w:spacing w:line="317" w:lineRule="exact"/>
        <w:ind w:left="740" w:hanging="340"/>
        <w:jc w:val="both"/>
      </w:pPr>
      <w:r>
        <w:t>Centrální zadavatel může realizovat zadávací řízení i jen pro některé Zadavatele, kteří jsou stranami této Smlouvy.</w:t>
      </w:r>
    </w:p>
    <w:p w:rsidR="00256ADA" w:rsidRDefault="003E116F">
      <w:pPr>
        <w:pStyle w:val="Zkladntext20"/>
        <w:numPr>
          <w:ilvl w:val="0"/>
          <w:numId w:val="7"/>
        </w:numPr>
        <w:shd w:val="clear" w:color="auto" w:fill="auto"/>
        <w:tabs>
          <w:tab w:val="left" w:pos="760"/>
        </w:tabs>
        <w:spacing w:line="317" w:lineRule="exact"/>
        <w:ind w:left="740" w:hanging="340"/>
        <w:jc w:val="both"/>
      </w:pPr>
      <w:r>
        <w:t xml:space="preserve">Centrální zadavatel je Zadavateli zmocněn </w:t>
      </w:r>
      <w:r>
        <w:t xml:space="preserve">k podpisu realizační smlouvy nebo rámcové dohody s dodavatelem v souladu se ZZVZ. Centrální zadavatel se zavazuje uzavřít s vybraným dodavatelem realizační smlouvu nebo rámcovou dohodu tak, aby práva a povinnosti z nich vyplývající byly od okamžiku jejich </w:t>
      </w:r>
      <w:r>
        <w:t>uzavření realizovány vždy mezi dodavatelem a příslušným Zadavatelem v souladu s podklady, které tento Zadavatel poskytnul Centrálnímu zadavateli pro účely zadávacího řízení.</w:t>
      </w:r>
    </w:p>
    <w:p w:rsidR="00256ADA" w:rsidRDefault="003E116F">
      <w:pPr>
        <w:pStyle w:val="Zkladntext20"/>
        <w:numPr>
          <w:ilvl w:val="0"/>
          <w:numId w:val="7"/>
        </w:numPr>
        <w:shd w:val="clear" w:color="auto" w:fill="auto"/>
        <w:tabs>
          <w:tab w:val="left" w:pos="760"/>
        </w:tabs>
        <w:spacing w:line="317" w:lineRule="exact"/>
        <w:ind w:left="740" w:hanging="340"/>
        <w:jc w:val="both"/>
      </w:pPr>
      <w:r>
        <w:t>Centrální zadavatel je povinen nejpozději do tří (3) pracovních dnů ode dne uzavře</w:t>
      </w:r>
      <w:r>
        <w:t>ní realizační smlouvy nebo rámcové dohody s účastníkem zadávacího řízení, jehož nabídka byla vybrána jako nejvýhodnější, o této skutečnosti informovat písemně Zadavatele.</w:t>
      </w:r>
    </w:p>
    <w:p w:rsidR="00256ADA" w:rsidRDefault="003E116F">
      <w:pPr>
        <w:pStyle w:val="Zkladntext20"/>
        <w:numPr>
          <w:ilvl w:val="0"/>
          <w:numId w:val="7"/>
        </w:numPr>
        <w:shd w:val="clear" w:color="auto" w:fill="auto"/>
        <w:tabs>
          <w:tab w:val="left" w:pos="760"/>
        </w:tabs>
        <w:spacing w:line="317" w:lineRule="exact"/>
        <w:ind w:left="740" w:hanging="340"/>
        <w:jc w:val="both"/>
      </w:pPr>
      <w:r>
        <w:t>Nastanou-li důvody ke zrušení zadávacího řízení podle § 127 ZZVZ, Centrální zadavatel</w:t>
      </w:r>
      <w:r>
        <w:t xml:space="preserve"> zruší (§ 127 odst. 1 ZZVZ) nebo může zrušit (§ 127 odst. 2 a 3 ZZVZ) zadávací řízení na veřejnou zakázku. Zrušení zadávacího řízení do 5 pracovních dnů písemně oznámí Zadavateli.</w:t>
      </w:r>
    </w:p>
    <w:p w:rsidR="00256ADA" w:rsidRDefault="003E116F">
      <w:pPr>
        <w:pStyle w:val="Zkladntext20"/>
        <w:numPr>
          <w:ilvl w:val="0"/>
          <w:numId w:val="7"/>
        </w:numPr>
        <w:shd w:val="clear" w:color="auto" w:fill="auto"/>
        <w:tabs>
          <w:tab w:val="left" w:pos="760"/>
        </w:tabs>
        <w:spacing w:after="338" w:line="317" w:lineRule="exact"/>
        <w:ind w:left="740" w:hanging="340"/>
        <w:jc w:val="both"/>
      </w:pPr>
      <w:r>
        <w:t>Centrální zadavatel je oprávněný postoupit veškerá práva a povinnosti vyplýv</w:t>
      </w:r>
      <w:r>
        <w:t>ající z této Smlouvy na jiného zadavatele uzavřením Smlouvy o centralizovaném zadávání s jiným zadavatelem.</w:t>
      </w:r>
    </w:p>
    <w:p w:rsidR="00256ADA" w:rsidRDefault="003E116F">
      <w:pPr>
        <w:pStyle w:val="Nadpis10"/>
        <w:keepNext/>
        <w:keepLines/>
        <w:shd w:val="clear" w:color="auto" w:fill="auto"/>
        <w:spacing w:after="222" w:line="244" w:lineRule="exact"/>
        <w:ind w:firstLine="0"/>
      </w:pPr>
      <w:bookmarkStart w:id="9" w:name="bookmark9"/>
      <w:r>
        <w:t>b) Práva a povinnosti Zadavatele</w:t>
      </w:r>
      <w:bookmarkEnd w:id="9"/>
    </w:p>
    <w:p w:rsidR="00256ADA" w:rsidRDefault="003E116F">
      <w:pPr>
        <w:pStyle w:val="Zkladntext20"/>
        <w:numPr>
          <w:ilvl w:val="0"/>
          <w:numId w:val="9"/>
        </w:numPr>
        <w:shd w:val="clear" w:color="auto" w:fill="auto"/>
        <w:tabs>
          <w:tab w:val="left" w:pos="760"/>
        </w:tabs>
        <w:spacing w:line="317" w:lineRule="exact"/>
        <w:ind w:left="740" w:hanging="340"/>
        <w:jc w:val="both"/>
      </w:pPr>
      <w:r>
        <w:t xml:space="preserve">Zadavatel je povinen respektovat výsledek zadávacích řízení a za podmínek stanovených v ZZVZ uzavřít s vybraným </w:t>
      </w:r>
      <w:r>
        <w:t>dodavatelem smlouvu na realizaci veřejné zakázky.</w:t>
      </w:r>
    </w:p>
    <w:p w:rsidR="00256ADA" w:rsidRDefault="003E116F">
      <w:pPr>
        <w:pStyle w:val="Zkladntext20"/>
        <w:numPr>
          <w:ilvl w:val="0"/>
          <w:numId w:val="9"/>
        </w:numPr>
        <w:shd w:val="clear" w:color="auto" w:fill="auto"/>
        <w:tabs>
          <w:tab w:val="left" w:pos="760"/>
        </w:tabs>
        <w:spacing w:line="317" w:lineRule="exact"/>
        <w:ind w:left="740" w:hanging="340"/>
        <w:jc w:val="both"/>
      </w:pPr>
      <w:r>
        <w:t>Zadavatel se podle této Smlouvy zavazuje akceptovat obchodní podmínky sjednané Centrálním zadavatelem v realizační smlouvě nebo rámcové dohodě uzavřené s dodavatelem a vykonávat práva a povinnosti ve vztahu</w:t>
      </w:r>
      <w:r>
        <w:t xml:space="preserve"> k dodavateli, se kterým Centrální zadavatel uzavře realizační smlouvu nebo rámcovou dohodu. V případě nečinnosti odpovídá Zadavatel za veškerou škodu, která jeho jednáním nebo opomenutím vznikne.</w:t>
      </w:r>
    </w:p>
    <w:p w:rsidR="00256ADA" w:rsidRDefault="003E116F">
      <w:pPr>
        <w:pStyle w:val="Zkladntext20"/>
        <w:numPr>
          <w:ilvl w:val="0"/>
          <w:numId w:val="9"/>
        </w:numPr>
        <w:shd w:val="clear" w:color="auto" w:fill="auto"/>
        <w:tabs>
          <w:tab w:val="left" w:pos="746"/>
        </w:tabs>
        <w:spacing w:line="317" w:lineRule="exact"/>
        <w:ind w:left="740" w:hanging="340"/>
        <w:jc w:val="both"/>
      </w:pPr>
      <w:r>
        <w:t>Zadavatelé, i jen někteří z nich, jsou oprávněni vyzvat Cen</w:t>
      </w:r>
      <w:r>
        <w:t>trálního zadavatele, aby učinil veškeré kroky nutné pro přípravu zadávacího řízení a zahájil zadávací řízení, jehož předmětem je plnění zahrnuté do centralizovaného zadávání. Zadavatel je povinen předložit centrálnímu zadavateli požadavky na centrální náku</w:t>
      </w:r>
      <w:r>
        <w:t>py vždy do 15. listopadu každého kalendářního roku.</w:t>
      </w:r>
    </w:p>
    <w:p w:rsidR="00256ADA" w:rsidRDefault="003E116F">
      <w:pPr>
        <w:pStyle w:val="Zkladntext20"/>
        <w:numPr>
          <w:ilvl w:val="0"/>
          <w:numId w:val="9"/>
        </w:numPr>
        <w:shd w:val="clear" w:color="auto" w:fill="auto"/>
        <w:tabs>
          <w:tab w:val="left" w:pos="746"/>
        </w:tabs>
        <w:spacing w:line="317" w:lineRule="exact"/>
        <w:ind w:left="740" w:hanging="340"/>
        <w:jc w:val="both"/>
      </w:pPr>
      <w:r>
        <w:t xml:space="preserve">Zadavatel je povinen poskytnout Centrálnímu zadavateli při provádění zadávacích řízení veškerou požadovanou součinnost, zejména sdělit Centrálnímu zadavateli veškeré skutečnosti nutné pro řádné fungování </w:t>
      </w:r>
      <w:r>
        <w:t>centralizovaného zadávání, tj. relevantní informace potřebné ke specifikaci zadávacích podmínek, jakož i veškeré skutečnosti nutné k vysvětlení zadávací dokumentace dle § 98 ZZVZ.</w:t>
      </w:r>
    </w:p>
    <w:p w:rsidR="00256ADA" w:rsidRDefault="003E116F">
      <w:pPr>
        <w:pStyle w:val="Zkladntext20"/>
        <w:numPr>
          <w:ilvl w:val="0"/>
          <w:numId w:val="9"/>
        </w:numPr>
        <w:shd w:val="clear" w:color="auto" w:fill="auto"/>
        <w:tabs>
          <w:tab w:val="left" w:pos="746"/>
        </w:tabs>
        <w:spacing w:line="317" w:lineRule="exact"/>
        <w:ind w:left="740" w:hanging="340"/>
        <w:jc w:val="both"/>
      </w:pPr>
      <w:r>
        <w:t>Zadavatel má právo na informace o přípravě a průběhu zadávacího řízení. Cent</w:t>
      </w:r>
      <w:r>
        <w:t xml:space="preserve">rální zadavatel </w:t>
      </w:r>
      <w:r>
        <w:lastRenderedPageBreak/>
        <w:t>je povinen Zadavateli na jeho žádost bez zbytečného odkladu poskytnout veškeré informace ohledně veřejné zakázky. Zadavatel je však povinen tyto informace uchovávat v tajnosti.</w:t>
      </w:r>
    </w:p>
    <w:p w:rsidR="00256ADA" w:rsidRDefault="003E116F">
      <w:pPr>
        <w:pStyle w:val="Zkladntext20"/>
        <w:numPr>
          <w:ilvl w:val="0"/>
          <w:numId w:val="9"/>
        </w:numPr>
        <w:shd w:val="clear" w:color="auto" w:fill="auto"/>
        <w:tabs>
          <w:tab w:val="left" w:pos="746"/>
        </w:tabs>
        <w:spacing w:line="317" w:lineRule="exact"/>
        <w:ind w:left="740" w:hanging="340"/>
        <w:jc w:val="both"/>
      </w:pPr>
      <w:r>
        <w:t>Zadavatel nemá právo na poskytnutí informací, ohledně kterých t</w:t>
      </w:r>
      <w:r>
        <w:t>ak stanoví právní předpisy.</w:t>
      </w:r>
    </w:p>
    <w:p w:rsidR="00256ADA" w:rsidRDefault="003E116F">
      <w:pPr>
        <w:pStyle w:val="Zkladntext20"/>
        <w:numPr>
          <w:ilvl w:val="0"/>
          <w:numId w:val="9"/>
        </w:numPr>
        <w:shd w:val="clear" w:color="auto" w:fill="auto"/>
        <w:tabs>
          <w:tab w:val="left" w:pos="746"/>
        </w:tabs>
        <w:spacing w:after="1098" w:line="317" w:lineRule="exact"/>
        <w:ind w:left="740" w:hanging="340"/>
        <w:jc w:val="both"/>
      </w:pPr>
      <w:r>
        <w:t>Zadavatel je povinen dodržovat mlčenlivost, a to ve vztahu ke všem datům a informacím, které se dozví od Centrálního zadavatele a které nejsou určeny k uveřejnění.</w:t>
      </w:r>
    </w:p>
    <w:p w:rsidR="00256ADA" w:rsidRDefault="003E116F">
      <w:pPr>
        <w:pStyle w:val="Nadpis10"/>
        <w:keepNext/>
        <w:keepLines/>
        <w:numPr>
          <w:ilvl w:val="0"/>
          <w:numId w:val="3"/>
        </w:numPr>
        <w:shd w:val="clear" w:color="auto" w:fill="auto"/>
        <w:tabs>
          <w:tab w:val="left" w:pos="3207"/>
        </w:tabs>
        <w:spacing w:after="222" w:line="244" w:lineRule="exact"/>
        <w:ind w:left="2760" w:firstLine="0"/>
      </w:pPr>
      <w:bookmarkStart w:id="10" w:name="bookmark10"/>
      <w:r>
        <w:rPr>
          <w:rStyle w:val="Nadpis11"/>
          <w:b/>
          <w:bCs/>
        </w:rPr>
        <w:t>Trvání Smlouvy a její ukončení</w:t>
      </w:r>
      <w:bookmarkEnd w:id="10"/>
    </w:p>
    <w:p w:rsidR="00256ADA" w:rsidRDefault="003E116F">
      <w:pPr>
        <w:pStyle w:val="Zkladntext20"/>
        <w:numPr>
          <w:ilvl w:val="0"/>
          <w:numId w:val="10"/>
        </w:numPr>
        <w:shd w:val="clear" w:color="auto" w:fill="auto"/>
        <w:tabs>
          <w:tab w:val="left" w:pos="746"/>
        </w:tabs>
        <w:spacing w:line="317" w:lineRule="exact"/>
        <w:ind w:left="740" w:hanging="340"/>
        <w:jc w:val="both"/>
      </w:pPr>
      <w:r>
        <w:t xml:space="preserve">Tato Smlouva se uzavírá na dobu </w:t>
      </w:r>
      <w:r>
        <w:t>neurčitou.</w:t>
      </w:r>
    </w:p>
    <w:p w:rsidR="00256ADA" w:rsidRDefault="003E116F">
      <w:pPr>
        <w:pStyle w:val="Zkladntext20"/>
        <w:numPr>
          <w:ilvl w:val="0"/>
          <w:numId w:val="10"/>
        </w:numPr>
        <w:shd w:val="clear" w:color="auto" w:fill="auto"/>
        <w:tabs>
          <w:tab w:val="left" w:pos="746"/>
        </w:tabs>
        <w:spacing w:line="317" w:lineRule="exact"/>
        <w:ind w:left="740" w:hanging="340"/>
        <w:jc w:val="both"/>
      </w:pPr>
      <w:r>
        <w:t>Tato smlouva může zaniknout písemnou dohodou smluvních stran.</w:t>
      </w:r>
    </w:p>
    <w:p w:rsidR="00256ADA" w:rsidRDefault="003E116F">
      <w:pPr>
        <w:pStyle w:val="Zkladntext20"/>
        <w:numPr>
          <w:ilvl w:val="0"/>
          <w:numId w:val="10"/>
        </w:numPr>
        <w:shd w:val="clear" w:color="auto" w:fill="auto"/>
        <w:tabs>
          <w:tab w:val="left" w:pos="746"/>
        </w:tabs>
        <w:spacing w:line="317" w:lineRule="exact"/>
        <w:ind w:left="740" w:hanging="340"/>
        <w:jc w:val="both"/>
      </w:pPr>
      <w:r>
        <w:t>Smlouvu je možno ukončit písemnou výpovědí s výpovědní dobou v délce tří (3) měsíců, přičemž výpovědní doba počíná běžet prvním dnem kalendářního měsíce následujícího po měsíci, v něm</w:t>
      </w:r>
      <w:r>
        <w:t>ž byla výpověď doručena druhé Straně smlouvy.</w:t>
      </w:r>
    </w:p>
    <w:p w:rsidR="00256ADA" w:rsidRDefault="003E116F">
      <w:pPr>
        <w:pStyle w:val="Zkladntext20"/>
        <w:numPr>
          <w:ilvl w:val="0"/>
          <w:numId w:val="10"/>
        </w:numPr>
        <w:shd w:val="clear" w:color="auto" w:fill="auto"/>
        <w:tabs>
          <w:tab w:val="left" w:pos="746"/>
        </w:tabs>
        <w:spacing w:line="317" w:lineRule="exact"/>
        <w:ind w:left="740" w:hanging="340"/>
        <w:jc w:val="both"/>
      </w:pPr>
      <w:r>
        <w:t>Písemnou výpověď může podat kterákoliv ze smluvních stran i bez udání důvodu.</w:t>
      </w:r>
    </w:p>
    <w:p w:rsidR="00256ADA" w:rsidRDefault="003E116F">
      <w:pPr>
        <w:pStyle w:val="Zkladntext20"/>
        <w:numPr>
          <w:ilvl w:val="0"/>
          <w:numId w:val="10"/>
        </w:numPr>
        <w:shd w:val="clear" w:color="auto" w:fill="auto"/>
        <w:tabs>
          <w:tab w:val="left" w:pos="746"/>
        </w:tabs>
        <w:spacing w:line="317" w:lineRule="exact"/>
        <w:ind w:left="740" w:hanging="340"/>
        <w:jc w:val="both"/>
      </w:pPr>
      <w:r>
        <w:t>Výpověď nemůže být Stranami smlouvy podána v průběhu zadávacího řízení na nákup komodit a služeb, které jsou předmětem společného ná</w:t>
      </w:r>
      <w:r>
        <w:t>kupu dle čl. II. odst. 2 této Smlouvy.</w:t>
      </w:r>
    </w:p>
    <w:p w:rsidR="00256ADA" w:rsidRDefault="003E116F">
      <w:pPr>
        <w:pStyle w:val="Zkladntext20"/>
        <w:numPr>
          <w:ilvl w:val="0"/>
          <w:numId w:val="10"/>
        </w:numPr>
        <w:shd w:val="clear" w:color="auto" w:fill="auto"/>
        <w:tabs>
          <w:tab w:val="left" w:pos="746"/>
        </w:tabs>
        <w:spacing w:after="698" w:line="317" w:lineRule="exact"/>
        <w:ind w:left="740" w:hanging="340"/>
        <w:jc w:val="both"/>
      </w:pPr>
      <w:r>
        <w:t>Ustanoveními o době trvání této Smlouvy nejsou nijak dotčena zákonná oprávnění orgánů příslušných k výkonu dohledu nad průběhem zadávacích řízení a práva a povinnosti vzniklá Stranám smlouvy na základě uzavřených real</w:t>
      </w:r>
      <w:r>
        <w:t>izačních smluv s dodavateli.</w:t>
      </w:r>
    </w:p>
    <w:p w:rsidR="00256ADA" w:rsidRDefault="003E116F">
      <w:pPr>
        <w:pStyle w:val="Nadpis10"/>
        <w:keepNext/>
        <w:keepLines/>
        <w:numPr>
          <w:ilvl w:val="0"/>
          <w:numId w:val="3"/>
        </w:numPr>
        <w:shd w:val="clear" w:color="auto" w:fill="auto"/>
        <w:tabs>
          <w:tab w:val="left" w:pos="2876"/>
        </w:tabs>
        <w:spacing w:after="280" w:line="244" w:lineRule="exact"/>
        <w:ind w:left="2520" w:firstLine="0"/>
      </w:pPr>
      <w:bookmarkStart w:id="11" w:name="bookmark11"/>
      <w:r>
        <w:rPr>
          <w:rStyle w:val="Nadpis11"/>
          <w:b/>
          <w:bCs/>
        </w:rPr>
        <w:t>Odměna a náklady zadávacího řízení</w:t>
      </w:r>
      <w:bookmarkEnd w:id="11"/>
    </w:p>
    <w:p w:rsidR="00256ADA" w:rsidRDefault="003E116F">
      <w:pPr>
        <w:pStyle w:val="Zkladntext20"/>
        <w:numPr>
          <w:ilvl w:val="0"/>
          <w:numId w:val="11"/>
        </w:numPr>
        <w:shd w:val="clear" w:color="auto" w:fill="auto"/>
        <w:tabs>
          <w:tab w:val="left" w:pos="746"/>
        </w:tabs>
        <w:spacing w:line="244" w:lineRule="exact"/>
        <w:ind w:left="740" w:hanging="340"/>
        <w:jc w:val="both"/>
      </w:pPr>
      <w:r>
        <w:t>Centrálnímu zadavateli za činnost dle této Smlouvy nepřísluší odměna.</w:t>
      </w:r>
    </w:p>
    <w:p w:rsidR="00256ADA" w:rsidRDefault="003E116F">
      <w:pPr>
        <w:pStyle w:val="Zkladntext20"/>
        <w:numPr>
          <w:ilvl w:val="0"/>
          <w:numId w:val="11"/>
        </w:numPr>
        <w:shd w:val="clear" w:color="auto" w:fill="auto"/>
        <w:tabs>
          <w:tab w:val="left" w:pos="731"/>
        </w:tabs>
        <w:spacing w:line="317" w:lineRule="exact"/>
        <w:ind w:left="740" w:hanging="340"/>
        <w:jc w:val="both"/>
      </w:pPr>
      <w:r>
        <w:t>Účastníci se dohodli, že veškeré poplatky a jiné náklady spojené s prováděním zadávacího řízení a zadáváním centralizovaný</w:t>
      </w:r>
      <w:r>
        <w:t>ch veřejných zakázek Centrálním zadavatelem dle Smlouvy, hradí Centrální zadavatel.</w:t>
      </w:r>
    </w:p>
    <w:p w:rsidR="00256ADA" w:rsidRDefault="003E116F">
      <w:pPr>
        <w:pStyle w:val="Zkladntext20"/>
        <w:numPr>
          <w:ilvl w:val="0"/>
          <w:numId w:val="11"/>
        </w:numPr>
        <w:shd w:val="clear" w:color="auto" w:fill="auto"/>
        <w:tabs>
          <w:tab w:val="left" w:pos="731"/>
        </w:tabs>
        <w:spacing w:line="317" w:lineRule="exact"/>
        <w:ind w:left="740" w:hanging="340"/>
        <w:jc w:val="both"/>
      </w:pPr>
      <w:r>
        <w:t>Centrální zadavatel je povinen vynakládat prostředky spojené s prováděním zadávacího řízení a zadáváním veřejných zakázek vždy hospodárným, efektivním a účelným způsobem.</w:t>
      </w:r>
    </w:p>
    <w:p w:rsidR="00256ADA" w:rsidRDefault="003E116F">
      <w:pPr>
        <w:pStyle w:val="Zkladntext20"/>
        <w:numPr>
          <w:ilvl w:val="0"/>
          <w:numId w:val="11"/>
        </w:numPr>
        <w:shd w:val="clear" w:color="auto" w:fill="auto"/>
        <w:tabs>
          <w:tab w:val="left" w:pos="731"/>
        </w:tabs>
        <w:spacing w:after="698" w:line="317" w:lineRule="exact"/>
        <w:ind w:left="740" w:hanging="340"/>
        <w:jc w:val="both"/>
      </w:pPr>
      <w:r>
        <w:t>Náklady spojené s poskytnutím informací a jakékoli součinnosti zadavatelem Centrálnímu zadavateli na základě této Smlouvy nese zadavatel.</w:t>
      </w:r>
    </w:p>
    <w:p w:rsidR="00256ADA" w:rsidRDefault="003E116F">
      <w:pPr>
        <w:pStyle w:val="Nadpis10"/>
        <w:keepNext/>
        <w:keepLines/>
        <w:numPr>
          <w:ilvl w:val="0"/>
          <w:numId w:val="3"/>
        </w:numPr>
        <w:shd w:val="clear" w:color="auto" w:fill="auto"/>
        <w:tabs>
          <w:tab w:val="left" w:pos="2732"/>
        </w:tabs>
        <w:spacing w:after="242" w:line="244" w:lineRule="exact"/>
        <w:ind w:left="2280" w:firstLine="0"/>
      </w:pPr>
      <w:bookmarkStart w:id="12" w:name="bookmark12"/>
      <w:r>
        <w:rPr>
          <w:rStyle w:val="Nadpis11"/>
          <w:b/>
          <w:bCs/>
        </w:rPr>
        <w:t>Odpovědnost za centralizované zadávání</w:t>
      </w:r>
      <w:bookmarkEnd w:id="12"/>
    </w:p>
    <w:p w:rsidR="00256ADA" w:rsidRDefault="003E116F">
      <w:pPr>
        <w:pStyle w:val="Zkladntext20"/>
        <w:numPr>
          <w:ilvl w:val="0"/>
          <w:numId w:val="12"/>
        </w:numPr>
        <w:shd w:val="clear" w:color="auto" w:fill="auto"/>
        <w:tabs>
          <w:tab w:val="left" w:pos="731"/>
        </w:tabs>
        <w:spacing w:line="317" w:lineRule="exact"/>
        <w:ind w:left="740" w:hanging="340"/>
        <w:jc w:val="both"/>
      </w:pPr>
      <w:r>
        <w:t xml:space="preserve">Dojde-li při provádění zadávacích řízení a zadávání veřejných zakázek dle této </w:t>
      </w:r>
      <w:r>
        <w:t>Smlouvy k porušení zákona ze strany Centrálního zadavatele, odpovídá za takové porušení Centrální zadavatel, ledaže k takovému porušení zákona došlo jednáním či opomenutím Zadavatele.</w:t>
      </w:r>
    </w:p>
    <w:p w:rsidR="00256ADA" w:rsidRDefault="003E116F">
      <w:pPr>
        <w:pStyle w:val="Zkladntext20"/>
        <w:numPr>
          <w:ilvl w:val="0"/>
          <w:numId w:val="12"/>
        </w:numPr>
        <w:shd w:val="clear" w:color="auto" w:fill="auto"/>
        <w:tabs>
          <w:tab w:val="left" w:pos="731"/>
        </w:tabs>
        <w:spacing w:after="1098" w:line="317" w:lineRule="exact"/>
        <w:ind w:left="740" w:hanging="340"/>
        <w:jc w:val="both"/>
      </w:pPr>
      <w:r>
        <w:t>Centrální zadavatel je povinen ve smyslu § 216 ZZVZ řádně uchovávat doku</w:t>
      </w:r>
      <w:r>
        <w:t>mentaci související s prováděním zadávacích řízení a zadáváním veřejných zakázek dle této Smlouvy.</w:t>
      </w:r>
    </w:p>
    <w:p w:rsidR="00256ADA" w:rsidRDefault="003E116F">
      <w:pPr>
        <w:pStyle w:val="Nadpis10"/>
        <w:keepNext/>
        <w:keepLines/>
        <w:numPr>
          <w:ilvl w:val="0"/>
          <w:numId w:val="3"/>
        </w:numPr>
        <w:shd w:val="clear" w:color="auto" w:fill="auto"/>
        <w:tabs>
          <w:tab w:val="left" w:pos="3743"/>
        </w:tabs>
        <w:spacing w:after="242" w:line="244" w:lineRule="exact"/>
        <w:ind w:left="3200" w:firstLine="0"/>
      </w:pPr>
      <w:bookmarkStart w:id="13" w:name="bookmark13"/>
      <w:r>
        <w:rPr>
          <w:rStyle w:val="Nadpis11"/>
          <w:b/>
          <w:bCs/>
        </w:rPr>
        <w:lastRenderedPageBreak/>
        <w:t>Závěrečná ustanovení</w:t>
      </w:r>
      <w:bookmarkEnd w:id="13"/>
    </w:p>
    <w:p w:rsidR="00256ADA" w:rsidRDefault="003E116F">
      <w:pPr>
        <w:pStyle w:val="Zkladntext20"/>
        <w:numPr>
          <w:ilvl w:val="0"/>
          <w:numId w:val="13"/>
        </w:numPr>
        <w:shd w:val="clear" w:color="auto" w:fill="auto"/>
        <w:tabs>
          <w:tab w:val="left" w:pos="731"/>
        </w:tabs>
        <w:spacing w:line="317" w:lineRule="exact"/>
        <w:ind w:left="740" w:hanging="340"/>
        <w:jc w:val="both"/>
      </w:pPr>
      <w:r>
        <w:t>Tato Smlouva nabývá platnosti a účinnosti okamžikem jejího podpisu oběma smluvními stranami.</w:t>
      </w:r>
    </w:p>
    <w:p w:rsidR="00256ADA" w:rsidRDefault="003E116F">
      <w:pPr>
        <w:pStyle w:val="Zkladntext20"/>
        <w:numPr>
          <w:ilvl w:val="0"/>
          <w:numId w:val="13"/>
        </w:numPr>
        <w:shd w:val="clear" w:color="auto" w:fill="auto"/>
        <w:tabs>
          <w:tab w:val="left" w:pos="731"/>
        </w:tabs>
        <w:spacing w:line="317" w:lineRule="exact"/>
        <w:ind w:left="740" w:hanging="340"/>
        <w:jc w:val="both"/>
      </w:pPr>
      <w:r>
        <w:t xml:space="preserve">Strany smlouvy se zavazují řešit případné </w:t>
      </w:r>
      <w:r>
        <w:t>spory dohodou.</w:t>
      </w:r>
    </w:p>
    <w:p w:rsidR="00256ADA" w:rsidRDefault="003E116F">
      <w:pPr>
        <w:pStyle w:val="Zkladntext20"/>
        <w:numPr>
          <w:ilvl w:val="0"/>
          <w:numId w:val="13"/>
        </w:numPr>
        <w:shd w:val="clear" w:color="auto" w:fill="auto"/>
        <w:tabs>
          <w:tab w:val="left" w:pos="731"/>
        </w:tabs>
        <w:spacing w:line="317" w:lineRule="exact"/>
        <w:ind w:left="740" w:hanging="340"/>
        <w:jc w:val="both"/>
      </w:pPr>
      <w:r>
        <w:t xml:space="preserve">Strany smlouvy prohlašují, že tato Smlouva obsahuje veškerý projev jejich shodné vůle a mimo ni neexistují žádná ujednání v jiné než písemné formě, která by ji doplňovala, měnila nebo mohla mít význam při jejím výkladu a že se tedy žádná ze </w:t>
      </w:r>
      <w:r>
        <w:t>Stran smlouvy nespoléhá na prohlášení druhé strany, které není uvedeno v této Smlouvě, jejích přílohách či dodatcích. Tím není dotčen význam komunikace stran.</w:t>
      </w:r>
    </w:p>
    <w:p w:rsidR="00256ADA" w:rsidRDefault="003E116F">
      <w:pPr>
        <w:pStyle w:val="Zkladntext20"/>
        <w:numPr>
          <w:ilvl w:val="0"/>
          <w:numId w:val="13"/>
        </w:numPr>
        <w:shd w:val="clear" w:color="auto" w:fill="auto"/>
        <w:tabs>
          <w:tab w:val="left" w:pos="731"/>
        </w:tabs>
        <w:spacing w:line="317" w:lineRule="exact"/>
        <w:ind w:left="740" w:hanging="340"/>
        <w:jc w:val="both"/>
      </w:pPr>
      <w:r>
        <w:t>Jestliže se v budoucnu ukáže při plnění této Smlouvy potřeba doplnit nebo upřesnit některá její u</w:t>
      </w:r>
      <w:r>
        <w:t xml:space="preserve">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w:t>
      </w:r>
      <w:r>
        <w:t>Strany smlouvy zavazují písemnou dohodou nahradit taková ujednání novými, která po obsahové stránce nejlépe odpovídají zamýšlenému účelu původního ujednání. Do té doby platí odpovídající úprava obecně závazných právních předpisů České republiky.</w:t>
      </w:r>
    </w:p>
    <w:p w:rsidR="00256ADA" w:rsidRDefault="003E116F">
      <w:pPr>
        <w:pStyle w:val="Zkladntext20"/>
        <w:numPr>
          <w:ilvl w:val="0"/>
          <w:numId w:val="13"/>
        </w:numPr>
        <w:shd w:val="clear" w:color="auto" w:fill="auto"/>
        <w:tabs>
          <w:tab w:val="left" w:pos="731"/>
        </w:tabs>
        <w:spacing w:line="317" w:lineRule="exact"/>
        <w:ind w:left="740" w:hanging="340"/>
        <w:jc w:val="both"/>
      </w:pPr>
      <w:r>
        <w:t>Tato Smlou</w:t>
      </w:r>
      <w:r>
        <w:t>va je vyhotovena ve dvou vyhotoveních, z nichž Centrální zadavatel obdrží jedno vyhotovení a Zadavatel obdrží jedno vyhotovení.</w:t>
      </w:r>
      <w:r>
        <w:br w:type="page"/>
      </w:r>
    </w:p>
    <w:p w:rsidR="00256ADA" w:rsidRDefault="003E116F">
      <w:pPr>
        <w:pStyle w:val="Zkladntext20"/>
        <w:numPr>
          <w:ilvl w:val="0"/>
          <w:numId w:val="13"/>
        </w:numPr>
        <w:shd w:val="clear" w:color="auto" w:fill="auto"/>
        <w:tabs>
          <w:tab w:val="left" w:pos="760"/>
        </w:tabs>
        <w:spacing w:line="317" w:lineRule="exact"/>
        <w:ind w:left="760" w:hanging="360"/>
        <w:jc w:val="both"/>
      </w:pPr>
      <w:r>
        <w:lastRenderedPageBreak/>
        <w:t>Měnit nebo doplňovat tuto Smlouvu je možné jen formou písemných dodatků, které budou platné, jestliže budou řádně podepsány opr</w:t>
      </w:r>
      <w:r>
        <w:t>ávněnými osobami obou Stran smlouvy.</w:t>
      </w:r>
    </w:p>
    <w:p w:rsidR="00256ADA" w:rsidRDefault="003E116F">
      <w:pPr>
        <w:pStyle w:val="Zkladntext20"/>
        <w:numPr>
          <w:ilvl w:val="0"/>
          <w:numId w:val="13"/>
        </w:numPr>
        <w:shd w:val="clear" w:color="auto" w:fill="auto"/>
        <w:tabs>
          <w:tab w:val="left" w:pos="760"/>
        </w:tabs>
        <w:spacing w:line="317" w:lineRule="exact"/>
        <w:ind w:left="760" w:hanging="360"/>
        <w:jc w:val="both"/>
      </w:pPr>
      <w:r>
        <w:pict>
          <v:shapetype id="_x0000_t202" coordsize="21600,21600" o:spt="202" path="m,l,21600r21600,l21600,xe">
            <v:stroke joinstyle="miter"/>
            <v:path gradientshapeok="t" o:connecttype="rect"/>
          </v:shapetype>
          <v:shape id="_x0000_s1026" type="#_x0000_t202" style="position:absolute;left:0;text-align:left;margin-left:.05pt;margin-top:119.35pt;width:141.6pt;height:15.1pt;z-index:-125829376;mso-wrap-distance-left:5pt;mso-wrap-distance-right:314.65pt;mso-position-horizontal-relative:margin" filled="f" stroked="f">
            <v:textbox style="mso-fit-shape-to-text:t" inset="0,0,0,0">
              <w:txbxContent>
                <w:p w:rsidR="00256ADA" w:rsidRDefault="003E116F">
                  <w:pPr>
                    <w:pStyle w:val="Zkladntext20"/>
                    <w:shd w:val="clear" w:color="auto" w:fill="auto"/>
                    <w:tabs>
                      <w:tab w:val="left" w:leader="dot" w:pos="2270"/>
                    </w:tabs>
                    <w:spacing w:line="244" w:lineRule="exact"/>
                    <w:ind w:firstLine="0"/>
                    <w:jc w:val="both"/>
                  </w:pPr>
                  <w:r>
                    <w:rPr>
                      <w:rStyle w:val="Zkladntext2Exact"/>
                    </w:rPr>
                    <w:t>V Praze dne</w:t>
                  </w:r>
                  <w:r>
                    <w:rPr>
                      <w:rStyle w:val="Zkladntext2Exact"/>
                    </w:rPr>
                    <w:tab/>
                    <w:t>2024</w:t>
                  </w:r>
                </w:p>
              </w:txbxContent>
            </v:textbox>
            <w10:wrap type="topAndBottom" anchorx="margin"/>
          </v:shape>
        </w:pict>
      </w:r>
      <w:r>
        <w:pict>
          <v:shape id="_x0000_s1027" type="#_x0000_t202" style="position:absolute;left:0;text-align:left;margin-left:240.7pt;margin-top:119.35pt;width:143.05pt;height:15.1pt;z-index:-125829375;mso-wrap-distance-left:240.7pt;mso-wrap-distance-right:72.5pt;mso-position-horizontal-relative:margin" filled="f" stroked="f">
            <v:textbox style="mso-fit-shape-to-text:t" inset="0,0,0,0">
              <w:txbxContent>
                <w:p w:rsidR="00256ADA" w:rsidRDefault="003E116F">
                  <w:pPr>
                    <w:pStyle w:val="Zkladntext20"/>
                    <w:shd w:val="clear" w:color="auto" w:fill="auto"/>
                    <w:spacing w:line="244" w:lineRule="exact"/>
                    <w:ind w:firstLine="0"/>
                  </w:pPr>
                  <w:r>
                    <w:rPr>
                      <w:rStyle w:val="Zkladntext2Exact"/>
                    </w:rPr>
                    <w:t>V Tachově dne 14. března 2024</w:t>
                  </w:r>
                </w:p>
              </w:txbxContent>
            </v:textbox>
            <w10:wrap type="topAndBottom" anchorx="margin"/>
          </v:shape>
        </w:pict>
      </w:r>
      <w:r>
        <w:t xml:space="preserve">Strany smlouvy prohlašují, že si Smlouvu přečetly, bezvýhradně s ní souhlasí a považují ji za zcela určitou a srozumitelnou. Dále prohlašují, že tato Smlouva je </w:t>
      </w:r>
      <w:r>
        <w:t>výrazem jejich pravé, vážné a svobodné vůle a na důkaz toho připojují své podpisy.</w:t>
      </w:r>
    </w:p>
    <w:p w:rsidR="00256ADA" w:rsidRDefault="003E116F">
      <w:pPr>
        <w:pStyle w:val="Zkladntext20"/>
        <w:shd w:val="clear" w:color="auto" w:fill="auto"/>
        <w:spacing w:after="1697" w:line="244" w:lineRule="exact"/>
        <w:ind w:firstLine="0"/>
      </w:pPr>
      <w:r>
        <w:pict>
          <v:shape id="_x0000_s1028" type="#_x0000_t202" style="position:absolute;margin-left:247.9pt;margin-top:-1.85pt;width:45.6pt;height:15.1pt;z-index:-125829374;mso-wrap-distance-left:109.7pt;mso-wrap-distance-right:127.45pt;mso-wrap-distance-bottom:136.35pt;mso-position-horizontal-relative:margin" filled="f" stroked="f">
            <v:textbox style="mso-fit-shape-to-text:t" inset="0,0,0,0">
              <w:txbxContent>
                <w:p w:rsidR="00256ADA" w:rsidRDefault="003E116F">
                  <w:pPr>
                    <w:pStyle w:val="Zkladntext20"/>
                    <w:shd w:val="clear" w:color="auto" w:fill="auto"/>
                    <w:spacing w:line="244" w:lineRule="exact"/>
                    <w:ind w:firstLine="0"/>
                  </w:pPr>
                  <w:r>
                    <w:rPr>
                      <w:rStyle w:val="Zkladntext2Exact"/>
                    </w:rPr>
                    <w:t>Zadavatel</w:t>
                  </w:r>
                </w:p>
              </w:txbxContent>
            </v:textbox>
            <w10:wrap type="square" side="left" anchorx="margin"/>
          </v:shape>
        </w:pict>
      </w:r>
      <w:r>
        <w:pict>
          <v:shape id="_x0000_s1029" type="#_x0000_t202" style="position:absolute;margin-left:286.1pt;margin-top:95.4pt;width:134.9pt;height:35pt;z-index:-125829373;mso-wrap-distance-left:147.85pt;mso-wrap-distance-top:95.4pt;mso-wrap-distance-right:5pt;mso-wrap-distance-bottom:19.2pt;mso-position-horizontal-relative:margin" filled="f" stroked="f">
            <v:textbox style="mso-fit-shape-to-text:t" inset="0,0,0,0">
              <w:txbxContent>
                <w:p w:rsidR="00256ADA" w:rsidRDefault="003724E3">
                  <w:pPr>
                    <w:pStyle w:val="Zkladntext20"/>
                    <w:shd w:val="clear" w:color="auto" w:fill="auto"/>
                    <w:spacing w:line="322" w:lineRule="exact"/>
                    <w:ind w:firstLine="0"/>
                  </w:pPr>
                  <w:r>
                    <w:rPr>
                      <w:rStyle w:val="Zkladntext2Exact"/>
                    </w:rPr>
                    <w:t xml:space="preserve">xxxxxxxxxxxxx </w:t>
                  </w:r>
                  <w:r w:rsidR="003E116F">
                    <w:rPr>
                      <w:rStyle w:val="Zkladntext2Exact"/>
                    </w:rPr>
                    <w:t>předsedkyně OS v Tachově</w:t>
                  </w:r>
                </w:p>
              </w:txbxContent>
            </v:textbox>
            <w10:wrap type="square" side="left" anchorx="margin"/>
          </v:shape>
        </w:pict>
      </w:r>
      <w:r>
        <w:t>Centrální zadavatel</w:t>
      </w:r>
      <w:bookmarkStart w:id="14" w:name="_GoBack"/>
      <w:bookmarkEnd w:id="14"/>
    </w:p>
    <w:p w:rsidR="00256ADA" w:rsidRDefault="003724E3">
      <w:pPr>
        <w:pStyle w:val="Zkladntext20"/>
        <w:shd w:val="clear" w:color="auto" w:fill="auto"/>
        <w:spacing w:line="298" w:lineRule="exact"/>
        <w:ind w:firstLine="0"/>
        <w:jc w:val="right"/>
      </w:pPr>
      <w:r>
        <w:t>xxxxxxxxxxxx</w:t>
      </w:r>
      <w:r w:rsidR="003E116F">
        <w:t>, MBA, LL.M. náměstek člena vlády</w:t>
      </w:r>
    </w:p>
    <w:sectPr w:rsidR="00256ADA">
      <w:footerReference w:type="default" r:id="rId7"/>
      <w:footnotePr>
        <w:numRestart w:val="eachPage"/>
      </w:footnotePr>
      <w:pgSz w:w="11900" w:h="16840"/>
      <w:pgMar w:top="1411" w:right="1387" w:bottom="1599" w:left="13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6F" w:rsidRDefault="003E116F">
      <w:r>
        <w:separator/>
      </w:r>
    </w:p>
  </w:endnote>
  <w:endnote w:type="continuationSeparator" w:id="0">
    <w:p w:rsidR="003E116F" w:rsidRDefault="003E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ADA" w:rsidRDefault="003E116F">
    <w:pPr>
      <w:rPr>
        <w:sz w:val="2"/>
        <w:szCs w:val="2"/>
      </w:rPr>
    </w:pPr>
    <w:r>
      <w:pict>
        <v:shapetype id="_x0000_t202" coordsize="21600,21600" o:spt="202" path="m,l,21600r21600,l21600,xe">
          <v:stroke joinstyle="miter"/>
          <v:path gradientshapeok="t" o:connecttype="rect"/>
        </v:shapetype>
        <v:shape id="_x0000_s2049" type="#_x0000_t202" style="position:absolute;margin-left:71.05pt;margin-top:781.2pt;width:48.7pt;height:9.6pt;z-index:-251658752;mso-wrap-style:none;mso-wrap-distance-left:5pt;mso-wrap-distance-right:5pt;mso-position-horizontal-relative:page;mso-position-vertical-relative:page" wrapcoords="0 0" filled="f" stroked="f">
          <v:textbox style="mso-fit-shape-to-text:t" inset="0,0,0,0">
            <w:txbxContent>
              <w:p w:rsidR="00256ADA" w:rsidRDefault="003E116F">
                <w:pPr>
                  <w:pStyle w:val="ZhlavneboZpat0"/>
                  <w:shd w:val="clear" w:color="auto" w:fill="auto"/>
                  <w:spacing w:line="240" w:lineRule="auto"/>
                </w:pPr>
                <w:r>
                  <w:rPr>
                    <w:rStyle w:val="ZhlavneboZpat1"/>
                    <w:b/>
                    <w:bCs/>
                  </w:rPr>
                  <w:t xml:space="preserve">Stránka | </w:t>
                </w:r>
                <w:r>
                  <w:fldChar w:fldCharType="begin"/>
                </w:r>
                <w:r>
                  <w:instrText xml:space="preserve"> PAGE \* MERGEFORMAT </w:instrText>
                </w:r>
                <w:r>
                  <w:fldChar w:fldCharType="separate"/>
                </w:r>
                <w:r w:rsidR="003724E3" w:rsidRPr="003724E3">
                  <w:rPr>
                    <w:rStyle w:val="ZhlavneboZpat1"/>
                    <w:b/>
                    <w:bCs/>
                    <w:noProof/>
                  </w:rPr>
                  <w:t>3</w:t>
                </w:r>
                <w:r>
                  <w:rPr>
                    <w:rStyle w:val="ZhlavneboZpat1"/>
                    <w:b/>
                    <w:bCs/>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6F" w:rsidRDefault="003E116F">
      <w:r>
        <w:separator/>
      </w:r>
    </w:p>
  </w:footnote>
  <w:footnote w:type="continuationSeparator" w:id="0">
    <w:p w:rsidR="003E116F" w:rsidRDefault="003E116F">
      <w:r>
        <w:continuationSeparator/>
      </w:r>
    </w:p>
  </w:footnote>
  <w:footnote w:id="1">
    <w:p w:rsidR="00256ADA" w:rsidRDefault="003E116F">
      <w:pPr>
        <w:pStyle w:val="Poznmkapodarou20"/>
        <w:shd w:val="clear" w:color="auto" w:fill="auto"/>
        <w:tabs>
          <w:tab w:val="left" w:pos="4314"/>
        </w:tabs>
        <w:spacing w:after="242"/>
        <w:ind w:left="4060"/>
      </w:pPr>
      <w:r>
        <w:footnoteRef/>
      </w:r>
      <w:r>
        <w:tab/>
      </w:r>
      <w:r>
        <w:rPr>
          <w:rStyle w:val="Poznmkapodarou21"/>
          <w:b/>
          <w:bCs/>
        </w:rPr>
        <w:t>Preambule</w:t>
      </w:r>
    </w:p>
    <w:p w:rsidR="00256ADA" w:rsidRDefault="003E116F">
      <w:pPr>
        <w:pStyle w:val="Poznmkapodarou0"/>
        <w:numPr>
          <w:ilvl w:val="0"/>
          <w:numId w:val="1"/>
        </w:numPr>
        <w:shd w:val="clear" w:color="auto" w:fill="auto"/>
        <w:tabs>
          <w:tab w:val="left" w:pos="341"/>
        </w:tabs>
        <w:spacing w:before="0"/>
        <w:ind w:left="400"/>
      </w:pPr>
      <w:r>
        <w:t>Centrální zadavatel je dle zákona č. 2/1969 Sb., o zřízení ministerstev a jiných ústředních orgánů státní správy České republiky,</w:t>
      </w:r>
      <w:r>
        <w:t xml:space="preserve"> ve znění pozdějších předpisů, ústředním orgánem státní správy pro soudy a státní zastupitelství, pro vězeňství a pro probaci a mediaci. Jeho úkolem je, mimo jiné, zajištění hospodářských podmínek pro výkon činnosti organizačních složek v rámci resortu. Ce</w:t>
      </w:r>
      <w:r>
        <w:t>ntrální zadavatel je pak dále na základě příslušných právních předpisů v přímém vztahu i k Zadavateli.</w:t>
      </w:r>
    </w:p>
  </w:footnote>
  <w:footnote w:id="2">
    <w:p w:rsidR="00256ADA" w:rsidRDefault="003E116F">
      <w:pPr>
        <w:pStyle w:val="Poznmkapodarou0"/>
        <w:shd w:val="clear" w:color="auto" w:fill="auto"/>
        <w:tabs>
          <w:tab w:val="left" w:pos="355"/>
        </w:tabs>
        <w:spacing w:before="0"/>
        <w:ind w:left="400"/>
      </w:pPr>
      <w:r>
        <w:footnoteRef/>
      </w:r>
      <w:r>
        <w:tab/>
        <w:t>Vzhledem k tomu, že Centrální zadavatel disponuje nezbytnými personálními a organizačními prostředky pro zajištění zadání a provedení veřejných zakázek</w:t>
      </w:r>
      <w:r>
        <w:t xml:space="preserve"> na dodávky a služby uvedené v článku II. odst. 1 této Smlouvy, dohodly se Strany smlouvy na uzavření této Smlouvy o centralizovaném zadávání veřejných zakázek.</w:t>
      </w:r>
    </w:p>
  </w:footnote>
  <w:footnote w:id="3">
    <w:p w:rsidR="00256ADA" w:rsidRDefault="003E116F">
      <w:pPr>
        <w:pStyle w:val="Poznmkapodarou30"/>
        <w:shd w:val="clear" w:color="auto" w:fill="auto"/>
        <w:ind w:right="180"/>
      </w:pPr>
      <w:r>
        <w:rPr>
          <w:rStyle w:val="Poznmkapodarou375ptTun"/>
          <w:vertAlign w:val="superscript"/>
        </w:rPr>
        <w:footnoteRef/>
      </w:r>
      <w:r>
        <w:rPr>
          <w:lang w:val="cs-CZ" w:eastAsia="cs-CZ" w:bidi="cs-CZ"/>
        </w:rPr>
        <w:t xml:space="preserve"> dostupná zde: </w:t>
      </w:r>
      <w:hyperlink r:id="rId1" w:history="1">
        <w:r>
          <w:t xml:space="preserve">https://www.mfcr.cz/cs/mimsterstvo/zakladm-informace/hospodarem-resortu/verejne-zakazky- </w:t>
        </w:r>
        <w:r>
          <w:rPr>
            <w:lang w:val="cs-CZ" w:eastAsia="cs-CZ" w:bidi="cs-CZ"/>
          </w:rPr>
          <w:t>a-spolecny-nakup/pravidla-a-organizace-spolecneho-nakupu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399B"/>
    <w:multiLevelType w:val="multilevel"/>
    <w:tmpl w:val="63205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A4575"/>
    <w:multiLevelType w:val="multilevel"/>
    <w:tmpl w:val="9FEC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10654"/>
    <w:multiLevelType w:val="multilevel"/>
    <w:tmpl w:val="02E0C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96721"/>
    <w:multiLevelType w:val="multilevel"/>
    <w:tmpl w:val="4C48F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823E1"/>
    <w:multiLevelType w:val="multilevel"/>
    <w:tmpl w:val="4AB8E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4BAC"/>
    <w:multiLevelType w:val="multilevel"/>
    <w:tmpl w:val="793465E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FA0D5A"/>
    <w:multiLevelType w:val="multilevel"/>
    <w:tmpl w:val="B8424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94399C"/>
    <w:multiLevelType w:val="multilevel"/>
    <w:tmpl w:val="95102A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62558A"/>
    <w:multiLevelType w:val="multilevel"/>
    <w:tmpl w:val="91700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E049C7"/>
    <w:multiLevelType w:val="multilevel"/>
    <w:tmpl w:val="5C8007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5C739C"/>
    <w:multiLevelType w:val="multilevel"/>
    <w:tmpl w:val="08EA3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457612"/>
    <w:multiLevelType w:val="multilevel"/>
    <w:tmpl w:val="E49850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7C340A"/>
    <w:multiLevelType w:val="multilevel"/>
    <w:tmpl w:val="4CD878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5"/>
  </w:num>
  <w:num w:numId="4">
    <w:abstractNumId w:val="6"/>
  </w:num>
  <w:num w:numId="5">
    <w:abstractNumId w:val="7"/>
  </w:num>
  <w:num w:numId="6">
    <w:abstractNumId w:val="9"/>
  </w:num>
  <w:num w:numId="7">
    <w:abstractNumId w:val="8"/>
  </w:num>
  <w:num w:numId="8">
    <w:abstractNumId w:val="12"/>
  </w:num>
  <w:num w:numId="9">
    <w:abstractNumId w:val="1"/>
  </w:num>
  <w:num w:numId="10">
    <w:abstractNumId w:val="3"/>
  </w:num>
  <w:num w:numId="11">
    <w:abstractNumId w:val="0"/>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256ADA"/>
    <w:rsid w:val="00256ADA"/>
    <w:rsid w:val="003724E3"/>
    <w:rsid w:val="003E11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4530D3"/>
  <w15:docId w15:val="{99704516-D25A-4943-98EB-62C06366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2">
    <w:name w:val="Poznámka pod čarou (2)_"/>
    <w:basedOn w:val="Standardnpsmoodstavce"/>
    <w:link w:val="Poznmkapodarou20"/>
    <w:rPr>
      <w:rFonts w:ascii="Times New Roman" w:eastAsia="Times New Roman" w:hAnsi="Times New Roman" w:cs="Times New Roman"/>
      <w:b/>
      <w:bCs/>
      <w:i w:val="0"/>
      <w:iCs w:val="0"/>
      <w:smallCaps w:val="0"/>
      <w:strike w:val="0"/>
      <w:sz w:val="22"/>
      <w:szCs w:val="22"/>
      <w:u w:val="none"/>
    </w:rPr>
  </w:style>
  <w:style w:type="character" w:customStyle="1" w:styleId="Poznmkapodarou21">
    <w:name w:val="Poznámka pod čarou (2)"/>
    <w:basedOn w:val="Poznmkapodarou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2"/>
      <w:szCs w:val="22"/>
      <w:u w:val="none"/>
    </w:rPr>
  </w:style>
  <w:style w:type="character" w:customStyle="1" w:styleId="Poznmkapodarou3">
    <w:name w:val="Poznámka pod čarou (3)_"/>
    <w:basedOn w:val="Standardnpsmoodstavce"/>
    <w:link w:val="Poznmkapodarou3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Poznmkapodarou375ptTun">
    <w:name w:val="Poznámka pod čarou (3) + 7;5 pt;Tučné"/>
    <w:basedOn w:val="Poznmkapodarou3"/>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19"/>
      <w:szCs w:val="19"/>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iCs/>
      <w:smallCaps w:val="0"/>
      <w:strike w:val="0"/>
      <w:sz w:val="23"/>
      <w:szCs w:val="23"/>
      <w:u w:val="none"/>
    </w:rPr>
  </w:style>
  <w:style w:type="character" w:customStyle="1" w:styleId="Zkladntext311ptNetun">
    <w:name w:val="Základní text (3) + 11 pt;Ne tučné"/>
    <w:basedOn w:val="Zkladntext3"/>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22"/>
      <w:szCs w:val="22"/>
      <w:u w:val="none"/>
    </w:rPr>
  </w:style>
  <w:style w:type="character" w:customStyle="1" w:styleId="Zkladntext4115ptTun">
    <w:name w:val="Základní text (4) + 11;5 pt;Tučné"/>
    <w:basedOn w:val="Zkladntext4"/>
    <w:rPr>
      <w:rFonts w:ascii="Times New Roman" w:eastAsia="Times New Roman" w:hAnsi="Times New Roman" w:cs="Times New Roman"/>
      <w:b/>
      <w:bCs/>
      <w:i/>
      <w:iCs/>
      <w:smallCaps w:val="0"/>
      <w:strike w:val="0"/>
      <w:color w:val="000000"/>
      <w:spacing w:val="0"/>
      <w:w w:val="100"/>
      <w:position w:val="0"/>
      <w:sz w:val="23"/>
      <w:szCs w:val="23"/>
      <w:u w:val="none"/>
      <w:lang w:val="cs-CZ" w:eastAsia="cs-CZ" w:bidi="cs-CZ"/>
    </w:rPr>
  </w:style>
  <w:style w:type="character" w:customStyle="1" w:styleId="Zkladntext2115ptTunKurzva">
    <w:name w:val="Základní text (2) + 11;5 pt;Tučné;Kurzíva"/>
    <w:basedOn w:val="Zkladntext2"/>
    <w:rPr>
      <w:rFonts w:ascii="Times New Roman" w:eastAsia="Times New Roman" w:hAnsi="Times New Roman" w:cs="Times New Roman"/>
      <w:b/>
      <w:bCs/>
      <w:i/>
      <w:iCs/>
      <w:smallCaps w:val="0"/>
      <w:strike w:val="0"/>
      <w:color w:val="000000"/>
      <w:spacing w:val="0"/>
      <w:w w:val="100"/>
      <w:position w:val="0"/>
      <w:sz w:val="23"/>
      <w:szCs w:val="23"/>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Nadpis12">
    <w:name w:val="Nadpis #1 (2)_"/>
    <w:basedOn w:val="Standardnpsmoodstavce"/>
    <w:link w:val="Nadpis120"/>
    <w:rPr>
      <w:rFonts w:ascii="Times New Roman" w:eastAsia="Times New Roman" w:hAnsi="Times New Roman" w:cs="Times New Roman"/>
      <w:b/>
      <w:bCs/>
      <w:i/>
      <w:iCs/>
      <w:smallCaps w:val="0"/>
      <w:strike w:val="0"/>
      <w:sz w:val="23"/>
      <w:szCs w:val="23"/>
      <w:u w:val="none"/>
    </w:rPr>
  </w:style>
  <w:style w:type="character" w:customStyle="1" w:styleId="Nadpis1211ptNetunNekurzva">
    <w:name w:val="Nadpis #1 (2) + 11 pt;Ne tučné;Ne kurzíva"/>
    <w:basedOn w:val="Nadpis12"/>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Nadpis11">
    <w:name w:val="Nadpis #1"/>
    <w:basedOn w:val="Nadpis1"/>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Poznmkapodarou20">
    <w:name w:val="Poznámka pod čarou (2)"/>
    <w:basedOn w:val="Normln"/>
    <w:link w:val="Poznmkapodarou2"/>
    <w:pPr>
      <w:shd w:val="clear" w:color="auto" w:fill="FFFFFF"/>
      <w:spacing w:after="300" w:line="244" w:lineRule="exact"/>
      <w:jc w:val="both"/>
    </w:pPr>
    <w:rPr>
      <w:rFonts w:ascii="Times New Roman" w:eastAsia="Times New Roman" w:hAnsi="Times New Roman" w:cs="Times New Roman"/>
      <w:b/>
      <w:bCs/>
      <w:sz w:val="22"/>
      <w:szCs w:val="22"/>
    </w:rPr>
  </w:style>
  <w:style w:type="paragraph" w:customStyle="1" w:styleId="Poznmkapodarou0">
    <w:name w:val="Poznámka pod čarou"/>
    <w:basedOn w:val="Normln"/>
    <w:link w:val="Poznmkapodarou"/>
    <w:pPr>
      <w:shd w:val="clear" w:color="auto" w:fill="FFFFFF"/>
      <w:spacing w:before="300" w:line="317" w:lineRule="exact"/>
      <w:ind w:hanging="400"/>
      <w:jc w:val="both"/>
    </w:pPr>
    <w:rPr>
      <w:rFonts w:ascii="Times New Roman" w:eastAsia="Times New Roman" w:hAnsi="Times New Roman" w:cs="Times New Roman"/>
      <w:sz w:val="22"/>
      <w:szCs w:val="22"/>
    </w:rPr>
  </w:style>
  <w:style w:type="paragraph" w:customStyle="1" w:styleId="Poznmkapodarou30">
    <w:name w:val="Poznámka pod čarou (3)"/>
    <w:basedOn w:val="Normln"/>
    <w:link w:val="Poznmkapodarou3"/>
    <w:pPr>
      <w:shd w:val="clear" w:color="auto" w:fill="FFFFFF"/>
      <w:spacing w:line="274" w:lineRule="exact"/>
      <w:jc w:val="both"/>
    </w:pPr>
    <w:rPr>
      <w:rFonts w:ascii="Times New Roman" w:eastAsia="Times New Roman" w:hAnsi="Times New Roman" w:cs="Times New Roman"/>
      <w:sz w:val="19"/>
      <w:szCs w:val="19"/>
      <w:lang w:val="en-US" w:eastAsia="en-US" w:bidi="en-US"/>
    </w:rPr>
  </w:style>
  <w:style w:type="paragraph" w:customStyle="1" w:styleId="Zkladntext20">
    <w:name w:val="Základní text (2)"/>
    <w:basedOn w:val="Normln"/>
    <w:link w:val="Zkladntext2"/>
    <w:pPr>
      <w:shd w:val="clear" w:color="auto" w:fill="FFFFFF"/>
      <w:spacing w:line="312" w:lineRule="exact"/>
      <w:ind w:hanging="400"/>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line="312" w:lineRule="exact"/>
      <w:ind w:hanging="400"/>
      <w:outlineLvl w:val="0"/>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210" w:lineRule="exact"/>
    </w:pPr>
    <w:rPr>
      <w:rFonts w:ascii="Times New Roman" w:eastAsia="Times New Roman" w:hAnsi="Times New Roman" w:cs="Times New Roman"/>
      <w:b/>
      <w:bCs/>
      <w:sz w:val="19"/>
      <w:szCs w:val="19"/>
    </w:rPr>
  </w:style>
  <w:style w:type="paragraph" w:customStyle="1" w:styleId="Zkladntext30">
    <w:name w:val="Základní text (3)"/>
    <w:basedOn w:val="Normln"/>
    <w:link w:val="Zkladntext3"/>
    <w:pPr>
      <w:shd w:val="clear" w:color="auto" w:fill="FFFFFF"/>
      <w:spacing w:after="320" w:line="312" w:lineRule="exact"/>
    </w:pPr>
    <w:rPr>
      <w:rFonts w:ascii="Times New Roman" w:eastAsia="Times New Roman" w:hAnsi="Times New Roman" w:cs="Times New Roman"/>
      <w:b/>
      <w:bCs/>
      <w:i/>
      <w:iCs/>
      <w:sz w:val="23"/>
      <w:szCs w:val="23"/>
    </w:rPr>
  </w:style>
  <w:style w:type="paragraph" w:customStyle="1" w:styleId="Zkladntext40">
    <w:name w:val="Základní text (4)"/>
    <w:basedOn w:val="Normln"/>
    <w:link w:val="Zkladntext4"/>
    <w:pPr>
      <w:shd w:val="clear" w:color="auto" w:fill="FFFFFF"/>
      <w:spacing w:after="320" w:line="312" w:lineRule="exact"/>
    </w:pPr>
    <w:rPr>
      <w:rFonts w:ascii="Times New Roman" w:eastAsia="Times New Roman" w:hAnsi="Times New Roman" w:cs="Times New Roman"/>
      <w:i/>
      <w:iCs/>
      <w:sz w:val="22"/>
      <w:szCs w:val="22"/>
    </w:rPr>
  </w:style>
  <w:style w:type="paragraph" w:customStyle="1" w:styleId="Nadpis120">
    <w:name w:val="Nadpis #1 (2)"/>
    <w:basedOn w:val="Normln"/>
    <w:link w:val="Nadpis12"/>
    <w:pPr>
      <w:shd w:val="clear" w:color="auto" w:fill="FFFFFF"/>
      <w:spacing w:before="580" w:line="254" w:lineRule="exact"/>
      <w:outlineLvl w:val="0"/>
    </w:pPr>
    <w:rPr>
      <w:rFonts w:ascii="Times New Roman" w:eastAsia="Times New Roman" w:hAnsi="Times New Roman" w:cs="Times New Roman"/>
      <w:b/>
      <w:bCs/>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fcr.cz/cs/mimsterstvo/zakladm-informace/hospodarem-resortu/verejne-zakazky-a-spolecny-nakup/pravidla-a-organizace-spolecneho-nakup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1528</Words>
  <Characters>9021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Okresní soud v Tachově</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Pašková Zdeňka</dc:creator>
  <cp:lastModifiedBy>Pašková Zdeňka</cp:lastModifiedBy>
  <cp:revision>1</cp:revision>
  <dcterms:created xsi:type="dcterms:W3CDTF">2024-04-05T11:17:00Z</dcterms:created>
  <dcterms:modified xsi:type="dcterms:W3CDTF">2024-04-05T11:21:00Z</dcterms:modified>
</cp:coreProperties>
</file>