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09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4779"/>
      </w:tblGrid>
      <w:tr w:rsidR="00F417DD" w14:paraId="11CED4B1" w14:textId="77777777">
        <w:trPr>
          <w:trHeight w:val="17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10D73A" w14:textId="77777777" w:rsidR="00F417DD" w:rsidRDefault="00890B80">
            <w:pPr>
              <w:ind w:left="0" w:firstLine="0"/>
            </w:pPr>
            <w:r>
              <w:rPr>
                <w:rFonts w:ascii="Tahoma" w:eastAsia="Tahoma" w:hAnsi="Tahoma" w:cs="Tahoma"/>
                <w:b/>
                <w:color w:val="000000"/>
                <w:sz w:val="15"/>
              </w:rPr>
              <w:t>Od: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3E1DA1A4" w14:textId="77777777" w:rsidR="00F417DD" w:rsidRDefault="00890B80">
            <w:pPr>
              <w:ind w:left="0" w:firstLine="0"/>
            </w:pPr>
            <w:r>
              <w:rPr>
                <w:rFonts w:ascii="Tahoma" w:eastAsia="Tahoma" w:hAnsi="Tahoma" w:cs="Tahoma"/>
                <w:color w:val="0000FF"/>
                <w:sz w:val="15"/>
                <w:u w:val="single" w:color="0000FF"/>
              </w:rPr>
              <w:t>Ing. Pavel Dolanský</w:t>
            </w:r>
          </w:p>
        </w:tc>
      </w:tr>
      <w:tr w:rsidR="00F417DD" w14:paraId="54198CE3" w14:textId="77777777">
        <w:trPr>
          <w:trHeight w:val="2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C2420C" w14:textId="77777777" w:rsidR="00F417DD" w:rsidRDefault="00890B80">
            <w:pPr>
              <w:ind w:left="0" w:firstLine="0"/>
            </w:pPr>
            <w:r>
              <w:rPr>
                <w:rFonts w:ascii="Tahoma" w:eastAsia="Tahoma" w:hAnsi="Tahoma" w:cs="Tahoma"/>
                <w:b/>
                <w:color w:val="000000"/>
                <w:sz w:val="15"/>
              </w:rPr>
              <w:t>Komu: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256CA598" w14:textId="77777777" w:rsidR="00F417DD" w:rsidRDefault="00890B80">
            <w:pPr>
              <w:ind w:left="0" w:firstLine="0"/>
            </w:pPr>
            <w:r>
              <w:rPr>
                <w:rFonts w:ascii="Tahoma" w:eastAsia="Tahoma" w:hAnsi="Tahoma" w:cs="Tahoma"/>
                <w:color w:val="0000FF"/>
                <w:sz w:val="15"/>
                <w:u w:val="single" w:color="0000FF"/>
              </w:rPr>
              <w:t>jednatel@sportas.cz</w:t>
            </w:r>
            <w:r>
              <w:rPr>
                <w:rFonts w:ascii="Tahoma" w:eastAsia="Tahoma" w:hAnsi="Tahoma" w:cs="Tahoma"/>
                <w:color w:val="000000"/>
                <w:sz w:val="15"/>
              </w:rPr>
              <w:t xml:space="preserve">; </w:t>
            </w:r>
            <w:r>
              <w:rPr>
                <w:rFonts w:ascii="Tahoma" w:eastAsia="Tahoma" w:hAnsi="Tahoma" w:cs="Tahoma"/>
                <w:color w:val="0000FF"/>
                <w:sz w:val="15"/>
                <w:u w:val="single" w:color="0000FF"/>
              </w:rPr>
              <w:t>provoz@sportas.cz</w:t>
            </w:r>
          </w:p>
        </w:tc>
      </w:tr>
      <w:tr w:rsidR="00F417DD" w14:paraId="27942FE7" w14:textId="77777777">
        <w:trPr>
          <w:trHeight w:val="2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3EC40B" w14:textId="77777777" w:rsidR="00F417DD" w:rsidRDefault="00890B80">
            <w:pPr>
              <w:ind w:left="0" w:firstLine="0"/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5"/>
              </w:rPr>
              <w:t>Předmet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5"/>
              </w:rPr>
              <w:t>: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49F3C332" w14:textId="77777777" w:rsidR="00F417DD" w:rsidRDefault="00890B80">
            <w:pPr>
              <w:ind w:left="0" w:firstLine="0"/>
              <w:jc w:val="both"/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</w:rPr>
              <w:t>Fwd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</w:rPr>
              <w:t xml:space="preserve">: Statika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5"/>
              </w:rPr>
              <w:t>operné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</w:rPr>
              <w:t xml:space="preserve"> steny pod tribunou Podkrušnohorská 1677, Litvínov</w:t>
            </w:r>
          </w:p>
        </w:tc>
      </w:tr>
      <w:tr w:rsidR="00F417DD" w14:paraId="5231B121" w14:textId="77777777">
        <w:trPr>
          <w:trHeight w:val="17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FE897B" w14:textId="77777777" w:rsidR="00F417DD" w:rsidRDefault="00890B80">
            <w:pPr>
              <w:ind w:left="0" w:firstLine="0"/>
            </w:pPr>
            <w:r>
              <w:rPr>
                <w:rFonts w:ascii="Tahoma" w:eastAsia="Tahoma" w:hAnsi="Tahoma" w:cs="Tahoma"/>
                <w:b/>
                <w:color w:val="000000"/>
                <w:sz w:val="15"/>
              </w:rPr>
              <w:t>Datum: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11ED285A" w14:textId="77777777" w:rsidR="00F417DD" w:rsidRDefault="00890B80">
            <w:pPr>
              <w:ind w:left="0" w:firstLine="0"/>
            </w:pPr>
            <w:r>
              <w:rPr>
                <w:rFonts w:ascii="Tahoma" w:eastAsia="Tahoma" w:hAnsi="Tahoma" w:cs="Tahoma"/>
                <w:color w:val="000000"/>
                <w:sz w:val="15"/>
              </w:rPr>
              <w:t xml:space="preserve">úterý 5.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5"/>
              </w:rPr>
              <w:t>brezna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</w:rPr>
              <w:t xml:space="preserve"> 2024 12:47:38</w:t>
            </w:r>
          </w:p>
        </w:tc>
      </w:tr>
    </w:tbl>
    <w:p w14:paraId="57650DD0" w14:textId="77777777" w:rsidR="00F417DD" w:rsidRDefault="00890B80">
      <w:pPr>
        <w:spacing w:after="150"/>
        <w:ind w:left="0" w:right="-14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5D32142" wp14:editId="4FAFCDFF">
                <wp:extent cx="5591175" cy="19063"/>
                <wp:effectExtent l="0" t="0" r="0" b="0"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19063"/>
                          <a:chOff x="0" y="0"/>
                          <a:chExt cx="5591175" cy="19063"/>
                        </a:xfrm>
                      </wpg:grpSpPr>
                      <wps:wsp>
                        <wps:cNvPr id="1399" name="Shape 1399"/>
                        <wps:cNvSpPr/>
                        <wps:spPr>
                          <a:xfrm>
                            <a:off x="0" y="9"/>
                            <a:ext cx="5591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175" h="19050">
                                <a:moveTo>
                                  <a:pt x="0" y="0"/>
                                </a:moveTo>
                                <a:lnTo>
                                  <a:pt x="5591175" y="0"/>
                                </a:lnTo>
                                <a:lnTo>
                                  <a:pt x="559117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" y="5"/>
                            <a:ext cx="5591162" cy="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162" h="9538">
                                <a:moveTo>
                                  <a:pt x="0" y="0"/>
                                </a:moveTo>
                                <a:lnTo>
                                  <a:pt x="5591162" y="0"/>
                                </a:lnTo>
                                <a:lnTo>
                                  <a:pt x="5581650" y="9538"/>
                                </a:lnTo>
                                <a:lnTo>
                                  <a:pt x="9525" y="9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538"/>
                            <a:ext cx="5591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175" h="9525">
                                <a:moveTo>
                                  <a:pt x="9525" y="0"/>
                                </a:moveTo>
                                <a:lnTo>
                                  <a:pt x="5581650" y="0"/>
                                </a:lnTo>
                                <a:lnTo>
                                  <a:pt x="5591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" y="9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581650" y="0"/>
                            <a:ext cx="9525" cy="1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63">
                                <a:moveTo>
                                  <a:pt x="9525" y="0"/>
                                </a:moveTo>
                                <a:lnTo>
                                  <a:pt x="9525" y="19063"/>
                                </a:lnTo>
                                <a:lnTo>
                                  <a:pt x="0" y="9538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3" style="width:440.25pt;height:1.501pt;mso-position-horizontal-relative:char;mso-position-vertical-relative:line" coordsize="55911,190">
                <v:shape id="Shape 1400" style="position:absolute;width:55911;height:190;left:0;top:0;" coordsize="5591175,19050" path="m0,0l5591175,0l5591175,19050l0,19050l0,0">
                  <v:stroke weight="0pt" endcap="flat" joinstyle="miter" miterlimit="10" on="false" color="#000000" opacity="0"/>
                  <v:fill on="true" color="#808080"/>
                </v:shape>
                <v:shape id="Shape 8" style="position:absolute;width:55911;height:95;left:0;top:0;" coordsize="5591162,9538" path="m0,0l5591162,0l5581650,9538l9525,9538l0,0x">
                  <v:stroke weight="0pt" endcap="flat" joinstyle="miter" miterlimit="10" on="false" color="#000000" opacity="0"/>
                  <v:fill on="true" color="#808080"/>
                </v:shape>
                <v:shape id="Shape 9" style="position:absolute;width:55911;height:95;left:0;top:95;" coordsize="5591175,9525" path="m9525,0l5581650,0l5591175,9525l0,9525l9525,0x">
                  <v:stroke weight="0pt" endcap="flat" joinstyle="miter" miterlimit="10" on="false" color="#000000" opacity="0"/>
                  <v:fill on="true" color="#808080"/>
                </v:shape>
                <v:shape id="Shape 10" style="position:absolute;width:95;height:190;left:0;top:0;" coordsize="9525,19050" path="m0,0l9525,9525l0,19050l0,0x">
                  <v:stroke weight="0pt" endcap="flat" joinstyle="miter" miterlimit="10" on="false" color="#000000" opacity="0"/>
                  <v:fill on="true" color="#808080"/>
                </v:shape>
                <v:shape id="Shape 11" style="position:absolute;width:95;height:190;left:55816;top:0;" coordsize="9525,19063" path="m9525,0l9525,19063l0,9538l9525,0x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5ACFC1B2" w14:textId="77777777" w:rsidR="00F417DD" w:rsidRDefault="00890B80">
      <w:pPr>
        <w:ind w:left="-5"/>
      </w:pPr>
      <w:r>
        <w:t>Dobrý den!</w:t>
      </w:r>
    </w:p>
    <w:p w14:paraId="6F46C166" w14:textId="77777777" w:rsidR="00F417DD" w:rsidRDefault="00890B80">
      <w:pPr>
        <w:spacing w:after="126"/>
        <w:ind w:left="-5"/>
      </w:pPr>
      <w:r>
        <w:t xml:space="preserve">Posílám slíbenou nabídku na </w:t>
      </w:r>
      <w:proofErr w:type="spellStart"/>
      <w:r>
        <w:t>zajištení</w:t>
      </w:r>
      <w:proofErr w:type="spellEnd"/>
      <w:r>
        <w:t xml:space="preserve"> Statického posudku </w:t>
      </w:r>
      <w:proofErr w:type="spellStart"/>
      <w:r>
        <w:t>operné</w:t>
      </w:r>
      <w:proofErr w:type="spellEnd"/>
      <w:r>
        <w:t xml:space="preserve"> steny pod tribunou Podkrušnohorská 1677, Litvínov.</w:t>
      </w:r>
    </w:p>
    <w:p w14:paraId="087649F0" w14:textId="77777777" w:rsidR="00F417DD" w:rsidRDefault="00890B80">
      <w:pPr>
        <w:ind w:left="-5"/>
      </w:pPr>
      <w:r>
        <w:rPr>
          <w:b/>
        </w:rPr>
        <w:t xml:space="preserve">A. Technická </w:t>
      </w:r>
      <w:proofErr w:type="spellStart"/>
      <w:r>
        <w:rPr>
          <w:b/>
        </w:rPr>
        <w:t>cást</w:t>
      </w:r>
      <w:proofErr w:type="spellEnd"/>
    </w:p>
    <w:p w14:paraId="3CFF349C" w14:textId="77777777" w:rsidR="00F417DD" w:rsidRDefault="00890B80">
      <w:pPr>
        <w:ind w:left="-5"/>
      </w:pPr>
      <w:proofErr w:type="spellStart"/>
      <w:r>
        <w:t>Soucástí</w:t>
      </w:r>
      <w:proofErr w:type="spellEnd"/>
      <w:r>
        <w:t xml:space="preserve"> Statického posudku bude:</w:t>
      </w:r>
    </w:p>
    <w:p w14:paraId="259215E5" w14:textId="77777777" w:rsidR="00F417DD" w:rsidRDefault="00890B80">
      <w:pPr>
        <w:numPr>
          <w:ilvl w:val="0"/>
          <w:numId w:val="1"/>
        </w:numPr>
        <w:ind w:hanging="234"/>
      </w:pPr>
      <w:proofErr w:type="spellStart"/>
      <w:r>
        <w:t>proverení</w:t>
      </w:r>
      <w:proofErr w:type="spellEnd"/>
      <w:r>
        <w:t xml:space="preserve"> dostupné dokumentace,</w:t>
      </w:r>
    </w:p>
    <w:p w14:paraId="705EC822" w14:textId="77777777" w:rsidR="00F417DD" w:rsidRDefault="00890B80">
      <w:pPr>
        <w:numPr>
          <w:ilvl w:val="0"/>
          <w:numId w:val="1"/>
        </w:numPr>
        <w:ind w:hanging="234"/>
      </w:pPr>
      <w:r>
        <w:t xml:space="preserve">prohlídka konstrukce </w:t>
      </w:r>
      <w:proofErr w:type="spellStart"/>
      <w:r>
        <w:t>operné</w:t>
      </w:r>
      <w:proofErr w:type="spellEnd"/>
      <w:r>
        <w:t xml:space="preserve"> steny se záznamem poruch do náhradní</w:t>
      </w:r>
    </w:p>
    <w:p w14:paraId="7F30A74D" w14:textId="77777777" w:rsidR="00F417DD" w:rsidRDefault="00890B80">
      <w:pPr>
        <w:ind w:left="-5"/>
      </w:pPr>
      <w:r>
        <w:t>dokumentace,</w:t>
      </w:r>
    </w:p>
    <w:p w14:paraId="088F24FF" w14:textId="77777777" w:rsidR="00F417DD" w:rsidRDefault="00890B80">
      <w:pPr>
        <w:numPr>
          <w:ilvl w:val="0"/>
          <w:numId w:val="1"/>
        </w:numPr>
        <w:ind w:hanging="234"/>
      </w:pPr>
      <w:r>
        <w:t xml:space="preserve">2 výkopy pro </w:t>
      </w:r>
      <w:proofErr w:type="spellStart"/>
      <w:r>
        <w:t>zprístupnení</w:t>
      </w:r>
      <w:proofErr w:type="spellEnd"/>
      <w:r>
        <w:t xml:space="preserve"> paty </w:t>
      </w:r>
      <w:proofErr w:type="spellStart"/>
      <w:r>
        <w:t>operné</w:t>
      </w:r>
      <w:proofErr w:type="spellEnd"/>
      <w:r>
        <w:t xml:space="preserve"> steny pro vrtané sondy (budou</w:t>
      </w:r>
    </w:p>
    <w:p w14:paraId="768AED07" w14:textId="77777777" w:rsidR="00F417DD" w:rsidRDefault="00890B80">
      <w:pPr>
        <w:ind w:left="-5"/>
      </w:pPr>
      <w:proofErr w:type="spellStart"/>
      <w:r>
        <w:t>následne</w:t>
      </w:r>
      <w:proofErr w:type="spellEnd"/>
      <w:r>
        <w:t xml:space="preserve"> pouze zasypány),</w:t>
      </w:r>
    </w:p>
    <w:p w14:paraId="4AB40DB1" w14:textId="77777777" w:rsidR="00F417DD" w:rsidRDefault="00890B80">
      <w:pPr>
        <w:numPr>
          <w:ilvl w:val="0"/>
          <w:numId w:val="1"/>
        </w:numPr>
        <w:ind w:hanging="234"/>
      </w:pPr>
      <w:r>
        <w:t xml:space="preserve">dozor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provádení</w:t>
      </w:r>
      <w:proofErr w:type="spellEnd"/>
      <w:r>
        <w:t xml:space="preserve"> vrtaných sond,</w:t>
      </w:r>
    </w:p>
    <w:p w14:paraId="787E2BB8" w14:textId="77777777" w:rsidR="00F417DD" w:rsidRDefault="00890B80">
      <w:pPr>
        <w:numPr>
          <w:ilvl w:val="0"/>
          <w:numId w:val="1"/>
        </w:numPr>
        <w:ind w:hanging="234"/>
      </w:pPr>
      <w:r>
        <w:t xml:space="preserve">náhradní dokumentace </w:t>
      </w:r>
      <w:proofErr w:type="spellStart"/>
      <w:r>
        <w:t>operné</w:t>
      </w:r>
      <w:proofErr w:type="spellEnd"/>
      <w:r>
        <w:t xml:space="preserve"> steny,</w:t>
      </w:r>
    </w:p>
    <w:p w14:paraId="1B602BAE" w14:textId="77777777" w:rsidR="00F417DD" w:rsidRDefault="00890B80">
      <w:pPr>
        <w:numPr>
          <w:ilvl w:val="0"/>
          <w:numId w:val="1"/>
        </w:numPr>
        <w:ind w:hanging="234"/>
      </w:pPr>
      <w:r>
        <w:t xml:space="preserve">statické posouzení stability </w:t>
      </w:r>
      <w:proofErr w:type="spellStart"/>
      <w:r>
        <w:t>operné</w:t>
      </w:r>
      <w:proofErr w:type="spellEnd"/>
      <w:r>
        <w:t xml:space="preserve"> steny,</w:t>
      </w:r>
    </w:p>
    <w:p w14:paraId="5378732C" w14:textId="77777777" w:rsidR="00F417DD" w:rsidRDefault="00890B80">
      <w:pPr>
        <w:numPr>
          <w:ilvl w:val="0"/>
          <w:numId w:val="1"/>
        </w:numPr>
        <w:ind w:hanging="234"/>
      </w:pPr>
      <w:r>
        <w:t xml:space="preserve">návrh efektivního </w:t>
      </w:r>
      <w:proofErr w:type="spellStart"/>
      <w:r>
        <w:t>opatrení</w:t>
      </w:r>
      <w:proofErr w:type="spellEnd"/>
      <w:r>
        <w:t xml:space="preserve"> na </w:t>
      </w:r>
      <w:proofErr w:type="spellStart"/>
      <w:r>
        <w:t>zajištení</w:t>
      </w:r>
      <w:proofErr w:type="spellEnd"/>
      <w:r>
        <w:t xml:space="preserve"> dlouhodobé stability konstrukce,- zjednodušená kalkulace nákladu na </w:t>
      </w:r>
      <w:proofErr w:type="spellStart"/>
      <w:r>
        <w:t>zajištení</w:t>
      </w:r>
      <w:proofErr w:type="spellEnd"/>
      <w:r>
        <w:t xml:space="preserve"> dlouhodobé stability konstrukce. </w:t>
      </w:r>
      <w:r>
        <w:rPr>
          <w:color w:val="000000"/>
        </w:rPr>
        <w:t xml:space="preserve"> </w:t>
      </w:r>
      <w:proofErr w:type="spellStart"/>
      <w:r>
        <w:t>Soucástí</w:t>
      </w:r>
      <w:proofErr w:type="spellEnd"/>
      <w:r>
        <w:t xml:space="preserve"> Statického posudku nebude:</w:t>
      </w:r>
    </w:p>
    <w:p w14:paraId="4EE74B55" w14:textId="77777777" w:rsidR="00F417DD" w:rsidRDefault="00890B80">
      <w:pPr>
        <w:numPr>
          <w:ilvl w:val="0"/>
          <w:numId w:val="1"/>
        </w:numPr>
        <w:spacing w:after="121"/>
        <w:ind w:hanging="234"/>
      </w:pPr>
      <w:r>
        <w:t>provedení vrtaných sond.</w:t>
      </w:r>
    </w:p>
    <w:p w14:paraId="1A41C862" w14:textId="77777777" w:rsidR="00F417DD" w:rsidRDefault="00890B80">
      <w:pPr>
        <w:ind w:left="0" w:firstLine="0"/>
      </w:pPr>
      <w:r>
        <w:t xml:space="preserve">Požadavek na </w:t>
      </w:r>
      <w:proofErr w:type="spellStart"/>
      <w:r>
        <w:t>protiplnení</w:t>
      </w:r>
      <w:proofErr w:type="spellEnd"/>
      <w:r>
        <w:t>:</w:t>
      </w:r>
    </w:p>
    <w:p w14:paraId="68B11C89" w14:textId="77777777" w:rsidR="00F417DD" w:rsidRDefault="00890B80">
      <w:pPr>
        <w:numPr>
          <w:ilvl w:val="0"/>
          <w:numId w:val="1"/>
        </w:numPr>
        <w:spacing w:after="126"/>
        <w:ind w:hanging="234"/>
      </w:pPr>
      <w:proofErr w:type="spellStart"/>
      <w:r>
        <w:t>zajištení</w:t>
      </w:r>
      <w:proofErr w:type="spellEnd"/>
      <w:r>
        <w:t xml:space="preserve"> </w:t>
      </w:r>
      <w:proofErr w:type="spellStart"/>
      <w:r>
        <w:t>prístupu</w:t>
      </w:r>
      <w:proofErr w:type="spellEnd"/>
      <w:r>
        <w:t xml:space="preserve"> na pozemky 1569/5; 1569/37; 1569/41; 1569/41,- souhlas </w:t>
      </w:r>
      <w:proofErr w:type="spellStart"/>
      <w:r>
        <w:t>majitelu</w:t>
      </w:r>
      <w:proofErr w:type="spellEnd"/>
      <w:r>
        <w:t xml:space="preserve"> s </w:t>
      </w:r>
      <w:proofErr w:type="spellStart"/>
      <w:r>
        <w:t>provádením</w:t>
      </w:r>
      <w:proofErr w:type="spellEnd"/>
      <w:r>
        <w:t xml:space="preserve"> kopaných sond na výše uvedených pozemcích.</w:t>
      </w:r>
    </w:p>
    <w:p w14:paraId="6DA091CD" w14:textId="77777777" w:rsidR="00F417DD" w:rsidRDefault="00890B80">
      <w:pPr>
        <w:ind w:left="-5"/>
      </w:pPr>
      <w:r>
        <w:rPr>
          <w:b/>
        </w:rPr>
        <w:t xml:space="preserve">B. Obchodní </w:t>
      </w:r>
      <w:proofErr w:type="spellStart"/>
      <w:r>
        <w:rPr>
          <w:b/>
        </w:rPr>
        <w:t>cást</w:t>
      </w:r>
      <w:proofErr w:type="spellEnd"/>
    </w:p>
    <w:p w14:paraId="4406641A" w14:textId="77777777" w:rsidR="00F417DD" w:rsidRDefault="00890B80">
      <w:pPr>
        <w:ind w:left="-5"/>
      </w:pPr>
      <w:r>
        <w:t xml:space="preserve">Cenová kalkulace nákladu na vypracování Statického posudku vychází ze sazebníku UNIKA 2022: 12 hod x 340 </w:t>
      </w:r>
      <w:proofErr w:type="spellStart"/>
      <w:r>
        <w:t>Kc</w:t>
      </w:r>
      <w:proofErr w:type="spellEnd"/>
      <w:r>
        <w:t xml:space="preserve">/hod + 40 hod x 740 </w:t>
      </w:r>
      <w:proofErr w:type="spellStart"/>
      <w:r>
        <w:t>Kc</w:t>
      </w:r>
      <w:proofErr w:type="spellEnd"/>
      <w:r>
        <w:t xml:space="preserve">/hod + 36 hod x 960 </w:t>
      </w:r>
      <w:proofErr w:type="spellStart"/>
      <w:r>
        <w:t>Kc</w:t>
      </w:r>
      <w:proofErr w:type="spellEnd"/>
      <w:r>
        <w:t xml:space="preserve">/hod = 68 240 </w:t>
      </w:r>
      <w:proofErr w:type="spellStart"/>
      <w:r>
        <w:t>Kc</w:t>
      </w:r>
      <w:proofErr w:type="spellEnd"/>
      <w:r>
        <w:t>.</w:t>
      </w:r>
    </w:p>
    <w:p w14:paraId="443B1263" w14:textId="77777777" w:rsidR="00F417DD" w:rsidRDefault="00890B80">
      <w:pPr>
        <w:spacing w:after="136"/>
        <w:ind w:left="-5"/>
      </w:pPr>
      <w:r>
        <w:t xml:space="preserve">Cenová nabídka je </w:t>
      </w:r>
      <w:r>
        <w:rPr>
          <w:b/>
        </w:rPr>
        <w:t xml:space="preserve">66 000,- </w:t>
      </w:r>
      <w:proofErr w:type="spellStart"/>
      <w:r>
        <w:rPr>
          <w:b/>
        </w:rPr>
        <w:t>Kc</w:t>
      </w:r>
      <w:proofErr w:type="spellEnd"/>
      <w:r>
        <w:rPr>
          <w:b/>
        </w:rPr>
        <w:t xml:space="preserve"> (bez DPH)</w:t>
      </w:r>
      <w:r>
        <w:t>.</w:t>
      </w:r>
    </w:p>
    <w:p w14:paraId="293D2ABF" w14:textId="77777777" w:rsidR="00F417DD" w:rsidRDefault="00890B80">
      <w:pPr>
        <w:ind w:left="-5"/>
      </w:pPr>
      <w:r>
        <w:t>Platební podmínky:</w:t>
      </w:r>
    </w:p>
    <w:p w14:paraId="2A9D9F81" w14:textId="77777777" w:rsidR="00F417DD" w:rsidRDefault="00890B80">
      <w:pPr>
        <w:ind w:left="-5"/>
      </w:pPr>
      <w:r>
        <w:t xml:space="preserve">Splatnost faktury </w:t>
      </w:r>
      <w:proofErr w:type="spellStart"/>
      <w:r>
        <w:t>predpokládáme</w:t>
      </w:r>
      <w:proofErr w:type="spellEnd"/>
      <w:r>
        <w:t xml:space="preserve"> 30 dní.</w:t>
      </w:r>
    </w:p>
    <w:p w14:paraId="7BFCE197" w14:textId="77777777" w:rsidR="00F417DD" w:rsidRDefault="00890B80">
      <w:pPr>
        <w:ind w:left="-5" w:right="6552"/>
      </w:pPr>
      <w:r>
        <w:rPr>
          <w:color w:val="000000"/>
        </w:rPr>
        <w:t xml:space="preserve"> </w:t>
      </w:r>
      <w:r>
        <w:t>Harmonogram prací:</w:t>
      </w:r>
    </w:p>
    <w:p w14:paraId="2F6753DE" w14:textId="77777777" w:rsidR="00F417DD" w:rsidRDefault="00890B80">
      <w:pPr>
        <w:ind w:left="-5"/>
      </w:pPr>
      <w:r>
        <w:t xml:space="preserve">Práce budou zahájeny </w:t>
      </w:r>
      <w:proofErr w:type="spellStart"/>
      <w:r>
        <w:t>neprodlene</w:t>
      </w:r>
      <w:proofErr w:type="spellEnd"/>
      <w:r>
        <w:t xml:space="preserve"> po objednání a </w:t>
      </w:r>
      <w:proofErr w:type="spellStart"/>
      <w:r>
        <w:t>zajištení</w:t>
      </w:r>
      <w:proofErr w:type="spellEnd"/>
      <w:r>
        <w:t xml:space="preserve"> </w:t>
      </w:r>
      <w:proofErr w:type="spellStart"/>
      <w:r>
        <w:t>protiplnení</w:t>
      </w:r>
      <w:proofErr w:type="spellEnd"/>
      <w:r>
        <w:t>.</w:t>
      </w:r>
    </w:p>
    <w:p w14:paraId="2A0948C9" w14:textId="77777777" w:rsidR="00F417DD" w:rsidRDefault="00890B80">
      <w:pPr>
        <w:ind w:left="-5" w:right="117"/>
      </w:pPr>
      <w:r>
        <w:t xml:space="preserve">Elektronická verze k </w:t>
      </w:r>
      <w:proofErr w:type="spellStart"/>
      <w:r>
        <w:t>pripomínkování</w:t>
      </w:r>
      <w:proofErr w:type="spellEnd"/>
      <w:r>
        <w:t xml:space="preserve"> bude zaslána do 4 týdnu od zahájení prací. Autorizovaná tištená verze bude odevzdána do 1 týdne od schválení verze k </w:t>
      </w:r>
      <w:proofErr w:type="spellStart"/>
      <w:r>
        <w:t>pripomínkování</w:t>
      </w:r>
      <w:proofErr w:type="spellEnd"/>
      <w:r>
        <w:t>.</w:t>
      </w:r>
    </w:p>
    <w:p w14:paraId="413A1864" w14:textId="77777777" w:rsidR="00F417DD" w:rsidRDefault="00890B80">
      <w:pPr>
        <w:ind w:left="0" w:firstLine="0"/>
      </w:pPr>
      <w:r>
        <w:rPr>
          <w:color w:val="000000"/>
        </w:rPr>
        <w:t xml:space="preserve"> </w:t>
      </w:r>
    </w:p>
    <w:p w14:paraId="6CC69835" w14:textId="77777777" w:rsidR="00F417DD" w:rsidRDefault="00890B80">
      <w:pPr>
        <w:ind w:left="-5" w:right="1053"/>
      </w:pPr>
      <w:r>
        <w:rPr>
          <w:color w:val="000000"/>
        </w:rPr>
        <w:t xml:space="preserve"> </w:t>
      </w:r>
      <w:r>
        <w:t xml:space="preserve">Bude-li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upresnení</w:t>
      </w:r>
      <w:proofErr w:type="spellEnd"/>
      <w:r>
        <w:t xml:space="preserve"> nebo </w:t>
      </w:r>
      <w:proofErr w:type="spellStart"/>
      <w:r>
        <w:t>vyjasnení</w:t>
      </w:r>
      <w:proofErr w:type="spellEnd"/>
      <w:r>
        <w:t xml:space="preserve"> nabídky, zavolejte prosím.</w:t>
      </w:r>
    </w:p>
    <w:p w14:paraId="19CA07F7" w14:textId="77777777" w:rsidR="00F417DD" w:rsidRDefault="00890B80">
      <w:pPr>
        <w:ind w:left="-5"/>
      </w:pPr>
      <w:proofErr w:type="spellStart"/>
      <w:r>
        <w:t>Preji</w:t>
      </w:r>
      <w:proofErr w:type="spellEnd"/>
      <w:r>
        <w:t xml:space="preserve"> </w:t>
      </w:r>
      <w:proofErr w:type="spellStart"/>
      <w:r>
        <w:t>pekný</w:t>
      </w:r>
      <w:proofErr w:type="spellEnd"/>
      <w:r>
        <w:t xml:space="preserve"> den!</w:t>
      </w:r>
    </w:p>
    <w:p w14:paraId="76A058FB" w14:textId="77777777" w:rsidR="00F417DD" w:rsidRDefault="00890B80">
      <w:pPr>
        <w:spacing w:after="166"/>
        <w:ind w:left="0" w:firstLine="0"/>
      </w:pPr>
      <w:r>
        <w:rPr>
          <w:color w:val="000000"/>
        </w:rPr>
        <w:t xml:space="preserve"> </w:t>
      </w:r>
    </w:p>
    <w:p w14:paraId="0082959D" w14:textId="77777777" w:rsidR="00F417DD" w:rsidRDefault="00890B80">
      <w:pPr>
        <w:spacing w:after="193" w:line="257" w:lineRule="auto"/>
        <w:ind w:left="-5" w:right="6452"/>
      </w:pPr>
      <w:r>
        <w:rPr>
          <w:rFonts w:ascii="Times New Roman" w:eastAsia="Times New Roman" w:hAnsi="Times New Roman" w:cs="Times New Roman"/>
          <w:color w:val="000080"/>
        </w:rPr>
        <w:t>Ing. Pavel Dolanský</w:t>
      </w:r>
    </w:p>
    <w:p w14:paraId="2CB26866" w14:textId="77777777" w:rsidR="00F417DD" w:rsidRDefault="00890B80">
      <w:pPr>
        <w:ind w:left="0" w:firstLine="0"/>
      </w:pPr>
      <w:r>
        <w:rPr>
          <w:rFonts w:ascii="Times New Roman" w:eastAsia="Times New Roman" w:hAnsi="Times New Roman" w:cs="Times New Roman"/>
          <w:b/>
          <w:color w:val="000080"/>
          <w:u w:val="single" w:color="000000"/>
        </w:rPr>
        <w:t>DOPAC, spol. s r.o.</w:t>
      </w:r>
    </w:p>
    <w:p w14:paraId="535BEC05" w14:textId="77777777" w:rsidR="00F417DD" w:rsidRDefault="00890B80">
      <w:pPr>
        <w:spacing w:after="3" w:line="257" w:lineRule="auto"/>
        <w:ind w:left="-5" w:right="6452"/>
      </w:pPr>
      <w:r>
        <w:rPr>
          <w:rFonts w:ascii="Times New Roman" w:eastAsia="Times New Roman" w:hAnsi="Times New Roman" w:cs="Times New Roman"/>
          <w:color w:val="000080"/>
        </w:rPr>
        <w:t>Partyzánská 1933</w:t>
      </w:r>
    </w:p>
    <w:p w14:paraId="087A4E6E" w14:textId="77777777" w:rsidR="00F417DD" w:rsidRDefault="00890B80">
      <w:pPr>
        <w:spacing w:after="3" w:line="257" w:lineRule="auto"/>
        <w:ind w:left="-5" w:right="6452"/>
      </w:pPr>
      <w:r>
        <w:rPr>
          <w:rFonts w:ascii="Times New Roman" w:eastAsia="Times New Roman" w:hAnsi="Times New Roman" w:cs="Times New Roman"/>
          <w:color w:val="000080"/>
        </w:rPr>
        <w:t>434 01 Most</w:t>
      </w:r>
    </w:p>
    <w:p w14:paraId="571F7C38" w14:textId="77777777" w:rsidR="00F417DD" w:rsidRDefault="00890B80">
      <w:pPr>
        <w:ind w:left="0" w:firstLine="0"/>
      </w:pPr>
      <w:r>
        <w:rPr>
          <w:rFonts w:ascii="Times New Roman" w:eastAsia="Times New Roman" w:hAnsi="Times New Roman" w:cs="Times New Roman"/>
          <w:color w:val="000080"/>
        </w:rPr>
        <w:t xml:space="preserve"> </w:t>
      </w:r>
    </w:p>
    <w:p w14:paraId="20965DCC" w14:textId="77777777" w:rsidR="00890B80" w:rsidRDefault="00890B80">
      <w:pPr>
        <w:spacing w:after="3" w:line="257" w:lineRule="auto"/>
        <w:ind w:left="-5" w:right="6452"/>
        <w:rPr>
          <w:rFonts w:ascii="Times New Roman" w:eastAsia="Times New Roman" w:hAnsi="Times New Roman" w:cs="Times New Roman"/>
          <w:color w:val="000080"/>
        </w:rPr>
      </w:pPr>
      <w:r>
        <w:rPr>
          <w:rFonts w:ascii="Times New Roman" w:eastAsia="Times New Roman" w:hAnsi="Times New Roman" w:cs="Times New Roman"/>
          <w:color w:val="000080"/>
        </w:rPr>
        <w:t xml:space="preserve">tel. +420 </w:t>
      </w:r>
      <w:proofErr w:type="spellStart"/>
      <w:r>
        <w:rPr>
          <w:rFonts w:ascii="Times New Roman" w:eastAsia="Times New Roman" w:hAnsi="Times New Roman" w:cs="Times New Roman"/>
          <w:color w:val="000080"/>
        </w:rPr>
        <w:t>xxx</w:t>
      </w:r>
      <w:proofErr w:type="spellEnd"/>
    </w:p>
    <w:p w14:paraId="6DED5B44" w14:textId="43990F7C" w:rsidR="00F417DD" w:rsidRDefault="00890B80">
      <w:pPr>
        <w:spacing w:after="3" w:line="257" w:lineRule="auto"/>
        <w:ind w:left="-5" w:right="6452"/>
      </w:pPr>
      <w:r>
        <w:rPr>
          <w:rFonts w:ascii="Times New Roman" w:eastAsia="Times New Roman" w:hAnsi="Times New Roman" w:cs="Times New Roman"/>
          <w:color w:val="000080"/>
        </w:rPr>
        <w:t xml:space="preserve">email: </w:t>
      </w:r>
      <w:proofErr w:type="spellStart"/>
      <w:r>
        <w:rPr>
          <w:rFonts w:ascii="Times New Roman" w:eastAsia="Times New Roman" w:hAnsi="Times New Roman" w:cs="Times New Roman"/>
          <w:color w:val="000080"/>
          <w:u w:val="single" w:color="000080"/>
        </w:rPr>
        <w:t>xxx</w:t>
      </w:r>
      <w:proofErr w:type="spellEnd"/>
    </w:p>
    <w:sectPr w:rsidR="00F417DD">
      <w:pgSz w:w="11900" w:h="16820"/>
      <w:pgMar w:top="1270" w:right="1682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166"/>
    <w:multiLevelType w:val="hybridMultilevel"/>
    <w:tmpl w:val="60B807C2"/>
    <w:lvl w:ilvl="0" w:tplc="19E25764">
      <w:start w:val="1"/>
      <w:numFmt w:val="bullet"/>
      <w:lvlText w:val="-"/>
      <w:lvlJc w:val="left"/>
      <w:pPr>
        <w:ind w:left="234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ADE5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290E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1A0A9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3CE34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1EC57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0BE9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628E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69E0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40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DD"/>
    <w:rsid w:val="00890B80"/>
    <w:rsid w:val="00F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5D97"/>
  <w15:docId w15:val="{D81191D0-D853-4F85-9570-A1C0BACA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hanging="10"/>
    </w:pPr>
    <w:rPr>
      <w:rFonts w:ascii="Courier New" w:eastAsia="Courier New" w:hAnsi="Courier New" w:cs="Courier New"/>
      <w:color w:val="3333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Vaněk</dc:creator>
  <cp:keywords/>
  <cp:lastModifiedBy>Zdeněk Vaněk</cp:lastModifiedBy>
  <cp:revision>2</cp:revision>
  <dcterms:created xsi:type="dcterms:W3CDTF">2024-04-05T11:18:00Z</dcterms:created>
  <dcterms:modified xsi:type="dcterms:W3CDTF">2024-04-05T11:18:00Z</dcterms:modified>
</cp:coreProperties>
</file>