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5220300292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Poliklinika</w:t>
      </w:r>
      <w:r>
        <w:rPr>
          <w:spacing w:val="-11"/>
        </w:rPr>
        <w:t> </w:t>
      </w:r>
      <w:r>
        <w:rPr/>
        <w:t>Prosek</w:t>
      </w:r>
      <w:r>
        <w:rPr>
          <w:spacing w:val="-11"/>
        </w:rPr>
        <w:t> </w:t>
      </w:r>
      <w:r>
        <w:rPr>
          <w:spacing w:val="-4"/>
        </w:rPr>
        <w:t>a.s.</w:t>
      </w:r>
    </w:p>
    <w:p>
      <w:pPr>
        <w:pStyle w:val="BodyText"/>
        <w:spacing w:line="266" w:lineRule="exact"/>
        <w:ind w:left="382"/>
      </w:pPr>
      <w:r>
        <w:rPr/>
        <w:t>obchodní</w:t>
      </w:r>
      <w:r>
        <w:rPr>
          <w:spacing w:val="8"/>
        </w:rPr>
        <w:t> </w:t>
      </w:r>
      <w:r>
        <w:rPr/>
        <w:t>společnost</w:t>
      </w:r>
      <w:r>
        <w:rPr>
          <w:spacing w:val="7"/>
        </w:rPr>
        <w:t> </w:t>
      </w:r>
      <w:r>
        <w:rPr/>
        <w:t>zapsaná</w:t>
      </w:r>
      <w:r>
        <w:rPr>
          <w:spacing w:val="8"/>
        </w:rPr>
        <w:t> </w:t>
      </w:r>
      <w:r>
        <w:rPr/>
        <w:t>v</w:t>
      </w:r>
      <w:r>
        <w:rPr>
          <w:spacing w:val="9"/>
        </w:rPr>
        <w:t> </w:t>
      </w:r>
      <w:r>
        <w:rPr/>
        <w:t>obchodním</w:t>
      </w:r>
      <w:r>
        <w:rPr>
          <w:spacing w:val="9"/>
        </w:rPr>
        <w:t> </w:t>
      </w:r>
      <w:r>
        <w:rPr/>
        <w:t>rejstříku</w:t>
      </w:r>
      <w:r>
        <w:rPr>
          <w:spacing w:val="9"/>
        </w:rPr>
        <w:t> </w:t>
      </w:r>
      <w:r>
        <w:rPr/>
        <w:t>vedeném</w:t>
      </w:r>
      <w:r>
        <w:rPr>
          <w:spacing w:val="14"/>
        </w:rPr>
        <w:t> </w:t>
      </w:r>
      <w:r>
        <w:rPr/>
        <w:t>Městským</w:t>
      </w:r>
      <w:r>
        <w:rPr>
          <w:spacing w:val="10"/>
        </w:rPr>
        <w:t> </w:t>
      </w:r>
      <w:r>
        <w:rPr/>
        <w:t>soudem</w:t>
      </w:r>
      <w:r>
        <w:rPr>
          <w:spacing w:val="9"/>
        </w:rPr>
        <w:t> </w:t>
      </w:r>
      <w:r>
        <w:rPr/>
        <w:t>v</w:t>
      </w:r>
      <w:r>
        <w:rPr>
          <w:spacing w:val="11"/>
        </w:rPr>
        <w:t> </w:t>
      </w:r>
      <w:r>
        <w:rPr/>
        <w:t>Praze,</w:t>
      </w:r>
      <w:r>
        <w:rPr>
          <w:spacing w:val="8"/>
        </w:rPr>
        <w:t> </w:t>
      </w:r>
      <w:r>
        <w:rPr/>
        <w:t>oddíl</w:t>
      </w:r>
      <w:r>
        <w:rPr>
          <w:spacing w:val="9"/>
        </w:rPr>
        <w:t> </w:t>
      </w:r>
      <w:r>
        <w:rPr/>
        <w:t>B,</w:t>
      </w:r>
      <w:r>
        <w:rPr>
          <w:spacing w:val="8"/>
        </w:rPr>
        <w:t> </w:t>
      </w:r>
      <w:r>
        <w:rPr>
          <w:spacing w:val="-2"/>
        </w:rPr>
        <w:t>vložka</w:t>
      </w:r>
    </w:p>
    <w:p>
      <w:pPr>
        <w:spacing w:line="218" w:lineRule="exact" w:before="0"/>
        <w:ind w:left="382" w:right="0" w:firstLine="0"/>
        <w:jc w:val="left"/>
        <w:rPr>
          <w:rFonts w:ascii="Verdana"/>
          <w:sz w:val="18"/>
        </w:rPr>
      </w:pPr>
      <w:r>
        <w:rPr>
          <w:rFonts w:ascii="Verdana"/>
          <w:color w:val="333333"/>
          <w:spacing w:val="-2"/>
          <w:sz w:val="18"/>
        </w:rPr>
        <w:t>14866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Lovosická</w:t>
      </w:r>
      <w:r>
        <w:rPr>
          <w:spacing w:val="-6"/>
        </w:rPr>
        <w:t> </w:t>
      </w:r>
      <w:r>
        <w:rPr/>
        <w:t>440/40,</w:t>
      </w:r>
      <w:r>
        <w:rPr>
          <w:spacing w:val="-3"/>
        </w:rPr>
        <w:t> </w:t>
      </w:r>
      <w:r>
        <w:rPr/>
        <w:t>190</w:t>
      </w:r>
      <w:r>
        <w:rPr>
          <w:spacing w:val="-3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/>
        <w:t>9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Střížkov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28495306</w:t>
      </w:r>
    </w:p>
    <w:p>
      <w:pPr>
        <w:pStyle w:val="BodyText"/>
        <w:tabs>
          <w:tab w:pos="3262" w:val="left" w:leader="none"/>
        </w:tabs>
        <w:ind w:left="382" w:right="1650"/>
      </w:pPr>
      <w:r>
        <w:rPr>
          <w:spacing w:val="-2"/>
        </w:rPr>
        <w:t>zastoupená:</w:t>
      </w:r>
      <w:r>
        <w:rPr/>
        <w:tab/>
        <w:t>MUDr.</w:t>
      </w:r>
      <w:r>
        <w:rPr>
          <w:spacing w:val="-5"/>
        </w:rPr>
        <w:t> </w:t>
      </w:r>
      <w:r>
        <w:rPr/>
        <w:t>Michalem</w:t>
      </w:r>
      <w:r>
        <w:rPr>
          <w:spacing w:val="-3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š</w:t>
      </w:r>
      <w:r>
        <w:rPr>
          <w:spacing w:val="-5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předsedou</w:t>
      </w:r>
      <w:r>
        <w:rPr>
          <w:spacing w:val="-5"/>
        </w:rPr>
        <w:t> </w:t>
      </w:r>
      <w:r>
        <w:rPr/>
        <w:t>představenstva bankovní spojení:</w:t>
        <w:tab/>
        <w:t>UniCredit Bank Czech Republic and Slovakia, 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1387720540/2700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5220300292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22"/>
        <w:jc w:val="left"/>
      </w:pPr>
      <w:r>
        <w:rPr/>
        <w:t>„Elektromobilita</w:t>
      </w:r>
      <w:r>
        <w:rPr>
          <w:spacing w:val="-12"/>
        </w:rPr>
        <w:t> </w:t>
      </w:r>
      <w:r>
        <w:rPr/>
        <w:t>pro</w:t>
      </w:r>
      <w:r>
        <w:rPr>
          <w:spacing w:val="-10"/>
        </w:rPr>
        <w:t> </w:t>
      </w:r>
      <w:r>
        <w:rPr/>
        <w:t>Polikliniku</w:t>
      </w:r>
      <w:r>
        <w:rPr>
          <w:spacing w:val="-12"/>
        </w:rPr>
        <w:t> </w:t>
      </w:r>
      <w:r>
        <w:rPr/>
        <w:t>Prosek</w:t>
      </w:r>
      <w:r>
        <w:rPr>
          <w:spacing w:val="-10"/>
        </w:rPr>
        <w:t> </w:t>
      </w:r>
      <w:r>
        <w:rPr>
          <w:spacing w:val="-4"/>
        </w:rPr>
        <w:t>a.s.“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poskytována</w:t>
      </w:r>
      <w:r>
        <w:rPr>
          <w:spacing w:val="10"/>
          <w:sz w:val="20"/>
        </w:rPr>
        <w:t> </w:t>
      </w:r>
      <w:r>
        <w:rPr>
          <w:sz w:val="20"/>
        </w:rPr>
        <w:t>v 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0"/>
          <w:sz w:val="20"/>
        </w:rPr>
        <w:t> </w:t>
      </w:r>
      <w:r>
        <w:rPr>
          <w:sz w:val="20"/>
        </w:rPr>
        <w:t>„Nařízením</w:t>
      </w:r>
      <w:r>
        <w:rPr>
          <w:spacing w:val="11"/>
          <w:sz w:val="20"/>
        </w:rPr>
        <w:t> </w:t>
      </w:r>
      <w:r>
        <w:rPr>
          <w:sz w:val="20"/>
        </w:rPr>
        <w:t>Komise</w:t>
      </w:r>
      <w:r>
        <w:rPr>
          <w:spacing w:val="10"/>
          <w:sz w:val="20"/>
        </w:rPr>
        <w:t> </w:t>
      </w:r>
      <w:r>
        <w:rPr>
          <w:sz w:val="20"/>
        </w:rPr>
        <w:t>(ES)</w:t>
      </w:r>
      <w:r>
        <w:rPr>
          <w:spacing w:val="12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1407/2013</w:t>
      </w:r>
      <w:r>
        <w:rPr>
          <w:spacing w:val="12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</w:pPr>
      <w:r>
        <w:rPr/>
        <w:t>18. 12. 2013 o použití článků 107 a 108 Smlouvy o fungování Evropské unie na podporu de minimis“,</w:t>
      </w:r>
      <w:r>
        <w:rPr>
          <w:spacing w:val="40"/>
        </w:rPr>
        <w:t> </w:t>
      </w:r>
      <w:r>
        <w:rPr/>
        <w:t>zveřejněném v Úředním věstníku EU dne 24. 12. 2013.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3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490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826,44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čtyři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osm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dvacet</w:t>
      </w:r>
      <w:r>
        <w:rPr>
          <w:spacing w:val="-3"/>
        </w:rPr>
        <w:t> </w:t>
      </w:r>
      <w:r>
        <w:rPr/>
        <w:t>šest</w:t>
      </w:r>
      <w:r>
        <w:rPr>
          <w:spacing w:val="-6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čtyřicet</w:t>
      </w:r>
      <w:r>
        <w:rPr>
          <w:spacing w:val="-5"/>
        </w:rPr>
        <w:t> </w:t>
      </w:r>
      <w:r>
        <w:rPr/>
        <w:t>čtyři</w:t>
      </w:r>
      <w:r>
        <w:rPr>
          <w:spacing w:val="-5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866"/>
      </w:tblGrid>
      <w:tr>
        <w:trPr>
          <w:trHeight w:val="506" w:hRule="atLeast"/>
        </w:trPr>
        <w:tc>
          <w:tcPr>
            <w:tcW w:w="3118" w:type="dxa"/>
          </w:tcPr>
          <w:p>
            <w:pPr>
              <w:pStyle w:val="TableParagraph"/>
              <w:spacing w:before="120"/>
              <w:ind w:left="129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5" w:right="193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118" w:type="dxa"/>
          </w:tcPr>
          <w:p>
            <w:pPr>
              <w:pStyle w:val="TableParagraph"/>
              <w:spacing w:before="120"/>
              <w:ind w:left="134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39" w:right="1931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826,44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4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vážně</w:t>
      </w:r>
      <w:r>
        <w:rPr>
          <w:spacing w:val="-6"/>
        </w:rPr>
        <w:t> </w:t>
      </w:r>
      <w:r>
        <w:rPr/>
        <w:t>ohroženo.</w:t>
      </w:r>
      <w:r>
        <w:rPr>
          <w:spacing w:val="-4"/>
        </w:rPr>
        <w:t> </w:t>
      </w:r>
      <w:r>
        <w:rPr/>
        <w:t>Ustanovení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tím</w:t>
      </w:r>
      <w:r>
        <w:rPr>
          <w:spacing w:val="-5"/>
        </w:rPr>
        <w:t> </w:t>
      </w:r>
      <w:r>
        <w:rPr/>
        <w:t>není</w:t>
      </w:r>
      <w:r>
        <w:rPr>
          <w:spacing w:val="-3"/>
        </w:rPr>
        <w:t>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8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110" w:hanging="286"/>
        <w:jc w:val="left"/>
        <w:rPr>
          <w:sz w:val="20"/>
        </w:rPr>
      </w:pPr>
      <w:r>
        <w:rPr>
          <w:sz w:val="20"/>
        </w:rPr>
        <w:t>akce „Elektromobilita pro Polikliniku Prosek a.s.“ byla provedena 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</w:t>
      </w:r>
      <w:r>
        <w:rPr>
          <w:spacing w:val="80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3"/>
          <w:sz w:val="20"/>
        </w:rPr>
        <w:t> </w:t>
      </w:r>
      <w:r>
        <w:rPr>
          <w:sz w:val="20"/>
        </w:rPr>
        <w:t>14.</w:t>
      </w:r>
      <w:r>
        <w:rPr>
          <w:spacing w:val="-4"/>
          <w:sz w:val="20"/>
        </w:rPr>
        <w:t> </w:t>
      </w:r>
      <w:r>
        <w:rPr>
          <w:sz w:val="20"/>
        </w:rPr>
        <w:t>2.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4"/>
          <w:sz w:val="20"/>
        </w:rPr>
        <w:t> </w:t>
      </w:r>
      <w:r>
        <w:rPr>
          <w:sz w:val="20"/>
        </w:rPr>
        <w:t>vozidel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stanice,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5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</w:t>
      </w:r>
      <w:r>
        <w:rPr>
          <w:spacing w:val="-3"/>
          <w:sz w:val="20"/>
        </w:rPr>
        <w:t> </w:t>
      </w:r>
      <w:r>
        <w:rPr>
          <w:sz w:val="20"/>
        </w:rPr>
        <w:t>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37" w:lineRule="auto" w:before="123" w:after="0"/>
        <w:ind w:left="1234" w:right="117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34"/>
          <w:sz w:val="20"/>
        </w:rPr>
        <w:t> </w:t>
      </w:r>
      <w:r>
        <w:rPr>
          <w:sz w:val="20"/>
        </w:rPr>
        <w:t>odst.</w:t>
      </w:r>
      <w:r>
        <w:rPr>
          <w:spacing w:val="33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fungování</w:t>
      </w:r>
      <w:r>
        <w:rPr>
          <w:spacing w:val="33"/>
          <w:sz w:val="20"/>
        </w:rPr>
        <w:t> </w:t>
      </w:r>
      <w:r>
        <w:rPr>
          <w:sz w:val="20"/>
        </w:rPr>
        <w:t>Evropské</w:t>
      </w:r>
      <w:r>
        <w:rPr>
          <w:spacing w:val="32"/>
          <w:sz w:val="20"/>
        </w:rPr>
        <w:t> </w:t>
      </w:r>
      <w:r>
        <w:rPr>
          <w:sz w:val="20"/>
        </w:rPr>
        <w:t>unie,</w:t>
      </w:r>
      <w:r>
        <w:rPr>
          <w:spacing w:val="33"/>
          <w:sz w:val="20"/>
        </w:rPr>
        <w:t> </w:t>
      </w:r>
      <w:r>
        <w:rPr>
          <w:sz w:val="20"/>
        </w:rPr>
        <w:t>podporu</w:t>
      </w:r>
      <w:r>
        <w:rPr>
          <w:spacing w:val="34"/>
          <w:sz w:val="20"/>
        </w:rPr>
        <w:t> </w:t>
      </w:r>
      <w:r>
        <w:rPr>
          <w:sz w:val="20"/>
        </w:rPr>
        <w:t>z</w:t>
      </w:r>
      <w:r>
        <w:rPr>
          <w:spacing w:val="34"/>
          <w:sz w:val="20"/>
        </w:rPr>
        <w:t> </w:t>
      </w:r>
      <w:r>
        <w:rPr>
          <w:sz w:val="20"/>
        </w:rPr>
        <w:t>prostředků</w:t>
      </w:r>
      <w:r>
        <w:rPr>
          <w:spacing w:val="33"/>
          <w:sz w:val="20"/>
        </w:rPr>
        <w:t> </w:t>
      </w:r>
      <w:r>
        <w:rPr>
          <w:sz w:val="20"/>
        </w:rPr>
        <w:t>Unie,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2"/>
          <w:sz w:val="20"/>
        </w:rPr>
        <w:t> </w:t>
      </w:r>
      <w:r>
        <w:rPr>
          <w:sz w:val="20"/>
        </w:rPr>
        <w:t>centrálně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320" w:right="1020"/>
        </w:sectPr>
      </w:pPr>
    </w:p>
    <w:p>
      <w:pPr>
        <w:pStyle w:val="BodyText"/>
        <w:spacing w:before="73"/>
        <w:ind w:left="1234" w:right="112"/>
        <w:jc w:val="both"/>
      </w:pPr>
      <w:r>
        <w:rPr/>
        <w:t>spravují</w:t>
      </w:r>
      <w:r>
        <w:rPr>
          <w:spacing w:val="-11"/>
        </w:rPr>
        <w:t> </w:t>
      </w:r>
      <w:r>
        <w:rPr/>
        <w:t>orgány,</w:t>
      </w:r>
      <w:r>
        <w:rPr>
          <w:spacing w:val="-12"/>
        </w:rPr>
        <w:t> </w:t>
      </w:r>
      <w:r>
        <w:rPr/>
        <w:t>agentury,</w:t>
      </w:r>
      <w:r>
        <w:rPr>
          <w:spacing w:val="-12"/>
        </w:rPr>
        <w:t> </w:t>
      </w:r>
      <w:r>
        <w:rPr/>
        <w:t>společné</w:t>
      </w:r>
      <w:r>
        <w:rPr>
          <w:spacing w:val="-12"/>
        </w:rPr>
        <w:t> </w:t>
      </w:r>
      <w:r>
        <w:rPr/>
        <w:t>podniky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jiné</w:t>
      </w:r>
      <w:r>
        <w:rPr>
          <w:spacing w:val="-12"/>
        </w:rPr>
        <w:t> </w:t>
      </w:r>
      <w:r>
        <w:rPr/>
        <w:t>subjekty</w:t>
      </w:r>
      <w:r>
        <w:rPr>
          <w:spacing w:val="-12"/>
        </w:rPr>
        <w:t> </w:t>
      </w:r>
      <w:r>
        <w:rPr/>
        <w:t>EU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která</w:t>
      </w:r>
      <w:r>
        <w:rPr>
          <w:spacing w:val="-12"/>
        </w:rPr>
        <w:t> </w:t>
      </w:r>
      <w:r>
        <w:rPr/>
        <w:t>není</w:t>
      </w:r>
      <w:r>
        <w:rPr>
          <w:spacing w:val="-11"/>
        </w:rPr>
        <w:t> </w:t>
      </w:r>
      <w:r>
        <w:rPr/>
        <w:t>přímo</w:t>
      </w:r>
      <w:r>
        <w:rPr>
          <w:spacing w:val="-11"/>
        </w:rPr>
        <w:t> </w:t>
      </w:r>
      <w:r>
        <w:rPr/>
        <w:t>ani</w:t>
      </w:r>
      <w:r>
        <w:rPr>
          <w:spacing w:val="-12"/>
        </w:rPr>
        <w:t> </w:t>
      </w:r>
      <w:r>
        <w:rPr/>
        <w:t>nepřímo</w:t>
      </w:r>
      <w:r>
        <w:rPr>
          <w:spacing w:val="-11"/>
        </w:rPr>
        <w:t> </w:t>
      </w:r>
      <w:r>
        <w:rPr/>
        <w:t>pod kontrolou</w:t>
      </w:r>
      <w:r>
        <w:rPr>
          <w:spacing w:val="-8"/>
        </w:rPr>
        <w:t> </w:t>
      </w:r>
      <w:r>
        <w:rPr/>
        <w:t>členských</w:t>
      </w:r>
      <w:r>
        <w:rPr>
          <w:spacing w:val="-5"/>
        </w:rPr>
        <w:t> </w:t>
      </w: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rozpočtu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8"/>
        </w:rPr>
        <w:t> </w:t>
      </w:r>
      <w:r>
        <w:rPr/>
        <w:t>zdrojů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ani</w:t>
      </w:r>
      <w:r>
        <w:rPr>
          <w:spacing w:val="-9"/>
        </w:rPr>
        <w:t> </w:t>
      </w:r>
      <w:r>
        <w:rPr/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3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116" w:hanging="286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2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37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37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32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2024-04-05T05:35:44Z</dcterms:created>
  <dcterms:modified xsi:type="dcterms:W3CDTF">2024-04-05T05:35:44Z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2024-04-05T00:00:00Z</vt:filetime>
  </property>
</Properties>
</file>