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8B862" w14:textId="18AD6581" w:rsidR="008926CE" w:rsidRPr="004662C5" w:rsidRDefault="008926CE" w:rsidP="008926CE">
      <w:pPr>
        <w:pStyle w:val="Umbrelanadpis"/>
        <w:rPr>
          <w:rFonts w:ascii="Times New Roman" w:hAnsi="Times New Roman"/>
          <w:sz w:val="36"/>
          <w:szCs w:val="36"/>
        </w:rPr>
      </w:pPr>
      <w:r w:rsidRPr="00834EAC">
        <w:rPr>
          <w:rFonts w:ascii="Times New Roman" w:hAnsi="Times New Roman"/>
          <w:sz w:val="36"/>
          <w:szCs w:val="36"/>
        </w:rPr>
        <w:t>objednávk</w:t>
      </w:r>
      <w:r w:rsidR="00834EAC">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3134C7BE" w14:textId="781CB3A4" w:rsidR="00D926E3" w:rsidRPr="00470022" w:rsidRDefault="00834EAC" w:rsidP="00D926E3">
      <w:pPr>
        <w:spacing w:after="100" w:line="240" w:lineRule="auto"/>
        <w:jc w:val="right"/>
        <w:rPr>
          <w:rFonts w:ascii="Times New Roman" w:eastAsia="Arial" w:hAnsi="Times New Roman" w:cs="Times New Roman"/>
          <w:b/>
          <w:bCs/>
          <w:sz w:val="22"/>
        </w:rPr>
      </w:pPr>
      <w:r>
        <w:rPr>
          <w:rFonts w:ascii="Times New Roman" w:eastAsia="Arial" w:hAnsi="Times New Roman" w:cs="Times New Roman"/>
          <w:b/>
          <w:bCs/>
          <w:sz w:val="22"/>
        </w:rPr>
        <w:t>AQUA PROCON s.r.o.</w:t>
      </w:r>
    </w:p>
    <w:p w14:paraId="50DF8A4E" w14:textId="10D502F0"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834EAC">
        <w:rPr>
          <w:rFonts w:ascii="Times New Roman" w:eastAsia="Arial" w:hAnsi="Times New Roman" w:cs="Times New Roman"/>
          <w:sz w:val="22"/>
        </w:rPr>
        <w:t>Palackého třída 768/12, 612 00 Brno</w:t>
      </w:r>
    </w:p>
    <w:p w14:paraId="180CB2EF" w14:textId="3E37914C"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834EAC">
        <w:rPr>
          <w:rFonts w:ascii="Times New Roman" w:eastAsia="Arial" w:hAnsi="Times New Roman" w:cs="Times New Roman"/>
          <w:sz w:val="22"/>
        </w:rPr>
        <w:t>Ing. Josefem Šebkem, MBA – jednatelem společnosti</w:t>
      </w:r>
    </w:p>
    <w:p w14:paraId="3A3933FF" w14:textId="71CE8749" w:rsidR="00D926E3" w:rsidRPr="00470022" w:rsidRDefault="00D926E3" w:rsidP="00D926E3">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w:t>
      </w:r>
      <w:r w:rsidR="00834EAC">
        <w:rPr>
          <w:rStyle w:val="normaltextrun"/>
          <w:rFonts w:ascii="Times New Roman" w:hAnsi="Times New Roman" w:cs="Times New Roman"/>
          <w:sz w:val="22"/>
        </w:rPr>
        <w:t>46964371</w:t>
      </w:r>
    </w:p>
    <w:p w14:paraId="3F8C87D1" w14:textId="484C695A" w:rsidR="00D926E3" w:rsidRPr="00470022" w:rsidRDefault="00D926E3" w:rsidP="00D926E3">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Pr="00470022">
        <w:rPr>
          <w:rFonts w:ascii="Times New Roman" w:eastAsia="Times New Roman" w:hAnsi="Times New Roman" w:cs="Times New Roman"/>
          <w:color w:val="000000" w:themeColor="text1"/>
          <w:sz w:val="22"/>
          <w:lang w:eastAsia="cs-CZ"/>
        </w:rPr>
        <w:t>účet: </w:t>
      </w:r>
      <w:r w:rsidR="00834EAC">
        <w:rPr>
          <w:rFonts w:ascii="Times New Roman" w:eastAsia="Times New Roman" w:hAnsi="Times New Roman" w:cs="Times New Roman"/>
          <w:color w:val="000000" w:themeColor="text1"/>
          <w:sz w:val="22"/>
          <w:lang w:eastAsia="cs-CZ"/>
        </w:rPr>
        <w:t>27-8607360287/0100</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787E51DF"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834EAC">
        <w:rPr>
          <w:rFonts w:ascii="Times New Roman" w:eastAsia="Times New Roman" w:hAnsi="Times New Roman" w:cs="Times New Roman"/>
          <w:sz w:val="22"/>
          <w:lang w:eastAsia="cs-CZ"/>
        </w:rPr>
        <w:t>46097.6.1.24406.1</w:t>
      </w:r>
      <w:r w:rsidRPr="00470022">
        <w:rPr>
          <w:rFonts w:ascii="Times New Roman" w:eastAsia="Times New Roman" w:hAnsi="Times New Roman" w:cs="Times New Roman"/>
          <w:sz w:val="22"/>
          <w:lang w:eastAsia="cs-CZ"/>
        </w:rPr>
        <w:t xml:space="preserve">                                                                 V Praze dne:</w:t>
      </w:r>
      <w:r w:rsidR="00834EAC">
        <w:rPr>
          <w:rFonts w:ascii="Times New Roman" w:eastAsia="Times New Roman" w:hAnsi="Times New Roman" w:cs="Times New Roman"/>
          <w:sz w:val="22"/>
          <w:lang w:eastAsia="cs-CZ"/>
        </w:rPr>
        <w:t xml:space="preserve"> 26.5.2023</w:t>
      </w:r>
      <w:r w:rsidRPr="00470022">
        <w:rPr>
          <w:rFonts w:ascii="Times New Roman" w:eastAsia="Times New Roman" w:hAnsi="Times New Roman" w:cs="Times New Roman"/>
          <w:sz w:val="22"/>
          <w:lang w:eastAsia="cs-CZ"/>
        </w:rPr>
        <w:t> </w:t>
      </w:r>
    </w:p>
    <w:p w14:paraId="06A04F56" w14:textId="23B51EF2" w:rsidR="00D926E3" w:rsidRPr="00281C77" w:rsidRDefault="00281C77"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Objednávka</w:t>
      </w:r>
      <w:r w:rsidR="00D926E3" w:rsidRPr="00470022">
        <w:rPr>
          <w:rFonts w:ascii="Times New Roman" w:eastAsia="Times New Roman" w:hAnsi="Times New Roman" w:cs="Times New Roman"/>
          <w:sz w:val="22"/>
          <w:lang w:eastAsia="cs-CZ"/>
        </w:rPr>
        <w:t>                                                                                                             </w:t>
      </w:r>
      <w:r w:rsidR="00D926E3" w:rsidRPr="00470022">
        <w:rPr>
          <w:rFonts w:ascii="Times New Roman" w:eastAsia="Times New Roman" w:hAnsi="Times New Roman" w:cs="Times New Roman"/>
          <w:sz w:val="22"/>
          <w:u w:val="single"/>
          <w:lang w:eastAsia="cs-CZ"/>
        </w:rPr>
        <w:t xml:space="preserve"> </w:t>
      </w:r>
    </w:p>
    <w:p w14:paraId="4F105675" w14:textId="3C571768"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u Vás objednáváme </w:t>
      </w:r>
      <w:r w:rsidR="00834EAC" w:rsidRPr="00834EAC">
        <w:rPr>
          <w:rFonts w:ascii="Times New Roman" w:hAnsi="Times New Roman" w:cs="Times New Roman"/>
          <w:b/>
          <w:bCs/>
          <w:sz w:val="22"/>
          <w:shd w:val="clear" w:color="auto" w:fill="FFFFFF"/>
        </w:rPr>
        <w:t>Posouzení protipovodňových opatření pro akci „Multifunkční stavba, Braník Praha 4“</w:t>
      </w:r>
      <w:r w:rsidR="00834EAC">
        <w:rPr>
          <w:rFonts w:ascii="Times New Roman" w:hAnsi="Times New Roman" w:cs="Times New Roman"/>
          <w:sz w:val="22"/>
          <w:shd w:val="clear" w:color="auto" w:fill="FFFFFF"/>
        </w:rPr>
        <w:t>.</w:t>
      </w:r>
      <w:r w:rsidRPr="00470022">
        <w:rPr>
          <w:rFonts w:ascii="Times New Roman" w:hAnsi="Times New Roman" w:cs="Times New Roman"/>
          <w:sz w:val="22"/>
          <w:shd w:val="clear" w:color="auto" w:fill="FFFFFF"/>
        </w:rPr>
        <w:tab/>
      </w:r>
    </w:p>
    <w:p w14:paraId="40D19388" w14:textId="126C5F70"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22ADC8E" w:rsidR="00D926E3" w:rsidRPr="00281C77" w:rsidRDefault="00470022" w:rsidP="00281C77">
      <w:pPr>
        <w:pStyle w:val="Odstavecseseznamem"/>
        <w:numPr>
          <w:ilvl w:val="0"/>
          <w:numId w:val="8"/>
        </w:numPr>
        <w:ind w:left="284"/>
        <w:rPr>
          <w:rFonts w:eastAsiaTheme="minorEastAsia"/>
          <w:sz w:val="22"/>
        </w:rPr>
      </w:pPr>
      <w:r w:rsidRPr="00281C77">
        <w:rPr>
          <w:sz w:val="22"/>
        </w:rPr>
        <w:br w:type="page"/>
      </w:r>
      <w:r w:rsidR="00D926E3" w:rsidRPr="00281C77">
        <w:rPr>
          <w:sz w:val="22"/>
          <w:u w:val="single"/>
        </w:rPr>
        <w:lastRenderedPageBreak/>
        <w:t>Předmět plnění</w:t>
      </w:r>
      <w:r w:rsidR="00D926E3" w:rsidRPr="00281C77">
        <w:rPr>
          <w:sz w:val="22"/>
        </w:rPr>
        <w:t>:</w:t>
      </w:r>
    </w:p>
    <w:p w14:paraId="70B5214D" w14:textId="142F6AAA" w:rsidR="00D926E3" w:rsidRPr="00470022" w:rsidRDefault="002455C6" w:rsidP="00470022">
      <w:pPr>
        <w:ind w:left="284" w:right="-6"/>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 xml:space="preserve">Předmětem této Objednávky je závazek Dodavatele realizovat pro Objednatele </w:t>
      </w:r>
      <w:r w:rsidR="005570A3" w:rsidRPr="00834EAC">
        <w:rPr>
          <w:rFonts w:ascii="Times New Roman" w:hAnsi="Times New Roman" w:cs="Times New Roman"/>
          <w:b/>
          <w:bCs/>
          <w:sz w:val="22"/>
          <w:shd w:val="clear" w:color="auto" w:fill="FFFFFF"/>
        </w:rPr>
        <w:t>Posouzení protipovodňových opatření pro akci „Multifunkční stavba, Braník Praha 4“</w:t>
      </w:r>
      <w:r w:rsidR="005570A3">
        <w:rPr>
          <w:rFonts w:ascii="Times New Roman" w:hAnsi="Times New Roman" w:cs="Times New Roman"/>
          <w:sz w:val="22"/>
          <w:shd w:val="clear" w:color="auto" w:fill="FFFFFF"/>
        </w:rPr>
        <w:t xml:space="preserve"> </w:t>
      </w:r>
      <w:r w:rsidRPr="00470022">
        <w:rPr>
          <w:rFonts w:ascii="Times New Roman" w:hAnsi="Times New Roman" w:cs="Times New Roman"/>
          <w:sz w:val="22"/>
          <w:shd w:val="clear" w:color="auto" w:fill="FFFFFF"/>
        </w:rPr>
        <w:t xml:space="preserve"> </w:t>
      </w:r>
      <w:r w:rsidR="00281C77">
        <w:rPr>
          <w:rFonts w:ascii="Times New Roman" w:hAnsi="Times New Roman" w:cs="Times New Roman"/>
          <w:sz w:val="22"/>
          <w:shd w:val="clear" w:color="auto" w:fill="FFFFFF"/>
        </w:rPr>
        <w:t xml:space="preserve">na pozemcích </w:t>
      </w:r>
      <w:r w:rsidR="00992CE3">
        <w:rPr>
          <w:rFonts w:ascii="Times New Roman" w:hAnsi="Times New Roman" w:cs="Times New Roman"/>
          <w:sz w:val="22"/>
          <w:shd w:val="clear" w:color="auto" w:fill="FFFFFF"/>
        </w:rPr>
        <w:t xml:space="preserve">dle </w:t>
      </w:r>
      <w:r w:rsidR="00992CE3" w:rsidRPr="00281C77">
        <w:rPr>
          <w:rFonts w:ascii="Times New Roman" w:hAnsi="Times New Roman" w:cs="Times New Roman"/>
          <w:sz w:val="22"/>
          <w:u w:val="single"/>
          <w:shd w:val="clear" w:color="auto" w:fill="FFFFFF"/>
        </w:rPr>
        <w:t>Přílohy č. 1</w:t>
      </w:r>
      <w:r w:rsidR="00992CE3">
        <w:rPr>
          <w:rFonts w:ascii="Times New Roman" w:hAnsi="Times New Roman" w:cs="Times New Roman"/>
          <w:sz w:val="22"/>
          <w:shd w:val="clear" w:color="auto" w:fill="FFFFFF"/>
        </w:rPr>
        <w:t xml:space="preserve"> a </w:t>
      </w:r>
      <w:r w:rsidRPr="00470022">
        <w:rPr>
          <w:rFonts w:ascii="Times New Roman" w:hAnsi="Times New Roman" w:cs="Times New Roman"/>
          <w:sz w:val="22"/>
          <w:shd w:val="clear" w:color="auto" w:fill="FFFFFF"/>
        </w:rPr>
        <w:t>na Základě Zadání uvedeného v </w:t>
      </w:r>
      <w:r w:rsidR="00992CE3" w:rsidRPr="00992CE3">
        <w:rPr>
          <w:rFonts w:ascii="Times New Roman" w:hAnsi="Times New Roman" w:cs="Times New Roman"/>
          <w:sz w:val="22"/>
          <w:u w:val="single"/>
          <w:shd w:val="clear" w:color="auto" w:fill="FFFFFF"/>
        </w:rPr>
        <w:t>P</w:t>
      </w:r>
      <w:r w:rsidRPr="00992CE3">
        <w:rPr>
          <w:rFonts w:ascii="Times New Roman" w:hAnsi="Times New Roman" w:cs="Times New Roman"/>
          <w:sz w:val="22"/>
          <w:u w:val="single"/>
          <w:shd w:val="clear" w:color="auto" w:fill="FFFFFF"/>
        </w:rPr>
        <w:t xml:space="preserve">říloze č. </w:t>
      </w:r>
      <w:r w:rsidR="00992CE3" w:rsidRPr="00992CE3">
        <w:rPr>
          <w:rFonts w:ascii="Times New Roman" w:hAnsi="Times New Roman" w:cs="Times New Roman"/>
          <w:sz w:val="22"/>
          <w:u w:val="single"/>
          <w:shd w:val="clear" w:color="auto" w:fill="FFFFFF"/>
        </w:rPr>
        <w:t>2</w:t>
      </w:r>
      <w:r w:rsidR="00992CE3" w:rsidRPr="00992CE3">
        <w:rPr>
          <w:rFonts w:ascii="Times New Roman" w:hAnsi="Times New Roman" w:cs="Times New Roman"/>
          <w:sz w:val="22"/>
          <w:shd w:val="clear" w:color="auto" w:fill="FFFFFF"/>
        </w:rPr>
        <w:t xml:space="preserve"> </w:t>
      </w:r>
      <w:r w:rsidRPr="00470022">
        <w:rPr>
          <w:rFonts w:ascii="Times New Roman" w:hAnsi="Times New Roman" w:cs="Times New Roman"/>
          <w:sz w:val="22"/>
          <w:shd w:val="clear" w:color="auto" w:fill="FFFFFF"/>
        </w:rPr>
        <w:t>této Objednávky, a to dle jeho požadavků a v termínech jim požadovaných.</w:t>
      </w:r>
    </w:p>
    <w:p w14:paraId="096ED681" w14:textId="2128CFC3" w:rsidR="00D926E3" w:rsidRPr="005570A3" w:rsidRDefault="00D926E3" w:rsidP="00470022">
      <w:pPr>
        <w:ind w:left="284"/>
        <w:textAlignment w:val="baseline"/>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Výstupem bude:</w:t>
      </w:r>
      <w:r w:rsidR="005570A3">
        <w:rPr>
          <w:rFonts w:ascii="Times New Roman" w:hAnsi="Times New Roman" w:cs="Times New Roman"/>
          <w:sz w:val="22"/>
          <w:shd w:val="clear" w:color="auto" w:fill="FFFFFF"/>
        </w:rPr>
        <w:t xml:space="preserve"> 2x tištěné Posouzení protipovodňových opatření </w:t>
      </w:r>
      <w:r w:rsidR="005570A3" w:rsidRPr="005570A3">
        <w:rPr>
          <w:rFonts w:ascii="Times New Roman" w:hAnsi="Times New Roman" w:cs="Times New Roman"/>
          <w:sz w:val="22"/>
          <w:shd w:val="clear" w:color="auto" w:fill="FFFFFF"/>
        </w:rPr>
        <w:t>pro akci „Multifunkční stavba, Braník Praha 4</w:t>
      </w:r>
      <w:r w:rsidR="005570A3">
        <w:rPr>
          <w:rFonts w:ascii="Times New Roman" w:hAnsi="Times New Roman" w:cs="Times New Roman"/>
          <w:sz w:val="22"/>
          <w:shd w:val="clear" w:color="auto" w:fill="FFFFFF"/>
        </w:rPr>
        <w:t xml:space="preserve">“ a také digitálně ve formátu </w:t>
      </w:r>
      <w:proofErr w:type="spellStart"/>
      <w:r w:rsidR="005570A3">
        <w:rPr>
          <w:rFonts w:ascii="Times New Roman" w:hAnsi="Times New Roman" w:cs="Times New Roman"/>
          <w:sz w:val="22"/>
          <w:shd w:val="clear" w:color="auto" w:fill="FFFFFF"/>
        </w:rPr>
        <w:t>pdf</w:t>
      </w:r>
      <w:proofErr w:type="spellEnd"/>
      <w:r w:rsidR="005570A3">
        <w:rPr>
          <w:rFonts w:ascii="Times New Roman" w:hAnsi="Times New Roman" w:cs="Times New Roman"/>
          <w:sz w:val="22"/>
          <w:shd w:val="clear" w:color="auto" w:fill="FFFFFF"/>
        </w:rPr>
        <w:t xml:space="preserve">, případně </w:t>
      </w:r>
      <w:proofErr w:type="spellStart"/>
      <w:r w:rsidR="005570A3">
        <w:rPr>
          <w:rFonts w:ascii="Times New Roman" w:hAnsi="Times New Roman" w:cs="Times New Roman"/>
          <w:sz w:val="22"/>
          <w:shd w:val="clear" w:color="auto" w:fill="FFFFFF"/>
        </w:rPr>
        <w:t>dwg</w:t>
      </w:r>
      <w:proofErr w:type="spellEnd"/>
      <w:r w:rsidR="005570A3">
        <w:rPr>
          <w:rFonts w:ascii="Times New Roman" w:hAnsi="Times New Roman" w:cs="Times New Roman"/>
          <w:sz w:val="22"/>
          <w:shd w:val="clear" w:color="auto" w:fill="FFFFFF"/>
        </w:rPr>
        <w:t>.</w:t>
      </w:r>
    </w:p>
    <w:p w14:paraId="018FFB54" w14:textId="65572E20" w:rsidR="00281C77" w:rsidRPr="00470022" w:rsidRDefault="00281C77" w:rsidP="00470022">
      <w:pPr>
        <w:ind w:left="284"/>
        <w:textAlignment w:val="baseline"/>
        <w:rPr>
          <w:rFonts w:ascii="Times New Roman" w:eastAsia="Times New Roman" w:hAnsi="Times New Roman" w:cs="Times New Roman"/>
          <w:sz w:val="22"/>
          <w:lang w:eastAsia="cs-CZ"/>
        </w:rPr>
      </w:pPr>
      <w:r>
        <w:rPr>
          <w:rFonts w:ascii="Times New Roman" w:hAnsi="Times New Roman" w:cs="Times New Roman"/>
          <w:sz w:val="22"/>
          <w:shd w:val="clear" w:color="auto" w:fill="FFFFFF"/>
        </w:rPr>
        <w:t>Objednatel předá Dodavateli podklady uvedené v </w:t>
      </w:r>
      <w:r w:rsidRPr="00281C77">
        <w:rPr>
          <w:rFonts w:ascii="Times New Roman" w:hAnsi="Times New Roman" w:cs="Times New Roman"/>
          <w:sz w:val="22"/>
          <w:u w:val="single"/>
          <w:shd w:val="clear" w:color="auto" w:fill="FFFFFF"/>
        </w:rPr>
        <w:t>Příloze č. 5</w:t>
      </w:r>
      <w:r>
        <w:rPr>
          <w:rFonts w:ascii="Times New Roman" w:hAnsi="Times New Roman" w:cs="Times New Roman"/>
          <w:sz w:val="22"/>
          <w:shd w:val="clear" w:color="auto" w:fill="FFFFFF"/>
        </w:rPr>
        <w:t xml:space="preserve"> do 3 dnů od podpisu této Objednávky.</w:t>
      </w:r>
    </w:p>
    <w:p w14:paraId="6D742461" w14:textId="06322D39"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1BA4822B" w14:textId="1E711DAC" w:rsidR="00D926E3" w:rsidRPr="00470022" w:rsidRDefault="00834EAC" w:rsidP="00470022">
      <w:pPr>
        <w:tabs>
          <w:tab w:val="num" w:pos="284"/>
        </w:tabs>
        <w:ind w:firstLine="284"/>
        <w:textAlignment w:val="baseline"/>
        <w:rPr>
          <w:rFonts w:ascii="Times New Roman" w:eastAsia="Times New Roman" w:hAnsi="Times New Roman" w:cs="Times New Roman"/>
          <w:sz w:val="22"/>
          <w:lang w:eastAsia="cs-CZ"/>
        </w:rPr>
      </w:pPr>
      <w:r>
        <w:rPr>
          <w:rFonts w:ascii="Times New Roman" w:hAnsi="Times New Roman" w:cs="Times New Roman"/>
          <w:sz w:val="22"/>
          <w:shd w:val="clear" w:color="auto" w:fill="FFFFFF"/>
        </w:rPr>
        <w:t>195 000</w:t>
      </w:r>
      <w:r w:rsidR="00D926E3" w:rsidRPr="00470022">
        <w:rPr>
          <w:rFonts w:ascii="Times New Roman" w:hAnsi="Times New Roman" w:cs="Times New Roman"/>
          <w:sz w:val="22"/>
          <w:shd w:val="clear" w:color="auto" w:fill="FFFFFF"/>
        </w:rPr>
        <w:t xml:space="preserve">,- Kč </w:t>
      </w:r>
      <w:r w:rsidR="00D926E3" w:rsidRPr="00470022">
        <w:rPr>
          <w:rFonts w:ascii="Times New Roman" w:eastAsia="Times New Roman" w:hAnsi="Times New Roman" w:cs="Times New Roman"/>
          <w:sz w:val="22"/>
          <w:lang w:eastAsia="cs-CZ"/>
        </w:rPr>
        <w:t>(bez DPH)</w:t>
      </w:r>
      <w:r>
        <w:rPr>
          <w:rFonts w:ascii="Times New Roman" w:eastAsia="Times New Roman" w:hAnsi="Times New Roman" w:cs="Times New Roman"/>
          <w:sz w:val="22"/>
          <w:lang w:eastAsia="cs-CZ"/>
        </w:rPr>
        <w:tab/>
      </w:r>
      <w:r>
        <w:rPr>
          <w:rFonts w:ascii="Times New Roman" w:eastAsia="Times New Roman" w:hAnsi="Times New Roman" w:cs="Times New Roman"/>
          <w:sz w:val="22"/>
          <w:lang w:eastAsia="cs-CZ"/>
        </w:rPr>
        <w:tab/>
        <w:t>235 950,- Kč s DPH</w:t>
      </w:r>
    </w:p>
    <w:p w14:paraId="76E3BB2D" w14:textId="54B1F297" w:rsidR="00470022" w:rsidRPr="00470022" w:rsidRDefault="00D926E3" w:rsidP="00470022">
      <w:pPr>
        <w:tabs>
          <w:tab w:val="left" w:pos="284"/>
        </w:tabs>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2937FE3A" w:rsidR="00470022"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w:t>
      </w:r>
      <w:r w:rsidRPr="005570A3">
        <w:rPr>
          <w:rFonts w:ascii="Times New Roman" w:eastAsia="Times New Roman" w:hAnsi="Times New Roman" w:cs="Times New Roman"/>
          <w:sz w:val="22"/>
          <w:highlight w:val="yellow"/>
          <w:lang w:eastAsia="cs-CZ"/>
        </w:rPr>
        <w:t xml:space="preserve">na </w:t>
      </w:r>
      <w:r w:rsidR="005570A3" w:rsidRPr="005570A3">
        <w:rPr>
          <w:rFonts w:ascii="Times New Roman" w:eastAsia="Times New Roman" w:hAnsi="Times New Roman" w:cs="Times New Roman"/>
          <w:sz w:val="22"/>
          <w:highlight w:val="yellow"/>
          <w:lang w:eastAsia="cs-CZ"/>
        </w:rPr>
        <w:t>dva měsíce, do 31.7.2023</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0E1A5000" w14:textId="5C0F6834" w:rsidR="00D926E3" w:rsidRPr="00281C77"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r w:rsidR="00281C77">
        <w:rPr>
          <w:sz w:val="22"/>
          <w:szCs w:val="22"/>
        </w:rPr>
        <w:br/>
      </w: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470022">
      <w:pPr>
        <w:pStyle w:val="Odstavecseseznamem"/>
        <w:numPr>
          <w:ilvl w:val="0"/>
          <w:numId w:val="4"/>
        </w:numPr>
        <w:contextualSpacing/>
        <w:textAlignment w:val="baseline"/>
        <w:rPr>
          <w:rFonts w:eastAsiaTheme="minorEastAsia"/>
        </w:rPr>
      </w:pPr>
      <w:r w:rsidRPr="00470022">
        <w:rPr>
          <w:rFonts w:eastAsiaTheme="minorEastAsia"/>
          <w:sz w:val="22"/>
          <w:szCs w:val="22"/>
        </w:rPr>
        <w:t xml:space="preserve">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w:t>
      </w:r>
      <w:r w:rsidRPr="00470022">
        <w:rPr>
          <w:rFonts w:eastAsiaTheme="minorEastAsia"/>
          <w:sz w:val="22"/>
          <w:szCs w:val="22"/>
        </w:rPr>
        <w:lastRenderedPageBreak/>
        <w:t>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73458CB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Smluvní strany prohlašují, že skutečnosti uvedené v této objednávce nepovažují za obchodní tajemství ve smyslu § 504 občanského zákoníku </w:t>
      </w:r>
      <w:r w:rsidRPr="00470022">
        <w:rPr>
          <w:sz w:val="22"/>
          <w:szCs w:val="22"/>
        </w:rPr>
        <w:br/>
        <w:t>a udělují svolení k jejich užití a zveřejnění bez stanovení jakýchkoliv dalších podmínek. </w:t>
      </w:r>
    </w:p>
    <w:p w14:paraId="0D9555D1" w14:textId="23254853"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5B33F5"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0" w:name="_Hlk74120074"/>
      <w:r w:rsidRPr="00470022">
        <w:rPr>
          <w:sz w:val="22"/>
          <w:szCs w:val="22"/>
        </w:rPr>
        <w:t>osobu bez předchozího písemného souhlasu Objednatele, a to ani částečně.</w:t>
      </w:r>
    </w:p>
    <w:p w14:paraId="4E439D3B" w14:textId="08BFF051" w:rsidR="004C061D" w:rsidRPr="00470022" w:rsidRDefault="004C061D" w:rsidP="005B33F5">
      <w:pPr>
        <w:pStyle w:val="Odstavecseseznamem"/>
        <w:numPr>
          <w:ilvl w:val="0"/>
          <w:numId w:val="4"/>
        </w:numPr>
        <w:contextualSpacing/>
        <w:textAlignment w:val="baseline"/>
        <w:rPr>
          <w:sz w:val="22"/>
          <w:szCs w:val="22"/>
        </w:rPr>
      </w:pPr>
      <w:bookmarkStart w:id="1" w:name="_Hlk74120101"/>
      <w:bookmarkStart w:id="2" w:name="_Hlk74120373"/>
      <w:bookmarkStart w:id="3" w:name="_Hlk74119994"/>
      <w:r w:rsidRPr="00470022">
        <w:rPr>
          <w:sz w:val="22"/>
          <w:szCs w:val="22"/>
        </w:rPr>
        <w:t xml:space="preserve">Veškerá převoditelná práva duševního vlastnictví k dílům a pracovním výsledkům vytvořeným Dodavatelem, zaměstnancem Dodavatele či spolupracovníkem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1"/>
      <w:bookmarkEnd w:id="2"/>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470022">
      <w:pPr>
        <w:pStyle w:val="Odstavecseseznamem"/>
        <w:ind w:left="720"/>
        <w:contextualSpacing/>
        <w:textAlignment w:val="baseline"/>
        <w:rPr>
          <w:sz w:val="22"/>
          <w:szCs w:val="22"/>
        </w:rPr>
      </w:pPr>
    </w:p>
    <w:p w14:paraId="10468C17" w14:textId="486EBACF" w:rsidR="00083EF1" w:rsidRPr="00470022" w:rsidRDefault="008A6D18" w:rsidP="00470022">
      <w:pPr>
        <w:pStyle w:val="Odstavecseseznamem"/>
        <w:ind w:left="720"/>
        <w:contextualSpacing/>
        <w:textAlignment w:val="baseline"/>
        <w:rPr>
          <w:sz w:val="22"/>
          <w:szCs w:val="22"/>
        </w:rPr>
      </w:pPr>
      <w:bookmarkStart w:id="4" w:name="_Hlk74120417"/>
      <w:bookmarkEnd w:id="0"/>
      <w:r w:rsidRPr="00470022">
        <w:rPr>
          <w:sz w:val="22"/>
          <w:szCs w:val="22"/>
        </w:rPr>
        <w:t xml:space="preserve">Dodavatel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834EAC">
        <w:rPr>
          <w:sz w:val="22"/>
          <w:szCs w:val="22"/>
        </w:rPr>
        <w:t xml:space="preserve"> </w:t>
      </w:r>
      <w:r w:rsidR="00834EAC">
        <w:rPr>
          <w:sz w:val="22"/>
        </w:rPr>
        <w:t>46097.6.1.24406.1</w:t>
      </w:r>
      <w:r w:rsidRPr="00470022">
        <w:rPr>
          <w:sz w:val="22"/>
          <w:szCs w:val="22"/>
        </w:rPr>
        <w:t xml:space="preserve"> vytvořené Dodavatelem 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w:t>
      </w:r>
      <w:r w:rsidR="0076628F" w:rsidRPr="00470022">
        <w:rPr>
          <w:sz w:val="22"/>
          <w:szCs w:val="22"/>
        </w:rPr>
        <w:t xml:space="preserve"> k převedení licence na třetí osobu,</w:t>
      </w:r>
      <w:r w:rsidRPr="00470022">
        <w:rPr>
          <w:sz w:val="22"/>
          <w:szCs w:val="22"/>
        </w:rPr>
        <w:t xml:space="preserve"> a to včetně svolení autorská díla měnit, rozpracované Dílo nebo jeho část dokončit, spojovat Dílo s jinými díly a zařazovat je do děl souborných („</w:t>
      </w:r>
      <w:r w:rsidRPr="00470022">
        <w:rPr>
          <w:b/>
          <w:bCs/>
          <w:sz w:val="22"/>
          <w:szCs w:val="22"/>
        </w:rPr>
        <w:t>Výhradní licence</w:t>
      </w:r>
      <w:r w:rsidRPr="00470022">
        <w:rPr>
          <w:sz w:val="22"/>
          <w:szCs w:val="22"/>
        </w:rPr>
        <w:t>“). Odměna za Výhradní licenci je zahrnuta v ceně za plnění uvedené veřejné zakázky</w:t>
      </w:r>
      <w:r w:rsidR="00083EF1" w:rsidRPr="00470022">
        <w:rPr>
          <w:sz w:val="22"/>
          <w:szCs w:val="22"/>
        </w:rPr>
        <w:t xml:space="preserve"> specifikované v bodě 2 této objednávky.</w:t>
      </w:r>
    </w:p>
    <w:p w14:paraId="71B59BBF" w14:textId="0F677D82" w:rsidR="00490CFC" w:rsidRPr="00470022" w:rsidRDefault="008A6D18" w:rsidP="00470022">
      <w:pPr>
        <w:pStyle w:val="Odstavecseseznamem"/>
        <w:ind w:left="720"/>
        <w:contextualSpacing/>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ED7AE2" w:rsidRPr="00470022">
        <w:rPr>
          <w:sz w:val="22"/>
          <w:szCs w:val="22"/>
        </w:rPr>
        <w:t xml:space="preserve">Licence udělené </w:t>
      </w:r>
      <w:r w:rsidR="00073861" w:rsidRPr="00470022">
        <w:rPr>
          <w:sz w:val="22"/>
          <w:szCs w:val="22"/>
        </w:rPr>
        <w:t>Objednateli.</w:t>
      </w:r>
    </w:p>
    <w:p w14:paraId="6E4E76F6" w14:textId="77777777" w:rsidR="007E33A6" w:rsidRPr="00470022" w:rsidRDefault="007E33A6" w:rsidP="00470022">
      <w:pPr>
        <w:pStyle w:val="Odstavecseseznamem"/>
        <w:ind w:left="720"/>
        <w:contextualSpacing/>
        <w:textAlignment w:val="baseline"/>
        <w:rPr>
          <w:sz w:val="22"/>
          <w:szCs w:val="22"/>
        </w:rPr>
      </w:pPr>
    </w:p>
    <w:p w14:paraId="01A63B46" w14:textId="1B64692C" w:rsidR="00490CFC" w:rsidRPr="00470022" w:rsidRDefault="00E60A5C" w:rsidP="00470022">
      <w:pPr>
        <w:pStyle w:val="Odstavecseseznamem"/>
        <w:ind w:left="720"/>
        <w:contextualSpacing/>
        <w:textAlignment w:val="baseline"/>
        <w:rPr>
          <w:sz w:val="22"/>
          <w:szCs w:val="22"/>
        </w:rPr>
      </w:pPr>
      <w:bookmarkStart w:id="5" w:name="_Hlk74120613"/>
      <w:bookmarkEnd w:id="4"/>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470022">
      <w:pPr>
        <w:pStyle w:val="Odstavecseseznamem"/>
        <w:ind w:left="720"/>
        <w:contextualSpacing/>
        <w:textAlignment w:val="baseline"/>
        <w:rPr>
          <w:sz w:val="22"/>
          <w:szCs w:val="22"/>
        </w:rPr>
      </w:pPr>
    </w:p>
    <w:p w14:paraId="7D0F7AC7" w14:textId="11C74909" w:rsidR="007E33A6" w:rsidRPr="00470022" w:rsidRDefault="007E33A6" w:rsidP="00470022">
      <w:pPr>
        <w:pStyle w:val="Odstavecseseznamem"/>
        <w:ind w:left="720"/>
        <w:contextualSpacing/>
        <w:textAlignment w:val="baseline"/>
        <w:rPr>
          <w:sz w:val="22"/>
          <w:szCs w:val="22"/>
        </w:rPr>
      </w:pPr>
      <w:r w:rsidRPr="00470022">
        <w:rPr>
          <w:sz w:val="22"/>
          <w:szCs w:val="22"/>
        </w:rPr>
        <w:lastRenderedPageBreak/>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xml:space="preserv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55E622D9" w14:textId="77777777" w:rsidR="007E33A6" w:rsidRPr="00470022" w:rsidRDefault="007E33A6" w:rsidP="00470022">
      <w:pPr>
        <w:pStyle w:val="Odstavecseseznamem"/>
        <w:ind w:left="720"/>
        <w:contextualSpacing/>
        <w:textAlignment w:val="baseline"/>
        <w:rPr>
          <w:sz w:val="22"/>
          <w:szCs w:val="22"/>
        </w:rPr>
      </w:pPr>
    </w:p>
    <w:p w14:paraId="2D3724EE" w14:textId="4D9AE230" w:rsidR="007E33A6" w:rsidRPr="00470022" w:rsidRDefault="007E33A6" w:rsidP="00470022">
      <w:pPr>
        <w:pStyle w:val="Odstavecseseznamem"/>
        <w:ind w:left="720"/>
        <w:contextualSpacing/>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470022">
      <w:pPr>
        <w:pStyle w:val="Odstavecseseznamem"/>
        <w:ind w:left="720"/>
        <w:contextualSpacing/>
        <w:textAlignment w:val="baseline"/>
        <w:rPr>
          <w:sz w:val="22"/>
          <w:szCs w:val="22"/>
        </w:rPr>
      </w:pPr>
    </w:p>
    <w:p w14:paraId="4435AB38" w14:textId="32D53B18" w:rsidR="00657C1C" w:rsidRPr="00470022" w:rsidRDefault="00691304" w:rsidP="00470022">
      <w:pPr>
        <w:pStyle w:val="Odstavecseseznamem"/>
        <w:ind w:left="720"/>
        <w:contextualSpacing/>
        <w:textAlignment w:val="baseline"/>
        <w:rPr>
          <w:sz w:val="22"/>
          <w:szCs w:val="22"/>
        </w:rPr>
      </w:pPr>
      <w:bookmarkStart w:id="6" w:name="_Hlk74120704"/>
      <w:bookmarkEnd w:id="5"/>
      <w:r w:rsidRPr="00470022">
        <w:rPr>
          <w:sz w:val="22"/>
          <w:szCs w:val="22"/>
        </w:rPr>
        <w:t>Dodavatel výslovně prohlašuje, že:</w:t>
      </w:r>
    </w:p>
    <w:p w14:paraId="7BA560DA" w14:textId="728688CF"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7"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 xml:space="preserve">zaměstnanců a spolupracovníků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7"/>
    <w:p w14:paraId="18035001" w14:textId="147ED843"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470022">
      <w:pPr>
        <w:pStyle w:val="Odstavecseseznamem"/>
        <w:ind w:left="360"/>
        <w:contextualSpacing/>
        <w:textAlignment w:val="baseline"/>
        <w:rPr>
          <w:sz w:val="22"/>
          <w:szCs w:val="22"/>
        </w:rPr>
      </w:pPr>
    </w:p>
    <w:p w14:paraId="21224BA7" w14:textId="226A31DE" w:rsidR="006967BA" w:rsidRPr="00470022" w:rsidRDefault="006967BA" w:rsidP="00470022">
      <w:pPr>
        <w:pStyle w:val="Odstavecseseznamem"/>
        <w:contextualSpacing/>
        <w:textAlignment w:val="baseline"/>
        <w:rPr>
          <w:sz w:val="22"/>
          <w:szCs w:val="22"/>
        </w:rPr>
      </w:pPr>
      <w:r w:rsidRPr="00470022">
        <w:rPr>
          <w:sz w:val="22"/>
          <w:szCs w:val="22"/>
        </w:rPr>
        <w:t>Dodavatel dále prohlašuje, že autor Díla výslovně udělil dodavateli bezpodmínečný souhlas k</w:t>
      </w:r>
      <w:r w:rsidR="00853D3B" w:rsidRPr="00470022">
        <w:rPr>
          <w:sz w:val="22"/>
          <w:szCs w:val="22"/>
        </w:rPr>
        <w:t>e</w:t>
      </w:r>
      <w:r w:rsidRPr="00470022">
        <w:rPr>
          <w:sz w:val="22"/>
          <w:szCs w:val="22"/>
        </w:rPr>
        <w:t xml:space="preserve"> zveřejnění díla, jeho úpravám, změnám,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odavateli k postoupení shora uvedených práv třetí osobě</w:t>
      </w:r>
      <w:bookmarkEnd w:id="3"/>
      <w:r w:rsidRPr="00470022">
        <w:rPr>
          <w:sz w:val="22"/>
          <w:szCs w:val="22"/>
        </w:rPr>
        <w:t>.</w:t>
      </w:r>
    </w:p>
    <w:bookmarkEnd w:id="6"/>
    <w:p w14:paraId="09AAF7B2" w14:textId="67BB24A1"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4FFC921C" w14:textId="6125A95F" w:rsidR="00992CE3" w:rsidRPr="00992CE3" w:rsidRDefault="00992CE3" w:rsidP="00992CE3">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tvoří:</w:t>
      </w:r>
    </w:p>
    <w:p w14:paraId="277E272C" w14:textId="508DFB8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w:t>
      </w:r>
      <w:r w:rsidRPr="00281C77">
        <w:rPr>
          <w:rFonts w:ascii="Times New Roman" w:hAnsi="Times New Roman"/>
          <w:sz w:val="22"/>
          <w:szCs w:val="22"/>
        </w:rPr>
        <w:t>Dotčené území – seznam řešených pozemků a jejich zákres do katastrální mapy</w:t>
      </w:r>
    </w:p>
    <w:p w14:paraId="2DB18526" w14:textId="762A6DA4"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2</w:t>
      </w:r>
      <w:r w:rsidRPr="004953A3">
        <w:rPr>
          <w:rFonts w:ascii="Times New Roman" w:hAnsi="Times New Roman"/>
          <w:sz w:val="22"/>
          <w:szCs w:val="22"/>
        </w:rPr>
        <w:t xml:space="preserve"> – Zadání</w:t>
      </w:r>
    </w:p>
    <w:p w14:paraId="0E4DC532" w14:textId="371379D7" w:rsidR="00992CE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3</w:t>
      </w:r>
      <w:r w:rsidRPr="004953A3">
        <w:rPr>
          <w:rFonts w:ascii="Times New Roman" w:hAnsi="Times New Roman"/>
          <w:sz w:val="22"/>
          <w:szCs w:val="22"/>
        </w:rPr>
        <w:t xml:space="preserve"> – Akceptační protokol</w:t>
      </w:r>
    </w:p>
    <w:p w14:paraId="0136108A" w14:textId="5DE7C313" w:rsidR="00281C77" w:rsidRPr="004953A3" w:rsidRDefault="00281C77" w:rsidP="00992CE3">
      <w:pPr>
        <w:pStyle w:val="NormalCCSCZ"/>
        <w:tabs>
          <w:tab w:val="left" w:pos="567"/>
        </w:tabs>
        <w:ind w:left="720"/>
        <w:jc w:val="both"/>
        <w:rPr>
          <w:rFonts w:ascii="Times New Roman" w:hAnsi="Times New Roman"/>
          <w:sz w:val="22"/>
          <w:szCs w:val="22"/>
        </w:rPr>
      </w:pPr>
      <w:r>
        <w:rPr>
          <w:rFonts w:ascii="Times New Roman" w:hAnsi="Times New Roman"/>
          <w:sz w:val="22"/>
          <w:szCs w:val="22"/>
          <w:u w:val="single"/>
        </w:rPr>
        <w:t>Příloha č</w:t>
      </w:r>
      <w:r w:rsidRPr="00281C77">
        <w:rPr>
          <w:rFonts w:ascii="Times New Roman" w:hAnsi="Times New Roman"/>
          <w:sz w:val="22"/>
          <w:szCs w:val="22"/>
        </w:rPr>
        <w:t>.</w:t>
      </w:r>
      <w:r>
        <w:rPr>
          <w:rFonts w:ascii="Times New Roman" w:hAnsi="Times New Roman"/>
          <w:sz w:val="22"/>
          <w:szCs w:val="22"/>
        </w:rPr>
        <w:t xml:space="preserve"> 4 – Grafické podklady</w:t>
      </w:r>
      <w:r w:rsidR="00E8583D">
        <w:rPr>
          <w:rFonts w:ascii="Times New Roman" w:hAnsi="Times New Roman"/>
          <w:sz w:val="22"/>
          <w:szCs w:val="22"/>
        </w:rPr>
        <w:t xml:space="preserve"> dle výzvy</w:t>
      </w:r>
    </w:p>
    <w:p w14:paraId="4F2E1FDD" w14:textId="35BE5061" w:rsidR="00D926E3" w:rsidRDefault="00E8583D" w:rsidP="00281C77">
      <w:pPr>
        <w:pStyle w:val="NormalCCSCZ"/>
        <w:tabs>
          <w:tab w:val="left" w:pos="567"/>
        </w:tabs>
        <w:ind w:left="720"/>
        <w:jc w:val="both"/>
        <w:rPr>
          <w:rFonts w:ascii="Times New Roman" w:hAnsi="Times New Roman"/>
          <w:sz w:val="22"/>
          <w:szCs w:val="22"/>
        </w:rPr>
      </w:pPr>
      <w:r w:rsidRPr="00E8583D">
        <w:rPr>
          <w:rFonts w:ascii="Times New Roman" w:hAnsi="Times New Roman"/>
          <w:sz w:val="22"/>
          <w:szCs w:val="22"/>
          <w:u w:val="single"/>
        </w:rPr>
        <w:t>Příloha č. 5</w:t>
      </w:r>
      <w:r>
        <w:rPr>
          <w:rFonts w:ascii="Times New Roman" w:hAnsi="Times New Roman"/>
          <w:sz w:val="22"/>
          <w:szCs w:val="22"/>
        </w:rPr>
        <w:t xml:space="preserve"> – Zásady odpovědného zadávání</w:t>
      </w:r>
    </w:p>
    <w:p w14:paraId="5A92F999" w14:textId="77777777" w:rsidR="005B33F5" w:rsidRDefault="005B33F5" w:rsidP="00281C77">
      <w:pPr>
        <w:pStyle w:val="NormalCCSCZ"/>
        <w:tabs>
          <w:tab w:val="left" w:pos="567"/>
        </w:tabs>
        <w:ind w:left="720"/>
        <w:jc w:val="both"/>
        <w:rPr>
          <w:rFonts w:ascii="Times New Roman" w:hAnsi="Times New Roman"/>
          <w:sz w:val="22"/>
          <w:szCs w:val="22"/>
        </w:rPr>
      </w:pPr>
    </w:p>
    <w:p w14:paraId="43CBB563" w14:textId="77777777" w:rsidR="005B33F5" w:rsidRPr="00281C77" w:rsidRDefault="005B33F5" w:rsidP="00281C77">
      <w:pPr>
        <w:pStyle w:val="NormalCCSCZ"/>
        <w:tabs>
          <w:tab w:val="left" w:pos="567"/>
        </w:tabs>
        <w:ind w:left="720"/>
        <w:jc w:val="both"/>
        <w:rPr>
          <w:rFonts w:ascii="Times New Roman" w:hAnsi="Times New Roman"/>
          <w:sz w:val="22"/>
          <w:szCs w:val="22"/>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4716B164" w:rsidR="00D926E3" w:rsidRPr="00470022" w:rsidRDefault="00834EAC"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 společnosti</w:t>
            </w:r>
          </w:p>
        </w:tc>
        <w:tc>
          <w:tcPr>
            <w:tcW w:w="1651" w:type="pct"/>
            <w:tcBorders>
              <w:top w:val="single" w:sz="4" w:space="0" w:color="auto"/>
              <w:left w:val="single" w:sz="4" w:space="0" w:color="auto"/>
              <w:bottom w:val="single" w:sz="4" w:space="0" w:color="auto"/>
              <w:right w:val="single" w:sz="4" w:space="0" w:color="auto"/>
            </w:tcBorders>
            <w:vAlign w:val="center"/>
          </w:tcPr>
          <w:p w14:paraId="40D9E857" w14:textId="77777777" w:rsidR="00834EAC" w:rsidRDefault="00834EAC" w:rsidP="00470022">
            <w:pPr>
              <w:pStyle w:val="Tabulkatxtobyejn"/>
              <w:keepNext/>
              <w:keepLines/>
              <w:rPr>
                <w:rFonts w:ascii="Times New Roman" w:hAnsi="Times New Roman" w:cs="Times New Roman"/>
                <w:bCs/>
                <w:sz w:val="22"/>
                <w:szCs w:val="22"/>
              </w:rPr>
            </w:pPr>
          </w:p>
          <w:p w14:paraId="2D829281" w14:textId="77777777" w:rsidR="00D926E3" w:rsidRDefault="00834EAC"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Ing. Josef Šebek, MBA</w:t>
            </w:r>
          </w:p>
          <w:p w14:paraId="18A317DB" w14:textId="7410BAC4" w:rsidR="00834EAC" w:rsidRPr="00470022" w:rsidRDefault="00834EAC"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3F1A6E92" w:rsidR="00D926E3" w:rsidRPr="00470022" w:rsidRDefault="00D926E3" w:rsidP="00470022">
            <w:pPr>
              <w:pStyle w:val="Tabulkatxtobyejn"/>
              <w:keepNext/>
              <w:keepLines/>
              <w:rPr>
                <w:rFonts w:ascii="Times New Roman" w:hAnsi="Times New Roman" w:cs="Times New Roman"/>
                <w:sz w:val="22"/>
                <w:szCs w:val="22"/>
              </w:rPr>
            </w:pP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B10048E" w14:textId="77777777" w:rsidR="00834EAC" w:rsidRDefault="00834EAC" w:rsidP="00470022">
            <w:pPr>
              <w:pStyle w:val="Tabulkatxtobyejn"/>
              <w:keepNext/>
              <w:keepLines/>
              <w:rPr>
                <w:rFonts w:ascii="Times New Roman" w:hAnsi="Times New Roman" w:cs="Times New Roman"/>
                <w:bCs/>
                <w:sz w:val="22"/>
                <w:szCs w:val="22"/>
              </w:rPr>
            </w:pPr>
          </w:p>
          <w:p w14:paraId="36748252" w14:textId="77777777" w:rsidR="00D926E3" w:rsidRDefault="00834EAC"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Ing. Petra Vaněčková</w:t>
            </w:r>
          </w:p>
          <w:p w14:paraId="32A6F018" w14:textId="0923BCD6" w:rsidR="00834EAC" w:rsidRPr="00470022" w:rsidRDefault="00834EAC"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497759A4" w:rsidR="00D926E3" w:rsidRPr="00470022" w:rsidRDefault="00834EAC"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11.05.2023</w:t>
            </w:r>
          </w:p>
        </w:tc>
        <w:tc>
          <w:tcPr>
            <w:tcW w:w="1372"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76BFE8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7231B80E" w14:textId="77777777" w:rsidR="00834EAC" w:rsidRDefault="00834EAC" w:rsidP="00470022">
            <w:pPr>
              <w:pStyle w:val="Tabulkatxtobyejn"/>
              <w:keepNext/>
              <w:keepLines/>
              <w:rPr>
                <w:rFonts w:ascii="Times New Roman" w:hAnsi="Times New Roman" w:cs="Times New Roman"/>
                <w:bCs/>
                <w:sz w:val="22"/>
                <w:szCs w:val="22"/>
              </w:rPr>
            </w:pPr>
          </w:p>
          <w:p w14:paraId="4FC75CAF" w14:textId="77777777" w:rsidR="00D926E3" w:rsidRDefault="00834EAC"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Petr Urbánek</w:t>
            </w:r>
          </w:p>
          <w:p w14:paraId="5C60F900" w14:textId="2EB85F6E" w:rsidR="00834EAC" w:rsidRPr="00470022" w:rsidRDefault="00834EAC"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250C596D" w:rsidR="00D926E3" w:rsidRPr="00470022" w:rsidRDefault="00834EAC"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11.05.2023</w:t>
            </w:r>
          </w:p>
        </w:tc>
        <w:tc>
          <w:tcPr>
            <w:tcW w:w="1372"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3B460B13" w:rsidR="00D926E3" w:rsidRPr="00470022" w:rsidRDefault="00D926E3" w:rsidP="00470022">
            <w:pPr>
              <w:pStyle w:val="Tabulkatxtobyejn"/>
              <w:keepNext/>
              <w:keepLines/>
              <w:rPr>
                <w:rFonts w:ascii="Times New Roman" w:hAnsi="Times New Roman" w:cs="Times New Roman"/>
                <w:sz w:val="22"/>
                <w:szCs w:val="22"/>
              </w:rPr>
            </w:pPr>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FCA98C0" w14:textId="09E09815" w:rsidR="001C354B" w:rsidRPr="00470022" w:rsidRDefault="001C354B" w:rsidP="00470022">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B6AD" w14:textId="57D36188" w:rsidR="00DE1676" w:rsidRPr="001C354B" w:rsidRDefault="00DE1676" w:rsidP="001C354B">
    <w:pPr>
      <w:jc w:val="both"/>
      <w:rPr>
        <w:rFonts w:cs="Arial"/>
        <w:sz w:val="22"/>
      </w:rPr>
    </w:pPr>
    <w:bookmarkStart w:id="8" w:name="_Hlk67408180"/>
    <w:bookmarkStart w:id="9"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345E93"/>
    <w:multiLevelType w:val="hybridMultilevel"/>
    <w:tmpl w:val="8CB216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1"/>
  </w:num>
  <w:num w:numId="2" w16cid:durableId="1343435869">
    <w:abstractNumId w:val="3"/>
  </w:num>
  <w:num w:numId="3" w16cid:durableId="1830098755">
    <w:abstractNumId w:val="1"/>
  </w:num>
  <w:num w:numId="4" w16cid:durableId="314187153">
    <w:abstractNumId w:val="6"/>
  </w:num>
  <w:num w:numId="5" w16cid:durableId="469517268">
    <w:abstractNumId w:val="5"/>
  </w:num>
  <w:num w:numId="6" w16cid:durableId="1749767625">
    <w:abstractNumId w:val="4"/>
  </w:num>
  <w:num w:numId="7" w16cid:durableId="623584056">
    <w:abstractNumId w:val="7"/>
  </w:num>
  <w:num w:numId="8" w16cid:durableId="35241533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7D22"/>
    <w:rsid w:val="00083EF1"/>
    <w:rsid w:val="000C0FE6"/>
    <w:rsid w:val="000E3A9F"/>
    <w:rsid w:val="00101E5F"/>
    <w:rsid w:val="00123169"/>
    <w:rsid w:val="00137765"/>
    <w:rsid w:val="001714AB"/>
    <w:rsid w:val="00185E13"/>
    <w:rsid w:val="0019658A"/>
    <w:rsid w:val="001C354B"/>
    <w:rsid w:val="001E6B3C"/>
    <w:rsid w:val="00202317"/>
    <w:rsid w:val="00211AA7"/>
    <w:rsid w:val="00236156"/>
    <w:rsid w:val="00237B17"/>
    <w:rsid w:val="002449D9"/>
    <w:rsid w:val="002455C6"/>
    <w:rsid w:val="00280B82"/>
    <w:rsid w:val="00281C77"/>
    <w:rsid w:val="00284AE1"/>
    <w:rsid w:val="00287BA7"/>
    <w:rsid w:val="00293188"/>
    <w:rsid w:val="002C27F4"/>
    <w:rsid w:val="00305979"/>
    <w:rsid w:val="0031154F"/>
    <w:rsid w:val="003229F3"/>
    <w:rsid w:val="003257E5"/>
    <w:rsid w:val="00392A25"/>
    <w:rsid w:val="003A14F5"/>
    <w:rsid w:val="003A41C9"/>
    <w:rsid w:val="003C017A"/>
    <w:rsid w:val="003C4118"/>
    <w:rsid w:val="003F7FE6"/>
    <w:rsid w:val="00417358"/>
    <w:rsid w:val="00447CCA"/>
    <w:rsid w:val="004662FF"/>
    <w:rsid w:val="00470022"/>
    <w:rsid w:val="0048151E"/>
    <w:rsid w:val="0048461B"/>
    <w:rsid w:val="00484A93"/>
    <w:rsid w:val="00490CFC"/>
    <w:rsid w:val="004A758F"/>
    <w:rsid w:val="004C061D"/>
    <w:rsid w:val="004C7A4B"/>
    <w:rsid w:val="004D43AF"/>
    <w:rsid w:val="005111F0"/>
    <w:rsid w:val="005236D5"/>
    <w:rsid w:val="00525C7A"/>
    <w:rsid w:val="005538D7"/>
    <w:rsid w:val="005570A3"/>
    <w:rsid w:val="005615A5"/>
    <w:rsid w:val="005623B8"/>
    <w:rsid w:val="00564A37"/>
    <w:rsid w:val="00584D03"/>
    <w:rsid w:val="00586349"/>
    <w:rsid w:val="005871D6"/>
    <w:rsid w:val="00587A3B"/>
    <w:rsid w:val="00590D59"/>
    <w:rsid w:val="005A3BB6"/>
    <w:rsid w:val="005B33F5"/>
    <w:rsid w:val="005C76B9"/>
    <w:rsid w:val="005F2DB2"/>
    <w:rsid w:val="0064342D"/>
    <w:rsid w:val="00657C1C"/>
    <w:rsid w:val="00691304"/>
    <w:rsid w:val="006934E7"/>
    <w:rsid w:val="0069492B"/>
    <w:rsid w:val="006967BA"/>
    <w:rsid w:val="006A12CE"/>
    <w:rsid w:val="006A7A40"/>
    <w:rsid w:val="006D3CA2"/>
    <w:rsid w:val="006F7DF2"/>
    <w:rsid w:val="00706B0D"/>
    <w:rsid w:val="00731928"/>
    <w:rsid w:val="00735A6B"/>
    <w:rsid w:val="00745DE3"/>
    <w:rsid w:val="0075562A"/>
    <w:rsid w:val="007661F9"/>
    <w:rsid w:val="0076628F"/>
    <w:rsid w:val="00783459"/>
    <w:rsid w:val="007B1B7C"/>
    <w:rsid w:val="007B67D6"/>
    <w:rsid w:val="007C6069"/>
    <w:rsid w:val="007E33A6"/>
    <w:rsid w:val="007F1C85"/>
    <w:rsid w:val="007F1E4C"/>
    <w:rsid w:val="00804BB8"/>
    <w:rsid w:val="00814F4A"/>
    <w:rsid w:val="00834EAC"/>
    <w:rsid w:val="00853D3B"/>
    <w:rsid w:val="00871EDB"/>
    <w:rsid w:val="00885602"/>
    <w:rsid w:val="008926CE"/>
    <w:rsid w:val="0089767B"/>
    <w:rsid w:val="008A6D18"/>
    <w:rsid w:val="008C2BB3"/>
    <w:rsid w:val="008D21E0"/>
    <w:rsid w:val="008D78A0"/>
    <w:rsid w:val="008E4FFE"/>
    <w:rsid w:val="00915511"/>
    <w:rsid w:val="009227DD"/>
    <w:rsid w:val="00923AF3"/>
    <w:rsid w:val="00992CE3"/>
    <w:rsid w:val="009B4F2E"/>
    <w:rsid w:val="009C7BB9"/>
    <w:rsid w:val="009D5FB9"/>
    <w:rsid w:val="009E173D"/>
    <w:rsid w:val="00A05015"/>
    <w:rsid w:val="00A34A03"/>
    <w:rsid w:val="00A40E7E"/>
    <w:rsid w:val="00A621F7"/>
    <w:rsid w:val="00A67643"/>
    <w:rsid w:val="00A82925"/>
    <w:rsid w:val="00A83732"/>
    <w:rsid w:val="00AB10BC"/>
    <w:rsid w:val="00AE4E9A"/>
    <w:rsid w:val="00B1052E"/>
    <w:rsid w:val="00B12F45"/>
    <w:rsid w:val="00B241BA"/>
    <w:rsid w:val="00B30B34"/>
    <w:rsid w:val="00B62C40"/>
    <w:rsid w:val="00B70BAB"/>
    <w:rsid w:val="00B97B3D"/>
    <w:rsid w:val="00BA19F6"/>
    <w:rsid w:val="00BA690F"/>
    <w:rsid w:val="00C105A8"/>
    <w:rsid w:val="00C247E3"/>
    <w:rsid w:val="00C24E63"/>
    <w:rsid w:val="00C30138"/>
    <w:rsid w:val="00C31C5C"/>
    <w:rsid w:val="00C3671B"/>
    <w:rsid w:val="00C523CC"/>
    <w:rsid w:val="00C734C2"/>
    <w:rsid w:val="00C93D04"/>
    <w:rsid w:val="00C96364"/>
    <w:rsid w:val="00CD7A1E"/>
    <w:rsid w:val="00CE5CD8"/>
    <w:rsid w:val="00CF4203"/>
    <w:rsid w:val="00D14114"/>
    <w:rsid w:val="00D14F14"/>
    <w:rsid w:val="00D25E65"/>
    <w:rsid w:val="00D926E3"/>
    <w:rsid w:val="00DA020D"/>
    <w:rsid w:val="00DE1676"/>
    <w:rsid w:val="00E01E05"/>
    <w:rsid w:val="00E05672"/>
    <w:rsid w:val="00E423BF"/>
    <w:rsid w:val="00E44247"/>
    <w:rsid w:val="00E60A5C"/>
    <w:rsid w:val="00E63A94"/>
    <w:rsid w:val="00E8583D"/>
    <w:rsid w:val="00E858C0"/>
    <w:rsid w:val="00E969A7"/>
    <w:rsid w:val="00ED6232"/>
    <w:rsid w:val="00ED6B4D"/>
    <w:rsid w:val="00ED7AE2"/>
    <w:rsid w:val="00EE40BF"/>
    <w:rsid w:val="00EE7474"/>
    <w:rsid w:val="00EF4990"/>
    <w:rsid w:val="00F0271A"/>
    <w:rsid w:val="00F32EAE"/>
    <w:rsid w:val="00F55A9C"/>
    <w:rsid w:val="00F72D00"/>
    <w:rsid w:val="00F87CE0"/>
    <w:rsid w:val="00FA5E7A"/>
    <w:rsid w:val="00FB48C3"/>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Anna Volencová</cp:lastModifiedBy>
  <cp:revision>2</cp:revision>
  <dcterms:created xsi:type="dcterms:W3CDTF">2024-04-04T13:45:00Z</dcterms:created>
  <dcterms:modified xsi:type="dcterms:W3CDTF">2024-04-04T13:45:00Z</dcterms:modified>
</cp:coreProperties>
</file>