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9AC" w:rsidRPr="00095FDB" w:rsidRDefault="00064B1D" w:rsidP="00C84727">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rsidR="00C84727" w:rsidRPr="00095FDB" w:rsidRDefault="00C84727" w:rsidP="002E7917">
      <w:pPr>
        <w:pStyle w:val="Zkladntext"/>
        <w:spacing w:beforeLines="20" w:before="48"/>
        <w:jc w:val="center"/>
        <w:rPr>
          <w:rFonts w:ascii="Times New Roman" w:hAnsi="Times New Roman"/>
          <w:i w:val="0"/>
          <w:caps/>
          <w:spacing w:val="100"/>
          <w:sz w:val="28"/>
          <w:szCs w:val="28"/>
        </w:rPr>
      </w:pPr>
    </w:p>
    <w:p w:rsidR="002E7917" w:rsidRPr="00095FDB" w:rsidRDefault="002E7917" w:rsidP="002E7917">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rsidR="00DC26F4" w:rsidRPr="00095FDB" w:rsidRDefault="00DC26F4" w:rsidP="002E7917">
      <w:pPr>
        <w:pStyle w:val="Zkladntext"/>
        <w:spacing w:beforeLines="20" w:before="48"/>
        <w:jc w:val="center"/>
        <w:rPr>
          <w:rFonts w:ascii="Times New Roman" w:hAnsi="Times New Roman"/>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AE2642" w:rsidRPr="00095FDB" w:rsidTr="00AE745D">
        <w:trPr>
          <w:trHeight w:val="317"/>
          <w:jc w:val="center"/>
        </w:trPr>
        <w:tc>
          <w:tcPr>
            <w:tcW w:w="3614" w:type="dxa"/>
            <w:shd w:val="clear" w:color="00FFFF" w:fill="auto"/>
          </w:tcPr>
          <w:p w:rsidR="006D6F14" w:rsidRPr="00095FDB" w:rsidRDefault="00AE2642" w:rsidP="002E7917">
            <w:pPr>
              <w:spacing w:beforeLines="20" w:before="48"/>
              <w:rPr>
                <w:b/>
                <w:sz w:val="24"/>
              </w:rPr>
            </w:pPr>
            <w:r w:rsidRPr="00095FDB">
              <w:rPr>
                <w:b/>
                <w:sz w:val="24"/>
              </w:rPr>
              <w:t xml:space="preserve">OBJEDNATEL:    </w:t>
            </w:r>
          </w:p>
          <w:p w:rsidR="00AE2642" w:rsidRPr="00095FDB" w:rsidRDefault="006D6F14" w:rsidP="006D6F14">
            <w:pPr>
              <w:spacing w:beforeLines="20" w:before="48"/>
              <w:rPr>
                <w:b/>
                <w:sz w:val="24"/>
              </w:rPr>
            </w:pPr>
            <w:r w:rsidRPr="00095FDB">
              <w:rPr>
                <w:i/>
                <w:sz w:val="24"/>
              </w:rPr>
              <w:t>Zapsaný v obchodním rejstříku u:</w:t>
            </w:r>
            <w:r w:rsidR="00AE2642" w:rsidRPr="00095FDB">
              <w:rPr>
                <w:b/>
                <w:sz w:val="24"/>
              </w:rPr>
              <w:t xml:space="preserve">         </w:t>
            </w:r>
          </w:p>
        </w:tc>
        <w:tc>
          <w:tcPr>
            <w:tcW w:w="6164" w:type="dxa"/>
            <w:shd w:val="clear" w:color="00FFFF" w:fill="auto"/>
          </w:tcPr>
          <w:p w:rsidR="00AE2642" w:rsidRPr="00C042BD" w:rsidRDefault="005963A8" w:rsidP="006D6F14">
            <w:pPr>
              <w:pStyle w:val="Nadpis3"/>
              <w:spacing w:beforeLines="20" w:before="48" w:after="120"/>
              <w:rPr>
                <w:rFonts w:ascii="Times New Roman" w:hAnsi="Times New Roman"/>
                <w:b/>
              </w:rPr>
            </w:pPr>
            <w:r w:rsidRPr="00C042BD">
              <w:rPr>
                <w:rFonts w:ascii="Times New Roman" w:hAnsi="Times New Roman"/>
                <w:b/>
              </w:rPr>
              <w:t>Armádní Servisní, příspěvková organizace</w:t>
            </w:r>
          </w:p>
          <w:p w:rsidR="006D6F14" w:rsidRPr="00095FDB" w:rsidRDefault="000344C5" w:rsidP="000344C5">
            <w:r>
              <w:rPr>
                <w:sz w:val="24"/>
              </w:rPr>
              <w:t>Městského soudu v Praze, sp.zn.</w:t>
            </w:r>
            <w:r w:rsidR="006D6F14" w:rsidRPr="00095FDB">
              <w:rPr>
                <w:sz w:val="24"/>
              </w:rPr>
              <w:t xml:space="preserve"> Pr. 1342</w:t>
            </w:r>
          </w:p>
        </w:tc>
      </w:tr>
      <w:tr w:rsidR="00AE2642" w:rsidRPr="00095FDB" w:rsidTr="00AE745D">
        <w:trPr>
          <w:trHeight w:val="280"/>
          <w:jc w:val="center"/>
        </w:trPr>
        <w:tc>
          <w:tcPr>
            <w:tcW w:w="3614" w:type="dxa"/>
          </w:tcPr>
          <w:p w:rsidR="00AE2642" w:rsidRPr="00095FDB" w:rsidRDefault="00731325" w:rsidP="002E7917">
            <w:pPr>
              <w:spacing w:beforeLines="20" w:before="48"/>
              <w:rPr>
                <w:i/>
                <w:sz w:val="24"/>
              </w:rPr>
            </w:pPr>
            <w:r w:rsidRPr="00095FDB">
              <w:rPr>
                <w:i/>
                <w:sz w:val="24"/>
              </w:rPr>
              <w:t>Jejímž jménem</w:t>
            </w:r>
            <w:r w:rsidR="00CE1C55" w:rsidRPr="00095FDB">
              <w:rPr>
                <w:i/>
                <w:sz w:val="24"/>
              </w:rPr>
              <w:t xml:space="preserve"> jedná</w:t>
            </w:r>
            <w:r w:rsidR="00AE2642" w:rsidRPr="00095FDB">
              <w:rPr>
                <w:i/>
                <w:sz w:val="24"/>
              </w:rPr>
              <w:t>:</w:t>
            </w:r>
          </w:p>
        </w:tc>
        <w:tc>
          <w:tcPr>
            <w:tcW w:w="6164" w:type="dxa"/>
          </w:tcPr>
          <w:p w:rsidR="00AE2642" w:rsidRPr="00095FDB" w:rsidRDefault="005963A8" w:rsidP="008C7C04">
            <w:pPr>
              <w:spacing w:beforeLines="20" w:before="48"/>
              <w:rPr>
                <w:sz w:val="24"/>
              </w:rPr>
            </w:pPr>
            <w:r w:rsidRPr="00095FDB">
              <w:rPr>
                <w:sz w:val="24"/>
              </w:rPr>
              <w:t xml:space="preserve">Ing. </w:t>
            </w:r>
            <w:r w:rsidR="00560BF2">
              <w:rPr>
                <w:sz w:val="24"/>
              </w:rPr>
              <w:t>Martin Lehký</w:t>
            </w:r>
            <w:r w:rsidRPr="00095FDB">
              <w:rPr>
                <w:sz w:val="24"/>
              </w:rPr>
              <w:t xml:space="preserve"> </w:t>
            </w:r>
            <w:r w:rsidR="00AE2642" w:rsidRPr="00095FDB">
              <w:rPr>
                <w:sz w:val="24"/>
              </w:rPr>
              <w:t xml:space="preserve">– </w:t>
            </w:r>
            <w:r w:rsidR="00995EB3">
              <w:rPr>
                <w:sz w:val="24"/>
              </w:rPr>
              <w:t>ředitel</w:t>
            </w:r>
          </w:p>
        </w:tc>
      </w:tr>
      <w:tr w:rsidR="00AE2642" w:rsidRPr="00095FDB" w:rsidTr="00AE745D">
        <w:trPr>
          <w:trHeight w:val="369"/>
          <w:jc w:val="center"/>
        </w:trPr>
        <w:tc>
          <w:tcPr>
            <w:tcW w:w="3614" w:type="dxa"/>
          </w:tcPr>
          <w:p w:rsidR="00AE2642" w:rsidRPr="00095FDB" w:rsidRDefault="00AE2642" w:rsidP="002E7917">
            <w:pPr>
              <w:spacing w:beforeLines="20" w:before="48"/>
              <w:rPr>
                <w:i/>
                <w:sz w:val="24"/>
              </w:rPr>
            </w:pPr>
            <w:r w:rsidRPr="00095FDB">
              <w:rPr>
                <w:i/>
                <w:sz w:val="24"/>
              </w:rPr>
              <w:t>Sídlo:</w:t>
            </w:r>
          </w:p>
        </w:tc>
        <w:tc>
          <w:tcPr>
            <w:tcW w:w="6164" w:type="dxa"/>
          </w:tcPr>
          <w:p w:rsidR="00AE2642" w:rsidRPr="00095FDB" w:rsidRDefault="005963A8" w:rsidP="002E7917">
            <w:pPr>
              <w:spacing w:beforeLines="20" w:before="48"/>
              <w:rPr>
                <w:sz w:val="24"/>
              </w:rPr>
            </w:pPr>
            <w:r w:rsidRPr="00095FDB">
              <w:rPr>
                <w:sz w:val="24"/>
              </w:rPr>
              <w:t xml:space="preserve">Podbabská 1589/1, </w:t>
            </w:r>
            <w:r w:rsidR="00753CAB" w:rsidRPr="00095FDB">
              <w:rPr>
                <w:sz w:val="24"/>
              </w:rPr>
              <w:t>160 00</w:t>
            </w:r>
            <w:r w:rsidR="00B11DAB">
              <w:rPr>
                <w:sz w:val="24"/>
              </w:rPr>
              <w:t>,</w:t>
            </w:r>
            <w:r w:rsidR="00753CAB" w:rsidRPr="00095FDB">
              <w:rPr>
                <w:sz w:val="24"/>
              </w:rPr>
              <w:t xml:space="preserve"> </w:t>
            </w:r>
            <w:r w:rsidRPr="00095FDB">
              <w:rPr>
                <w:sz w:val="24"/>
              </w:rPr>
              <w:t>Praha 6</w:t>
            </w:r>
          </w:p>
        </w:tc>
      </w:tr>
      <w:tr w:rsidR="00AE2642" w:rsidRPr="00095FDB" w:rsidTr="00AE745D">
        <w:trPr>
          <w:trHeight w:val="482"/>
          <w:jc w:val="center"/>
        </w:trPr>
        <w:tc>
          <w:tcPr>
            <w:tcW w:w="3614" w:type="dxa"/>
            <w:tcBorders>
              <w:bottom w:val="nil"/>
            </w:tcBorders>
          </w:tcPr>
          <w:p w:rsidR="00AE2642" w:rsidRPr="00095FDB" w:rsidRDefault="00036744" w:rsidP="002E7917">
            <w:pPr>
              <w:spacing w:beforeLines="20" w:before="48"/>
              <w:rPr>
                <w:i/>
                <w:sz w:val="24"/>
              </w:rPr>
            </w:pPr>
            <w:r w:rsidRPr="00095FDB">
              <w:rPr>
                <w:i/>
                <w:sz w:val="24"/>
              </w:rPr>
              <w:t>IČ:</w:t>
            </w:r>
          </w:p>
          <w:p w:rsidR="00AE2642" w:rsidRPr="00095FDB" w:rsidRDefault="00AE2642" w:rsidP="002E7917">
            <w:pPr>
              <w:spacing w:beforeLines="20" w:before="48"/>
              <w:rPr>
                <w:i/>
                <w:sz w:val="24"/>
              </w:rPr>
            </w:pPr>
            <w:r w:rsidRPr="00095FDB">
              <w:rPr>
                <w:i/>
                <w:sz w:val="24"/>
              </w:rPr>
              <w:t>DIČ</w:t>
            </w:r>
            <w:r w:rsidR="00036744" w:rsidRPr="00095FDB">
              <w:rPr>
                <w:i/>
                <w:sz w:val="24"/>
              </w:rPr>
              <w:t>:</w:t>
            </w:r>
          </w:p>
        </w:tc>
        <w:tc>
          <w:tcPr>
            <w:tcW w:w="6164" w:type="dxa"/>
            <w:tcBorders>
              <w:bottom w:val="nil"/>
            </w:tcBorders>
          </w:tcPr>
          <w:p w:rsidR="00AE2642" w:rsidRPr="00095FDB" w:rsidRDefault="00AE2642" w:rsidP="002E7917">
            <w:pPr>
              <w:spacing w:beforeLines="20" w:before="48"/>
              <w:rPr>
                <w:sz w:val="24"/>
              </w:rPr>
            </w:pPr>
            <w:r w:rsidRPr="00095FDB">
              <w:rPr>
                <w:sz w:val="24"/>
              </w:rPr>
              <w:t>60460580</w:t>
            </w:r>
          </w:p>
          <w:p w:rsidR="00AE2642" w:rsidRPr="00095FDB" w:rsidRDefault="00AE2642" w:rsidP="002E7917">
            <w:pPr>
              <w:spacing w:beforeLines="20" w:before="48"/>
              <w:rPr>
                <w:sz w:val="24"/>
              </w:rPr>
            </w:pPr>
            <w:r w:rsidRPr="00095FDB">
              <w:rPr>
                <w:sz w:val="24"/>
              </w:rPr>
              <w:t xml:space="preserve">CZ60460580 </w:t>
            </w:r>
            <w:bookmarkStart w:id="0" w:name="_GoBack"/>
            <w:bookmarkEnd w:id="0"/>
          </w:p>
        </w:tc>
      </w:tr>
      <w:tr w:rsidR="00AE2642" w:rsidRPr="00095FDB" w:rsidTr="00AE745D">
        <w:trPr>
          <w:cantSplit/>
          <w:trHeight w:val="480"/>
          <w:jc w:val="center"/>
        </w:trPr>
        <w:tc>
          <w:tcPr>
            <w:tcW w:w="3614" w:type="dxa"/>
            <w:tcBorders>
              <w:bottom w:val="nil"/>
            </w:tcBorders>
          </w:tcPr>
          <w:p w:rsidR="00AE2642" w:rsidRPr="00095FDB" w:rsidRDefault="00AE2642" w:rsidP="002E7917">
            <w:pPr>
              <w:spacing w:beforeLines="20" w:before="48"/>
              <w:rPr>
                <w:i/>
                <w:sz w:val="24"/>
              </w:rPr>
            </w:pPr>
            <w:r w:rsidRPr="00095FDB">
              <w:rPr>
                <w:i/>
                <w:sz w:val="24"/>
              </w:rPr>
              <w:t>Tel</w:t>
            </w:r>
            <w:r w:rsidR="007D4A64" w:rsidRPr="00095FDB">
              <w:rPr>
                <w:i/>
                <w:sz w:val="24"/>
              </w:rPr>
              <w:t>.</w:t>
            </w:r>
            <w:r w:rsidRPr="00095FDB">
              <w:rPr>
                <w:i/>
                <w:sz w:val="24"/>
              </w:rPr>
              <w:t xml:space="preserve">: </w:t>
            </w:r>
          </w:p>
          <w:p w:rsidR="00AE2642" w:rsidRPr="00095FDB" w:rsidRDefault="00AE2642" w:rsidP="002E7917">
            <w:pPr>
              <w:spacing w:beforeLines="20" w:before="48"/>
              <w:rPr>
                <w:i/>
                <w:sz w:val="24"/>
              </w:rPr>
            </w:pPr>
            <w:r w:rsidRPr="00095FDB">
              <w:rPr>
                <w:i/>
                <w:sz w:val="24"/>
              </w:rPr>
              <w:t>Fax:</w:t>
            </w:r>
          </w:p>
        </w:tc>
        <w:tc>
          <w:tcPr>
            <w:tcW w:w="6164" w:type="dxa"/>
            <w:tcBorders>
              <w:bottom w:val="nil"/>
            </w:tcBorders>
          </w:tcPr>
          <w:p w:rsidR="00AE2642" w:rsidRPr="00095FDB" w:rsidRDefault="00AE2642" w:rsidP="002E7917">
            <w:pPr>
              <w:spacing w:beforeLines="20" w:before="48"/>
              <w:rPr>
                <w:sz w:val="24"/>
              </w:rPr>
            </w:pPr>
            <w:r w:rsidRPr="00095FDB">
              <w:rPr>
                <w:sz w:val="24"/>
              </w:rPr>
              <w:t>973 2</w:t>
            </w:r>
            <w:r w:rsidR="005963A8" w:rsidRPr="00095FDB">
              <w:rPr>
                <w:sz w:val="24"/>
              </w:rPr>
              <w:t>04</w:t>
            </w:r>
            <w:r w:rsidRPr="00095FDB">
              <w:rPr>
                <w:sz w:val="24"/>
              </w:rPr>
              <w:t xml:space="preserve"> </w:t>
            </w:r>
            <w:r w:rsidR="005963A8" w:rsidRPr="00095FDB">
              <w:rPr>
                <w:sz w:val="24"/>
              </w:rPr>
              <w:t>090</w:t>
            </w:r>
          </w:p>
          <w:p w:rsidR="00AE2642" w:rsidRPr="00095FDB" w:rsidRDefault="005963A8" w:rsidP="002E7917">
            <w:pPr>
              <w:spacing w:beforeLines="20" w:before="48"/>
              <w:rPr>
                <w:sz w:val="24"/>
              </w:rPr>
            </w:pPr>
            <w:r w:rsidRPr="00095FDB">
              <w:rPr>
                <w:sz w:val="24"/>
              </w:rPr>
              <w:t>973 204 092</w:t>
            </w:r>
          </w:p>
        </w:tc>
      </w:tr>
      <w:tr w:rsidR="00AE2642" w:rsidRPr="00095FDB" w:rsidTr="00AE745D">
        <w:trPr>
          <w:trHeight w:val="357"/>
          <w:jc w:val="center"/>
        </w:trPr>
        <w:tc>
          <w:tcPr>
            <w:tcW w:w="3614" w:type="dxa"/>
          </w:tcPr>
          <w:p w:rsidR="00753CAB" w:rsidRPr="00095FDB" w:rsidRDefault="00753CAB" w:rsidP="002E7917">
            <w:pPr>
              <w:spacing w:beforeLines="20" w:before="48"/>
              <w:rPr>
                <w:i/>
                <w:sz w:val="24"/>
              </w:rPr>
            </w:pPr>
            <w:r w:rsidRPr="00095FDB">
              <w:rPr>
                <w:i/>
                <w:sz w:val="24"/>
              </w:rPr>
              <w:t>ID datové schránky:</w:t>
            </w:r>
          </w:p>
          <w:p w:rsidR="00AE2642" w:rsidRPr="00095FDB" w:rsidRDefault="00AE2642" w:rsidP="002E7917">
            <w:pPr>
              <w:spacing w:beforeLines="20" w:before="48"/>
              <w:rPr>
                <w:i/>
                <w:sz w:val="24"/>
              </w:rPr>
            </w:pPr>
            <w:r w:rsidRPr="00095FDB">
              <w:rPr>
                <w:i/>
                <w:sz w:val="24"/>
              </w:rPr>
              <w:t>Odpovědní zástupci pro jednání:</w:t>
            </w:r>
          </w:p>
        </w:tc>
        <w:tc>
          <w:tcPr>
            <w:tcW w:w="6164" w:type="dxa"/>
          </w:tcPr>
          <w:p w:rsidR="00AE2642" w:rsidRPr="00095FDB" w:rsidRDefault="00753CAB" w:rsidP="002E7917">
            <w:pPr>
              <w:spacing w:beforeLines="20" w:before="48"/>
              <w:rPr>
                <w:sz w:val="24"/>
                <w:szCs w:val="24"/>
              </w:rPr>
            </w:pPr>
            <w:r w:rsidRPr="00095FDB">
              <w:rPr>
                <w:sz w:val="24"/>
                <w:szCs w:val="24"/>
              </w:rPr>
              <w:t>dugmkm6</w:t>
            </w:r>
          </w:p>
        </w:tc>
      </w:tr>
      <w:tr w:rsidR="00AE2642" w:rsidRPr="00095FDB" w:rsidTr="00AE745D">
        <w:trPr>
          <w:trHeight w:val="294"/>
          <w:jc w:val="center"/>
        </w:trPr>
        <w:tc>
          <w:tcPr>
            <w:tcW w:w="3614" w:type="dxa"/>
          </w:tcPr>
          <w:p w:rsidR="00AE2642" w:rsidRPr="00095FDB" w:rsidRDefault="00AE2642" w:rsidP="00773F23">
            <w:pPr>
              <w:rPr>
                <w:i/>
                <w:sz w:val="24"/>
              </w:rPr>
            </w:pPr>
            <w:r w:rsidRPr="00095FDB">
              <w:rPr>
                <w:i/>
                <w:sz w:val="24"/>
              </w:rPr>
              <w:t>- jednat ve věcech smluvních:</w:t>
            </w:r>
          </w:p>
        </w:tc>
        <w:tc>
          <w:tcPr>
            <w:tcW w:w="6164" w:type="dxa"/>
          </w:tcPr>
          <w:p w:rsidR="00AE2642" w:rsidRPr="00095FDB" w:rsidRDefault="005963A8" w:rsidP="000344C5">
            <w:pPr>
              <w:rPr>
                <w:sz w:val="24"/>
              </w:rPr>
            </w:pPr>
            <w:r w:rsidRPr="00095FDB">
              <w:rPr>
                <w:sz w:val="24"/>
              </w:rPr>
              <w:t xml:space="preserve">Ing. </w:t>
            </w:r>
            <w:r w:rsidR="00560BF2">
              <w:rPr>
                <w:sz w:val="24"/>
              </w:rPr>
              <w:t>Martin Lehký</w:t>
            </w:r>
            <w:r w:rsidR="00AE2642" w:rsidRPr="00095FDB">
              <w:rPr>
                <w:sz w:val="24"/>
              </w:rPr>
              <w:t xml:space="preserve"> </w:t>
            </w:r>
            <w:r w:rsidR="000344C5">
              <w:rPr>
                <w:sz w:val="24"/>
              </w:rPr>
              <w:t xml:space="preserve">– </w:t>
            </w:r>
            <w:r w:rsidR="00CC1D62">
              <w:rPr>
                <w:sz w:val="24"/>
              </w:rPr>
              <w:t xml:space="preserve">tel.: </w:t>
            </w:r>
            <w:r w:rsidR="00CC1D62" w:rsidRPr="00CC1D62">
              <w:rPr>
                <w:color w:val="000000" w:themeColor="text1"/>
                <w:sz w:val="24"/>
              </w:rPr>
              <w:t>973 204 091, fax</w:t>
            </w:r>
            <w:r w:rsidR="00C042BD">
              <w:rPr>
                <w:color w:val="000000" w:themeColor="text1"/>
                <w:sz w:val="24"/>
              </w:rPr>
              <w:t>:</w:t>
            </w:r>
            <w:r w:rsidR="00CC1D62" w:rsidRPr="00CC1D62">
              <w:rPr>
                <w:color w:val="000000" w:themeColor="text1"/>
                <w:sz w:val="24"/>
              </w:rPr>
              <w:t xml:space="preserve"> 973 204 092</w:t>
            </w:r>
          </w:p>
        </w:tc>
      </w:tr>
      <w:tr w:rsidR="00AE2642" w:rsidRPr="00095FDB" w:rsidTr="00606C15">
        <w:trPr>
          <w:trHeight w:val="480"/>
          <w:jc w:val="center"/>
        </w:trPr>
        <w:tc>
          <w:tcPr>
            <w:tcW w:w="3614" w:type="dxa"/>
          </w:tcPr>
          <w:p w:rsidR="00AE2642" w:rsidRPr="00095FDB" w:rsidRDefault="00AE2642" w:rsidP="00773F23">
            <w:pPr>
              <w:rPr>
                <w:i/>
                <w:sz w:val="24"/>
              </w:rPr>
            </w:pPr>
            <w:r w:rsidRPr="00095FDB">
              <w:rPr>
                <w:i/>
                <w:sz w:val="24"/>
              </w:rPr>
              <w:t>- jednat ve věcech technických:</w:t>
            </w:r>
          </w:p>
        </w:tc>
        <w:tc>
          <w:tcPr>
            <w:tcW w:w="6164" w:type="dxa"/>
            <w:shd w:val="clear" w:color="auto" w:fill="auto"/>
          </w:tcPr>
          <w:p w:rsidR="00CB029C" w:rsidRDefault="00CB029C" w:rsidP="003B1246">
            <w:pPr>
              <w:rPr>
                <w:sz w:val="24"/>
              </w:rPr>
            </w:pPr>
            <w:r>
              <w:rPr>
                <w:sz w:val="24"/>
                <w:szCs w:val="24"/>
              </w:rPr>
              <w:t>Václav Ondrůj</w:t>
            </w:r>
            <w:r w:rsidR="003B1246" w:rsidRPr="003C43B1">
              <w:rPr>
                <w:sz w:val="24"/>
              </w:rPr>
              <w:t xml:space="preserve">, tel.: </w:t>
            </w:r>
            <w:r>
              <w:rPr>
                <w:sz w:val="24"/>
                <w:szCs w:val="24"/>
              </w:rPr>
              <w:t>602 551 088</w:t>
            </w:r>
            <w:r w:rsidR="007B0E9D" w:rsidRPr="003C43B1">
              <w:rPr>
                <w:sz w:val="24"/>
              </w:rPr>
              <w:t xml:space="preserve">, </w:t>
            </w:r>
          </w:p>
          <w:p w:rsidR="00AE745D" w:rsidRPr="00095FDB" w:rsidRDefault="007B0E9D" w:rsidP="00CB029C">
            <w:pPr>
              <w:rPr>
                <w:sz w:val="24"/>
              </w:rPr>
            </w:pPr>
            <w:r w:rsidRPr="003C43B1">
              <w:rPr>
                <w:sz w:val="24"/>
              </w:rPr>
              <w:t>e</w:t>
            </w:r>
            <w:r w:rsidR="00B11DAB">
              <w:rPr>
                <w:sz w:val="24"/>
              </w:rPr>
              <w:t>-</w:t>
            </w:r>
            <w:r w:rsidRPr="003C43B1">
              <w:rPr>
                <w:sz w:val="24"/>
              </w:rPr>
              <w:t xml:space="preserve">mail: </w:t>
            </w:r>
            <w:r w:rsidR="00CB029C">
              <w:rPr>
                <w:sz w:val="24"/>
              </w:rPr>
              <w:t>vaclav.ondruj</w:t>
            </w:r>
            <w:r w:rsidRPr="003C43B1">
              <w:rPr>
                <w:sz w:val="24"/>
              </w:rPr>
              <w:t>@as-po.cz</w:t>
            </w:r>
            <w:r w:rsidR="00300511">
              <w:rPr>
                <w:sz w:val="24"/>
              </w:rPr>
              <w:t xml:space="preserve">  </w:t>
            </w:r>
          </w:p>
        </w:tc>
      </w:tr>
      <w:tr w:rsidR="00A37116" w:rsidRPr="00095FDB" w:rsidTr="00AE745D">
        <w:trPr>
          <w:trHeight w:val="480"/>
          <w:jc w:val="center"/>
        </w:trPr>
        <w:tc>
          <w:tcPr>
            <w:tcW w:w="3614" w:type="dxa"/>
          </w:tcPr>
          <w:p w:rsidR="00A37116" w:rsidRPr="00095FDB" w:rsidRDefault="00A37116" w:rsidP="00773F23">
            <w:pPr>
              <w:rPr>
                <w:i/>
                <w:sz w:val="24"/>
              </w:rPr>
            </w:pPr>
            <w:r w:rsidRPr="00095FDB">
              <w:rPr>
                <w:i/>
                <w:sz w:val="24"/>
              </w:rPr>
              <w:t>(dále jen „objednatel“)</w:t>
            </w:r>
          </w:p>
        </w:tc>
        <w:tc>
          <w:tcPr>
            <w:tcW w:w="6164" w:type="dxa"/>
          </w:tcPr>
          <w:p w:rsidR="00A37116" w:rsidRPr="00095FDB" w:rsidRDefault="00A37116" w:rsidP="006D6F14">
            <w:pPr>
              <w:rPr>
                <w:sz w:val="24"/>
              </w:rPr>
            </w:pPr>
          </w:p>
        </w:tc>
      </w:tr>
    </w:tbl>
    <w:p w:rsidR="00E869EB" w:rsidRDefault="00E869EB" w:rsidP="002E7917">
      <w:pPr>
        <w:spacing w:beforeLines="20" w:before="48"/>
        <w:ind w:left="-284"/>
        <w:jc w:val="both"/>
        <w:rPr>
          <w:sz w:val="24"/>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722094" w:rsidRPr="00403490" w:rsidTr="00B612D5">
        <w:trPr>
          <w:trHeight w:val="284"/>
          <w:jc w:val="center"/>
        </w:trPr>
        <w:tc>
          <w:tcPr>
            <w:tcW w:w="3614" w:type="dxa"/>
            <w:shd w:val="clear" w:color="auto" w:fill="auto"/>
          </w:tcPr>
          <w:p w:rsidR="00722094" w:rsidRDefault="00722094" w:rsidP="00FD46EB">
            <w:pPr>
              <w:spacing w:before="120" w:after="120"/>
              <w:rPr>
                <w:b/>
                <w:sz w:val="24"/>
              </w:rPr>
            </w:pPr>
            <w:r>
              <w:rPr>
                <w:b/>
                <w:sz w:val="24"/>
              </w:rPr>
              <w:t xml:space="preserve">ZHOTOVITEL:        </w:t>
            </w:r>
          </w:p>
          <w:p w:rsidR="00722094" w:rsidRDefault="00722094" w:rsidP="00FD46EB">
            <w:pPr>
              <w:spacing w:before="120" w:after="120"/>
              <w:rPr>
                <w:b/>
                <w:sz w:val="24"/>
              </w:rPr>
            </w:pPr>
            <w:r w:rsidRPr="008377B4">
              <w:rPr>
                <w:bCs/>
                <w:i/>
                <w:sz w:val="24"/>
              </w:rPr>
              <w:t>Zapsan</w:t>
            </w:r>
            <w:r>
              <w:rPr>
                <w:bCs/>
                <w:i/>
                <w:sz w:val="24"/>
              </w:rPr>
              <w:t>ý</w:t>
            </w:r>
            <w:r w:rsidRPr="008377B4">
              <w:rPr>
                <w:bCs/>
                <w:i/>
                <w:sz w:val="24"/>
              </w:rPr>
              <w:t xml:space="preserve"> v obchodním rejstříku u:</w:t>
            </w:r>
          </w:p>
        </w:tc>
        <w:tc>
          <w:tcPr>
            <w:tcW w:w="6164" w:type="dxa"/>
            <w:shd w:val="clear" w:color="auto" w:fill="auto"/>
          </w:tcPr>
          <w:p w:rsidR="00722094" w:rsidRPr="009C5B53" w:rsidRDefault="000E2F2D" w:rsidP="00CC796D">
            <w:pPr>
              <w:spacing w:before="120"/>
              <w:rPr>
                <w:bCs/>
                <w:sz w:val="24"/>
                <w:highlight w:val="yellow"/>
              </w:rPr>
            </w:pPr>
            <w:r w:rsidRPr="000E2F2D">
              <w:rPr>
                <w:bCs/>
                <w:sz w:val="24"/>
              </w:rPr>
              <w:t>TOMIreko, s.r.o.</w:t>
            </w:r>
          </w:p>
          <w:p w:rsidR="00722094" w:rsidRPr="009C5B53" w:rsidRDefault="000E2F2D" w:rsidP="00CC796D">
            <w:pPr>
              <w:spacing w:before="120"/>
              <w:rPr>
                <w:bCs/>
                <w:sz w:val="24"/>
                <w:highlight w:val="yellow"/>
              </w:rPr>
            </w:pPr>
            <w:r w:rsidRPr="000E2F2D">
              <w:rPr>
                <w:bCs/>
                <w:sz w:val="24"/>
              </w:rPr>
              <w:t>Krajského soudu v Brně, oddíl C, vložka 63551</w:t>
            </w:r>
          </w:p>
        </w:tc>
      </w:tr>
      <w:tr w:rsidR="00722094" w:rsidRPr="00403490" w:rsidTr="00B612D5">
        <w:trPr>
          <w:trHeight w:val="267"/>
          <w:jc w:val="center"/>
        </w:trPr>
        <w:tc>
          <w:tcPr>
            <w:tcW w:w="3614" w:type="dxa"/>
            <w:shd w:val="clear" w:color="auto" w:fill="auto"/>
          </w:tcPr>
          <w:p w:rsidR="00722094" w:rsidRDefault="00722094" w:rsidP="00FD46EB">
            <w:pPr>
              <w:rPr>
                <w:i/>
                <w:sz w:val="24"/>
              </w:rPr>
            </w:pPr>
            <w:r>
              <w:rPr>
                <w:i/>
                <w:sz w:val="24"/>
              </w:rPr>
              <w:t>Zastoupený:</w:t>
            </w:r>
          </w:p>
        </w:tc>
        <w:tc>
          <w:tcPr>
            <w:tcW w:w="6164" w:type="dxa"/>
            <w:shd w:val="clear" w:color="auto" w:fill="auto"/>
          </w:tcPr>
          <w:p w:rsidR="00722094" w:rsidRPr="000E2F2D" w:rsidRDefault="000E2F2D" w:rsidP="0019238A">
            <w:pPr>
              <w:spacing w:before="120"/>
              <w:rPr>
                <w:bCs/>
                <w:sz w:val="24"/>
              </w:rPr>
            </w:pPr>
            <w:r w:rsidRPr="000E2F2D">
              <w:rPr>
                <w:bCs/>
                <w:sz w:val="24"/>
              </w:rPr>
              <w:t>Ing. Tomášem Klinerem, jednatelem společnosti</w:t>
            </w:r>
          </w:p>
          <w:p w:rsidR="000E2F2D" w:rsidRPr="009C5B53" w:rsidRDefault="000E2F2D" w:rsidP="0019238A">
            <w:pPr>
              <w:spacing w:before="120"/>
              <w:rPr>
                <w:sz w:val="24"/>
                <w:szCs w:val="24"/>
                <w:highlight w:val="yellow"/>
              </w:rPr>
            </w:pPr>
            <w:r w:rsidRPr="000E2F2D">
              <w:rPr>
                <w:bCs/>
                <w:sz w:val="24"/>
              </w:rPr>
              <w:t>Milanem Šťastným, jednatelem společnosti</w:t>
            </w:r>
          </w:p>
        </w:tc>
      </w:tr>
      <w:tr w:rsidR="00722094" w:rsidRPr="00403490" w:rsidTr="00B612D5">
        <w:trPr>
          <w:trHeight w:val="207"/>
          <w:jc w:val="center"/>
        </w:trPr>
        <w:tc>
          <w:tcPr>
            <w:tcW w:w="3614" w:type="dxa"/>
            <w:tcBorders>
              <w:bottom w:val="nil"/>
            </w:tcBorders>
            <w:shd w:val="clear" w:color="auto" w:fill="auto"/>
          </w:tcPr>
          <w:p w:rsidR="00722094" w:rsidRDefault="00722094" w:rsidP="00FD46EB">
            <w:pPr>
              <w:rPr>
                <w:i/>
                <w:sz w:val="24"/>
              </w:rPr>
            </w:pPr>
            <w:r>
              <w:rPr>
                <w:i/>
                <w:sz w:val="24"/>
              </w:rPr>
              <w:t>Sídlo:</w:t>
            </w:r>
          </w:p>
        </w:tc>
        <w:tc>
          <w:tcPr>
            <w:tcW w:w="6164" w:type="dxa"/>
            <w:tcBorders>
              <w:bottom w:val="nil"/>
            </w:tcBorders>
            <w:shd w:val="clear" w:color="auto" w:fill="auto"/>
          </w:tcPr>
          <w:p w:rsidR="00722094" w:rsidRPr="009C5B53" w:rsidRDefault="000E2F2D" w:rsidP="00CC796D">
            <w:pPr>
              <w:spacing w:before="120"/>
              <w:rPr>
                <w:highlight w:val="yellow"/>
              </w:rPr>
            </w:pPr>
            <w:r w:rsidRPr="000E2F2D">
              <w:rPr>
                <w:bCs/>
                <w:sz w:val="24"/>
              </w:rPr>
              <w:t>Karlovo náměstí 48, 674 01</w:t>
            </w:r>
            <w:r w:rsidR="00B11DAB">
              <w:rPr>
                <w:bCs/>
                <w:sz w:val="24"/>
              </w:rPr>
              <w:t>,</w:t>
            </w:r>
            <w:r w:rsidRPr="000E2F2D">
              <w:rPr>
                <w:bCs/>
                <w:sz w:val="24"/>
              </w:rPr>
              <w:t xml:space="preserve"> Třebíč</w:t>
            </w:r>
          </w:p>
        </w:tc>
      </w:tr>
      <w:tr w:rsidR="00722094" w:rsidRPr="00403490" w:rsidTr="00B612D5">
        <w:trPr>
          <w:trHeight w:val="20"/>
          <w:jc w:val="center"/>
        </w:trPr>
        <w:tc>
          <w:tcPr>
            <w:tcW w:w="3614" w:type="dxa"/>
            <w:shd w:val="clear" w:color="auto" w:fill="auto"/>
          </w:tcPr>
          <w:p w:rsidR="00722094" w:rsidRDefault="00722094" w:rsidP="00FD46EB">
            <w:pPr>
              <w:rPr>
                <w:i/>
                <w:sz w:val="24"/>
              </w:rPr>
            </w:pPr>
            <w:r>
              <w:rPr>
                <w:i/>
                <w:sz w:val="24"/>
              </w:rPr>
              <w:t>IČ, DIČ:</w:t>
            </w:r>
          </w:p>
        </w:tc>
        <w:tc>
          <w:tcPr>
            <w:tcW w:w="6164" w:type="dxa"/>
            <w:shd w:val="clear" w:color="auto" w:fill="auto"/>
          </w:tcPr>
          <w:p w:rsidR="00722094" w:rsidRPr="009C5B53" w:rsidRDefault="000E2F2D" w:rsidP="00CC796D">
            <w:pPr>
              <w:spacing w:before="120"/>
              <w:rPr>
                <w:sz w:val="24"/>
                <w:szCs w:val="24"/>
                <w:highlight w:val="yellow"/>
              </w:rPr>
            </w:pPr>
            <w:r w:rsidRPr="000E2F2D">
              <w:rPr>
                <w:bCs/>
                <w:sz w:val="24"/>
              </w:rPr>
              <w:t>283 59 216, CZ28359216</w:t>
            </w:r>
          </w:p>
        </w:tc>
      </w:tr>
      <w:tr w:rsidR="00722094" w:rsidRPr="00403490" w:rsidTr="00B612D5">
        <w:trPr>
          <w:trHeight w:val="20"/>
          <w:jc w:val="center"/>
        </w:trPr>
        <w:tc>
          <w:tcPr>
            <w:tcW w:w="3614" w:type="dxa"/>
            <w:shd w:val="clear" w:color="auto" w:fill="auto"/>
          </w:tcPr>
          <w:p w:rsidR="00722094" w:rsidRDefault="00722094" w:rsidP="00FD46EB">
            <w:pPr>
              <w:rPr>
                <w:i/>
                <w:sz w:val="24"/>
              </w:rPr>
            </w:pPr>
            <w:r>
              <w:rPr>
                <w:i/>
                <w:sz w:val="24"/>
              </w:rPr>
              <w:t>Bankovní spojení:</w:t>
            </w:r>
          </w:p>
          <w:p w:rsidR="00722094" w:rsidRDefault="00722094" w:rsidP="00E869EB">
            <w:pPr>
              <w:rPr>
                <w:i/>
                <w:sz w:val="24"/>
              </w:rPr>
            </w:pPr>
            <w:r w:rsidRPr="0019273A">
              <w:rPr>
                <w:i/>
                <w:sz w:val="24"/>
              </w:rPr>
              <w:t>Číslo účtu:</w:t>
            </w:r>
          </w:p>
          <w:p w:rsidR="00722094" w:rsidRDefault="00722094" w:rsidP="00E869EB">
            <w:pPr>
              <w:rPr>
                <w:i/>
                <w:sz w:val="24"/>
              </w:rPr>
            </w:pPr>
          </w:p>
          <w:p w:rsidR="00722094" w:rsidRDefault="00722094" w:rsidP="00E869EB">
            <w:pPr>
              <w:rPr>
                <w:i/>
                <w:sz w:val="24"/>
              </w:rPr>
            </w:pPr>
            <w:r w:rsidRPr="0019273A">
              <w:rPr>
                <w:i/>
                <w:sz w:val="24"/>
              </w:rPr>
              <w:t>ID datové schránky:</w:t>
            </w:r>
          </w:p>
        </w:tc>
        <w:tc>
          <w:tcPr>
            <w:tcW w:w="6164" w:type="dxa"/>
            <w:shd w:val="clear" w:color="auto" w:fill="auto"/>
          </w:tcPr>
          <w:p w:rsidR="00722094" w:rsidRPr="009C5B53" w:rsidRDefault="000E2F2D" w:rsidP="00CC796D">
            <w:pPr>
              <w:spacing w:before="120"/>
              <w:rPr>
                <w:bCs/>
                <w:sz w:val="24"/>
                <w:highlight w:val="yellow"/>
              </w:rPr>
            </w:pPr>
            <w:r w:rsidRPr="000E2F2D">
              <w:rPr>
                <w:bCs/>
                <w:sz w:val="24"/>
              </w:rPr>
              <w:t>Česká spořitelna, a.s., Třebíč</w:t>
            </w:r>
          </w:p>
          <w:p w:rsidR="00722094" w:rsidRPr="009C5B53" w:rsidRDefault="000E2F2D" w:rsidP="00CC796D">
            <w:pPr>
              <w:spacing w:before="120"/>
              <w:rPr>
                <w:bCs/>
                <w:sz w:val="24"/>
                <w:highlight w:val="yellow"/>
              </w:rPr>
            </w:pPr>
            <w:r w:rsidRPr="000E2F2D">
              <w:rPr>
                <w:bCs/>
                <w:sz w:val="24"/>
              </w:rPr>
              <w:t>2174012369/0800</w:t>
            </w:r>
          </w:p>
          <w:p w:rsidR="00722094" w:rsidRPr="009C5B53" w:rsidRDefault="000E2F2D" w:rsidP="00CC796D">
            <w:pPr>
              <w:spacing w:before="120"/>
              <w:rPr>
                <w:bCs/>
                <w:sz w:val="24"/>
                <w:highlight w:val="yellow"/>
              </w:rPr>
            </w:pPr>
            <w:r w:rsidRPr="000E2F2D">
              <w:rPr>
                <w:bCs/>
                <w:sz w:val="24"/>
              </w:rPr>
              <w:t>8y9kcv3</w:t>
            </w:r>
          </w:p>
          <w:p w:rsidR="00722094" w:rsidRPr="009C5B53" w:rsidRDefault="00722094" w:rsidP="00CC796D">
            <w:pPr>
              <w:rPr>
                <w:sz w:val="24"/>
                <w:highlight w:val="yellow"/>
              </w:rPr>
            </w:pPr>
          </w:p>
        </w:tc>
      </w:tr>
      <w:tr w:rsidR="00722094" w:rsidRPr="00403490" w:rsidTr="00B612D5">
        <w:trPr>
          <w:trHeight w:val="20"/>
          <w:jc w:val="center"/>
        </w:trPr>
        <w:tc>
          <w:tcPr>
            <w:tcW w:w="3614" w:type="dxa"/>
            <w:shd w:val="clear" w:color="auto" w:fill="auto"/>
          </w:tcPr>
          <w:p w:rsidR="00722094" w:rsidRDefault="00722094" w:rsidP="00E869EB">
            <w:pPr>
              <w:rPr>
                <w:i/>
                <w:sz w:val="24"/>
              </w:rPr>
            </w:pPr>
            <w:r>
              <w:rPr>
                <w:i/>
                <w:sz w:val="24"/>
              </w:rPr>
              <w:t>Odpovědní zástupci pro jednání:</w:t>
            </w:r>
          </w:p>
        </w:tc>
        <w:tc>
          <w:tcPr>
            <w:tcW w:w="6164" w:type="dxa"/>
            <w:shd w:val="clear" w:color="auto" w:fill="auto"/>
          </w:tcPr>
          <w:p w:rsidR="00722094" w:rsidRPr="009C5B53" w:rsidRDefault="00722094" w:rsidP="00CC796D">
            <w:pPr>
              <w:spacing w:before="120"/>
              <w:rPr>
                <w:sz w:val="24"/>
                <w:highlight w:val="yellow"/>
              </w:rPr>
            </w:pPr>
          </w:p>
        </w:tc>
      </w:tr>
      <w:tr w:rsidR="00722094" w:rsidRPr="00403490" w:rsidTr="00B612D5">
        <w:trPr>
          <w:trHeight w:val="20"/>
          <w:jc w:val="center"/>
        </w:trPr>
        <w:tc>
          <w:tcPr>
            <w:tcW w:w="3614" w:type="dxa"/>
            <w:shd w:val="clear" w:color="auto" w:fill="auto"/>
          </w:tcPr>
          <w:p w:rsidR="00722094" w:rsidRDefault="00722094" w:rsidP="00E869EB">
            <w:pPr>
              <w:rPr>
                <w:i/>
                <w:sz w:val="24"/>
              </w:rPr>
            </w:pPr>
            <w:r w:rsidRPr="00EA6BC7">
              <w:rPr>
                <w:i/>
                <w:sz w:val="24"/>
              </w:rPr>
              <w:t>-</w:t>
            </w:r>
            <w:r>
              <w:rPr>
                <w:i/>
                <w:sz w:val="24"/>
              </w:rPr>
              <w:t xml:space="preserve"> jednat ve věcech smluvních:</w:t>
            </w:r>
          </w:p>
        </w:tc>
        <w:tc>
          <w:tcPr>
            <w:tcW w:w="6164" w:type="dxa"/>
            <w:shd w:val="clear" w:color="auto" w:fill="auto"/>
          </w:tcPr>
          <w:p w:rsidR="00722094" w:rsidRPr="000E2F2D" w:rsidRDefault="000E2F2D" w:rsidP="00C042BD">
            <w:pPr>
              <w:spacing w:before="120"/>
              <w:rPr>
                <w:bCs/>
                <w:sz w:val="24"/>
              </w:rPr>
            </w:pPr>
            <w:r w:rsidRPr="000E2F2D">
              <w:rPr>
                <w:bCs/>
                <w:sz w:val="24"/>
              </w:rPr>
              <w:t>Martin Zedníček, tel.: 727 876 220</w:t>
            </w:r>
          </w:p>
          <w:p w:rsidR="000E2F2D" w:rsidRPr="009C5B53" w:rsidRDefault="000E2F2D" w:rsidP="00C042BD">
            <w:pPr>
              <w:spacing w:before="120"/>
              <w:rPr>
                <w:sz w:val="24"/>
                <w:highlight w:val="yellow"/>
              </w:rPr>
            </w:pPr>
            <w:r w:rsidRPr="000E2F2D">
              <w:rPr>
                <w:bCs/>
                <w:sz w:val="24"/>
              </w:rPr>
              <w:t>e</w:t>
            </w:r>
            <w:r w:rsidR="00B11DAB">
              <w:rPr>
                <w:bCs/>
                <w:sz w:val="24"/>
              </w:rPr>
              <w:t>-</w:t>
            </w:r>
            <w:r w:rsidRPr="000E2F2D">
              <w:rPr>
                <w:bCs/>
                <w:sz w:val="24"/>
              </w:rPr>
              <w:t>mail: zednicek@tomireko.cz</w:t>
            </w:r>
          </w:p>
        </w:tc>
      </w:tr>
      <w:tr w:rsidR="00722094" w:rsidRPr="00403490" w:rsidTr="00B612D5">
        <w:trPr>
          <w:trHeight w:val="20"/>
          <w:jc w:val="center"/>
        </w:trPr>
        <w:tc>
          <w:tcPr>
            <w:tcW w:w="3614" w:type="dxa"/>
            <w:shd w:val="clear" w:color="auto" w:fill="auto"/>
          </w:tcPr>
          <w:p w:rsidR="00722094" w:rsidRDefault="00722094" w:rsidP="00FD46EB">
            <w:pPr>
              <w:rPr>
                <w:i/>
                <w:sz w:val="24"/>
              </w:rPr>
            </w:pPr>
            <w:r>
              <w:rPr>
                <w:i/>
                <w:sz w:val="24"/>
              </w:rPr>
              <w:t>- jednat ve věcech technických:</w:t>
            </w:r>
          </w:p>
        </w:tc>
        <w:tc>
          <w:tcPr>
            <w:tcW w:w="6164" w:type="dxa"/>
            <w:shd w:val="clear" w:color="auto" w:fill="auto"/>
          </w:tcPr>
          <w:p w:rsidR="00722094" w:rsidRPr="00AA759F" w:rsidRDefault="00AA759F" w:rsidP="00CC796D">
            <w:pPr>
              <w:spacing w:before="120"/>
              <w:rPr>
                <w:bCs/>
                <w:sz w:val="24"/>
              </w:rPr>
            </w:pPr>
            <w:r w:rsidRPr="00AA759F">
              <w:rPr>
                <w:bCs/>
                <w:sz w:val="24"/>
              </w:rPr>
              <w:t>Ing. Josef Dvořák</w:t>
            </w:r>
            <w:r>
              <w:rPr>
                <w:bCs/>
                <w:sz w:val="24"/>
              </w:rPr>
              <w:t>, tel.: 725 087 705</w:t>
            </w:r>
          </w:p>
          <w:p w:rsidR="00AA759F" w:rsidRPr="009C5B53" w:rsidRDefault="00AA759F" w:rsidP="00CC796D">
            <w:pPr>
              <w:spacing w:before="120"/>
              <w:rPr>
                <w:sz w:val="24"/>
                <w:highlight w:val="yellow"/>
              </w:rPr>
            </w:pPr>
            <w:r w:rsidRPr="00AA759F">
              <w:rPr>
                <w:bCs/>
                <w:sz w:val="24"/>
              </w:rPr>
              <w:t>e</w:t>
            </w:r>
            <w:r w:rsidR="00B11DAB">
              <w:rPr>
                <w:bCs/>
                <w:sz w:val="24"/>
              </w:rPr>
              <w:t>-</w:t>
            </w:r>
            <w:r w:rsidRPr="00AA759F">
              <w:rPr>
                <w:bCs/>
                <w:sz w:val="24"/>
              </w:rPr>
              <w:t>mail: dvorak@tomireko.cz</w:t>
            </w:r>
          </w:p>
        </w:tc>
      </w:tr>
      <w:tr w:rsidR="00E869EB" w:rsidTr="005E3302">
        <w:trPr>
          <w:trHeight w:val="20"/>
          <w:jc w:val="center"/>
        </w:trPr>
        <w:tc>
          <w:tcPr>
            <w:tcW w:w="3614" w:type="dxa"/>
            <w:tcBorders>
              <w:bottom w:val="nil"/>
            </w:tcBorders>
            <w:shd w:val="clear" w:color="auto" w:fill="auto"/>
          </w:tcPr>
          <w:p w:rsidR="00E869EB" w:rsidRDefault="00E869EB" w:rsidP="00FD46EB">
            <w:pPr>
              <w:spacing w:after="120"/>
              <w:rPr>
                <w:i/>
                <w:sz w:val="24"/>
              </w:rPr>
            </w:pPr>
            <w:r>
              <w:rPr>
                <w:i/>
                <w:sz w:val="24"/>
              </w:rPr>
              <w:t xml:space="preserve">(dále jen „zhotovitel“)  </w:t>
            </w:r>
          </w:p>
        </w:tc>
        <w:tc>
          <w:tcPr>
            <w:tcW w:w="6164" w:type="dxa"/>
            <w:tcBorders>
              <w:bottom w:val="nil"/>
            </w:tcBorders>
          </w:tcPr>
          <w:p w:rsidR="00E869EB" w:rsidRDefault="00E869EB" w:rsidP="00FD46EB">
            <w:pPr>
              <w:spacing w:beforeLines="20" w:before="48"/>
              <w:rPr>
                <w:sz w:val="24"/>
              </w:rPr>
            </w:pPr>
          </w:p>
        </w:tc>
      </w:tr>
    </w:tbl>
    <w:p w:rsidR="00E869EB" w:rsidRDefault="00E869EB" w:rsidP="002E7917">
      <w:pPr>
        <w:spacing w:beforeLines="20" w:before="48"/>
        <w:ind w:left="-284"/>
        <w:jc w:val="both"/>
        <w:rPr>
          <w:sz w:val="24"/>
        </w:rPr>
      </w:pPr>
    </w:p>
    <w:p w:rsidR="00AE2642" w:rsidRDefault="00AE2642" w:rsidP="002E7917">
      <w:pPr>
        <w:spacing w:beforeLines="20" w:before="48"/>
        <w:ind w:left="-284"/>
        <w:jc w:val="both"/>
        <w:rPr>
          <w:sz w:val="24"/>
        </w:rPr>
      </w:pPr>
      <w:r w:rsidRPr="007B268E">
        <w:rPr>
          <w:sz w:val="24"/>
        </w:rPr>
        <w:t>za takto dohodnutých podmínek:</w:t>
      </w:r>
    </w:p>
    <w:p w:rsidR="00857513" w:rsidRPr="00095FDB" w:rsidRDefault="00857513" w:rsidP="00B11DAB">
      <w:pPr>
        <w:shd w:val="clear" w:color="00FFFF" w:fill="auto"/>
        <w:spacing w:beforeLines="20" w:before="48"/>
        <w:rPr>
          <w:b/>
          <w:sz w:val="24"/>
        </w:rPr>
      </w:pPr>
    </w:p>
    <w:p w:rsidR="00857513" w:rsidRDefault="00CC1D62" w:rsidP="007B0E9D">
      <w:pPr>
        <w:shd w:val="clear" w:color="00FFFF" w:fill="auto"/>
        <w:spacing w:after="120"/>
        <w:jc w:val="center"/>
        <w:rPr>
          <w:b/>
          <w:bCs/>
          <w:sz w:val="24"/>
          <w:u w:val="single"/>
        </w:rPr>
      </w:pPr>
      <w:r>
        <w:rPr>
          <w:b/>
          <w:bCs/>
          <w:sz w:val="24"/>
          <w:szCs w:val="24"/>
          <w:u w:val="single"/>
        </w:rPr>
        <w:lastRenderedPageBreak/>
        <w:t xml:space="preserve">I. </w:t>
      </w:r>
      <w:r w:rsidR="00AE2642" w:rsidRPr="00CC1D62">
        <w:rPr>
          <w:b/>
          <w:bCs/>
          <w:sz w:val="24"/>
          <w:szCs w:val="24"/>
          <w:u w:val="single"/>
        </w:rPr>
        <w:t>PŘEDMĚT</w:t>
      </w:r>
      <w:r w:rsidR="00053D8D" w:rsidRPr="00CC1D62">
        <w:rPr>
          <w:b/>
          <w:bCs/>
          <w:sz w:val="24"/>
          <w:u w:val="single"/>
        </w:rPr>
        <w:t xml:space="preserve"> </w:t>
      </w:r>
      <w:r w:rsidR="00AE2642" w:rsidRPr="00CC1D62">
        <w:rPr>
          <w:b/>
          <w:bCs/>
          <w:sz w:val="24"/>
          <w:u w:val="single"/>
        </w:rPr>
        <w:t>DÍLA</w:t>
      </w:r>
    </w:p>
    <w:p w:rsidR="00116331" w:rsidRDefault="00116331" w:rsidP="00C456CC">
      <w:pPr>
        <w:jc w:val="both"/>
        <w:rPr>
          <w:b/>
          <w:bCs/>
          <w:sz w:val="24"/>
          <w:u w:val="single"/>
        </w:rPr>
      </w:pPr>
    </w:p>
    <w:p w:rsidR="00CB029C" w:rsidRDefault="0024417C" w:rsidP="00CB029C">
      <w:pPr>
        <w:jc w:val="both"/>
        <w:rPr>
          <w:sz w:val="24"/>
          <w:szCs w:val="24"/>
        </w:rPr>
      </w:pPr>
      <w:r w:rsidRPr="00C456CC">
        <w:rPr>
          <w:sz w:val="24"/>
          <w:szCs w:val="24"/>
        </w:rPr>
        <w:t xml:space="preserve">Předmětem </w:t>
      </w:r>
      <w:r w:rsidR="00F92749" w:rsidRPr="00C456CC">
        <w:rPr>
          <w:sz w:val="24"/>
          <w:szCs w:val="24"/>
        </w:rPr>
        <w:t>díla</w:t>
      </w:r>
      <w:r w:rsidR="003B1246" w:rsidRPr="00C456CC">
        <w:rPr>
          <w:sz w:val="24"/>
          <w:szCs w:val="24"/>
        </w:rPr>
        <w:t xml:space="preserve"> je</w:t>
      </w:r>
      <w:r w:rsidR="00116331">
        <w:rPr>
          <w:sz w:val="24"/>
          <w:szCs w:val="24"/>
        </w:rPr>
        <w:t xml:space="preserve"> závazek zhotovitele </w:t>
      </w:r>
      <w:r w:rsidR="00CB029C">
        <w:rPr>
          <w:sz w:val="24"/>
          <w:szCs w:val="24"/>
        </w:rPr>
        <w:t>vybudovat plynovou středotlakou přípojku pro areál armády ČR od nápojného místa na stávajícím středotlakém plynovodu</w:t>
      </w:r>
      <w:r w:rsidR="008F5951">
        <w:rPr>
          <w:sz w:val="24"/>
          <w:szCs w:val="24"/>
        </w:rPr>
        <w:t xml:space="preserve"> </w:t>
      </w:r>
      <w:r w:rsidR="00CB029C">
        <w:rPr>
          <w:sz w:val="24"/>
          <w:szCs w:val="24"/>
        </w:rPr>
        <w:t xml:space="preserve">v ulici Za Tratí až po ukončení na hranici pozemku </w:t>
      </w:r>
      <w:r w:rsidR="00B11DAB">
        <w:rPr>
          <w:sz w:val="24"/>
          <w:szCs w:val="24"/>
        </w:rPr>
        <w:t>objednatele</w:t>
      </w:r>
      <w:r w:rsidR="00CB029C">
        <w:rPr>
          <w:sz w:val="24"/>
          <w:szCs w:val="24"/>
        </w:rPr>
        <w:t>, kde bude ukončena hlavním uzávěrem plynu.</w:t>
      </w:r>
    </w:p>
    <w:p w:rsidR="00CB029C" w:rsidRDefault="00CB029C" w:rsidP="00CB029C">
      <w:pPr>
        <w:jc w:val="both"/>
        <w:rPr>
          <w:sz w:val="24"/>
          <w:szCs w:val="24"/>
        </w:rPr>
      </w:pPr>
    </w:p>
    <w:p w:rsidR="00116331" w:rsidRPr="00116331" w:rsidRDefault="00DC5D3B" w:rsidP="00116331">
      <w:pPr>
        <w:spacing w:line="288" w:lineRule="auto"/>
        <w:jc w:val="both"/>
        <w:rPr>
          <w:sz w:val="24"/>
          <w:szCs w:val="24"/>
        </w:rPr>
      </w:pPr>
      <w:r>
        <w:rPr>
          <w:sz w:val="24"/>
          <w:szCs w:val="24"/>
        </w:rPr>
        <w:t>Podrobná specifikace</w:t>
      </w:r>
      <w:r w:rsidR="007A11CD">
        <w:rPr>
          <w:sz w:val="24"/>
          <w:szCs w:val="24"/>
        </w:rPr>
        <w:t xml:space="preserve"> díla</w:t>
      </w:r>
      <w:r w:rsidR="00D749E5">
        <w:rPr>
          <w:sz w:val="24"/>
          <w:szCs w:val="24"/>
        </w:rPr>
        <w:t>:</w:t>
      </w:r>
    </w:p>
    <w:p w:rsidR="00116331" w:rsidRDefault="00CB029C" w:rsidP="00116331">
      <w:pPr>
        <w:numPr>
          <w:ilvl w:val="0"/>
          <w:numId w:val="22"/>
        </w:numPr>
        <w:spacing w:line="288" w:lineRule="auto"/>
        <w:ind w:left="714" w:hanging="357"/>
        <w:jc w:val="both"/>
        <w:rPr>
          <w:sz w:val="24"/>
          <w:szCs w:val="24"/>
        </w:rPr>
      </w:pPr>
      <w:r w:rsidRPr="00CB029C">
        <w:rPr>
          <w:sz w:val="24"/>
          <w:szCs w:val="24"/>
        </w:rPr>
        <w:t>realizace díla podle zpracované projektové dokumentace „Plynofikace vojenského areálu Dobronín“ (zpracovatel TZ pro, s.r.o., Filipínského 55, 615 00</w:t>
      </w:r>
      <w:r w:rsidR="00B11DAB">
        <w:rPr>
          <w:sz w:val="24"/>
          <w:szCs w:val="24"/>
        </w:rPr>
        <w:t>,</w:t>
      </w:r>
      <w:r w:rsidRPr="00CB029C">
        <w:rPr>
          <w:sz w:val="24"/>
          <w:szCs w:val="24"/>
        </w:rPr>
        <w:t xml:space="preserve"> Brno, 04/2015, pod číslem zakázky 107500022)</w:t>
      </w:r>
      <w:r w:rsidRPr="00CB029C">
        <w:rPr>
          <w:color w:val="FF0000"/>
          <w:sz w:val="24"/>
          <w:szCs w:val="24"/>
        </w:rPr>
        <w:t xml:space="preserve"> </w:t>
      </w:r>
      <w:r w:rsidRPr="00CB029C">
        <w:rPr>
          <w:sz w:val="24"/>
          <w:szCs w:val="24"/>
        </w:rPr>
        <w:t xml:space="preserve">vydaného  územního řízení: č.j. MUPL/4126/2016 ze dne 30. 6. 2016, a vydaného koordinovaného závazného stanoviska č.j. 2238-2/2015-1216 ze dne 2. 12. 2015, za dodržení podmínek stanovisek vydaných v rámci, územního řízení a dle naceněného </w:t>
      </w:r>
      <w:r w:rsidR="00B11DAB">
        <w:rPr>
          <w:sz w:val="24"/>
          <w:szCs w:val="24"/>
        </w:rPr>
        <w:t>S</w:t>
      </w:r>
      <w:r w:rsidRPr="00CB029C">
        <w:rPr>
          <w:sz w:val="24"/>
          <w:szCs w:val="24"/>
        </w:rPr>
        <w:t xml:space="preserve">oupisu stavebních prací a dodávek, </w:t>
      </w:r>
      <w:r w:rsidR="00B11DAB">
        <w:rPr>
          <w:sz w:val="24"/>
          <w:szCs w:val="24"/>
        </w:rPr>
        <w:t>P</w:t>
      </w:r>
      <w:r>
        <w:rPr>
          <w:sz w:val="24"/>
          <w:szCs w:val="24"/>
        </w:rPr>
        <w:t>říloha č. 2</w:t>
      </w:r>
      <w:r w:rsidRPr="00CB029C">
        <w:rPr>
          <w:sz w:val="24"/>
          <w:szCs w:val="24"/>
        </w:rPr>
        <w:t>, nedílná součást smlouvy</w:t>
      </w:r>
      <w:r w:rsidR="00D749E5">
        <w:rPr>
          <w:sz w:val="24"/>
          <w:szCs w:val="24"/>
        </w:rPr>
        <w:t>.</w:t>
      </w:r>
    </w:p>
    <w:p w:rsidR="008F5951" w:rsidRDefault="00DC5D3B" w:rsidP="00116331">
      <w:pPr>
        <w:numPr>
          <w:ilvl w:val="0"/>
          <w:numId w:val="22"/>
        </w:numPr>
        <w:spacing w:line="288" w:lineRule="auto"/>
        <w:ind w:left="714" w:hanging="357"/>
        <w:jc w:val="both"/>
        <w:rPr>
          <w:sz w:val="24"/>
          <w:szCs w:val="24"/>
        </w:rPr>
      </w:pPr>
      <w:r>
        <w:rPr>
          <w:sz w:val="24"/>
          <w:szCs w:val="24"/>
        </w:rPr>
        <w:t>vytyčení stávajících podzemních inženýrských sítí před zahájením prací, provedení kopaných sond k ověření polohy sítí v přiměřených rozestupech. Obnažené inženýrské sítě zabezpečit proti poškození a při zasypáván</w:t>
      </w:r>
      <w:r w:rsidR="00B11DAB">
        <w:rPr>
          <w:sz w:val="24"/>
          <w:szCs w:val="24"/>
        </w:rPr>
        <w:t>í výkopů chránit zásypy, obsypy</w:t>
      </w:r>
      <w:r>
        <w:rPr>
          <w:sz w:val="24"/>
          <w:szCs w:val="24"/>
        </w:rPr>
        <w:t xml:space="preserve"> výstražnými foliemi či jiným vhodným způsobem v souladu s příslušnými normami.</w:t>
      </w:r>
    </w:p>
    <w:p w:rsidR="00DC5D3B" w:rsidRPr="00DC5D3B" w:rsidRDefault="00DC5D3B" w:rsidP="00DC5D3B">
      <w:pPr>
        <w:numPr>
          <w:ilvl w:val="0"/>
          <w:numId w:val="22"/>
        </w:numPr>
        <w:spacing w:line="288" w:lineRule="auto"/>
        <w:ind w:left="714" w:hanging="357"/>
        <w:jc w:val="both"/>
        <w:rPr>
          <w:rFonts w:eastAsia="Calibri"/>
          <w:sz w:val="24"/>
          <w:szCs w:val="24"/>
          <w:lang w:eastAsia="en-US"/>
        </w:rPr>
      </w:pPr>
      <w:r>
        <w:rPr>
          <w:sz w:val="24"/>
          <w:szCs w:val="24"/>
        </w:rPr>
        <w:t xml:space="preserve">veškeré výkopy a zemní práce provádět pomocí strojní mechanizace </w:t>
      </w:r>
      <w:r w:rsidRPr="00DC5D3B">
        <w:rPr>
          <w:rFonts w:eastAsia="Calibri"/>
          <w:sz w:val="24"/>
          <w:szCs w:val="24"/>
          <w:lang w:eastAsia="en-US"/>
        </w:rPr>
        <w:t>a ručním dokopáním. V mís</w:t>
      </w:r>
      <w:r w:rsidR="00B11DAB">
        <w:rPr>
          <w:rFonts w:eastAsia="Calibri"/>
          <w:sz w:val="24"/>
          <w:szCs w:val="24"/>
          <w:lang w:eastAsia="en-US"/>
        </w:rPr>
        <w:t>tě souběhu a křížení s ostatním vedením</w:t>
      </w:r>
      <w:r w:rsidRPr="00DC5D3B">
        <w:rPr>
          <w:rFonts w:eastAsia="Calibri"/>
          <w:sz w:val="24"/>
          <w:szCs w:val="24"/>
          <w:lang w:eastAsia="en-US"/>
        </w:rPr>
        <w:t xml:space="preserve"> zemní práce provádě</w:t>
      </w:r>
      <w:r w:rsidR="00DE3B2A">
        <w:rPr>
          <w:rFonts w:eastAsia="Calibri"/>
          <w:sz w:val="24"/>
          <w:szCs w:val="24"/>
          <w:lang w:eastAsia="en-US"/>
        </w:rPr>
        <w:t>t</w:t>
      </w:r>
      <w:r w:rsidRPr="00DC5D3B">
        <w:rPr>
          <w:rFonts w:eastAsia="Calibri"/>
          <w:sz w:val="24"/>
          <w:szCs w:val="24"/>
          <w:lang w:eastAsia="en-US"/>
        </w:rPr>
        <w:t xml:space="preserve"> ručně s co největší opatrností, aby nedošlo k jejich porušení za přítomnosti provozovatelů jednotlivých zařízení.</w:t>
      </w:r>
      <w:r>
        <w:rPr>
          <w:rFonts w:eastAsia="Calibri"/>
          <w:sz w:val="24"/>
          <w:szCs w:val="24"/>
          <w:lang w:eastAsia="en-US"/>
        </w:rPr>
        <w:t xml:space="preserve"> </w:t>
      </w:r>
      <w:r w:rsidRPr="00DC5D3B">
        <w:rPr>
          <w:rFonts w:eastAsia="Calibri"/>
          <w:sz w:val="24"/>
          <w:szCs w:val="24"/>
          <w:lang w:eastAsia="en-US"/>
        </w:rPr>
        <w:t>K</w:t>
      </w:r>
      <w:r w:rsidR="00B11DAB">
        <w:rPr>
          <w:rFonts w:eastAsia="Calibri"/>
          <w:sz w:val="24"/>
          <w:szCs w:val="24"/>
          <w:lang w:eastAsia="en-US"/>
        </w:rPr>
        <w:t>řížení s komunikacemi</w:t>
      </w:r>
      <w:r w:rsidR="00D416A1">
        <w:rPr>
          <w:rFonts w:eastAsia="Calibri"/>
          <w:sz w:val="24"/>
          <w:szCs w:val="24"/>
          <w:lang w:eastAsia="en-US"/>
        </w:rPr>
        <w:t xml:space="preserve"> </w:t>
      </w:r>
      <w:r w:rsidRPr="00DC5D3B">
        <w:rPr>
          <w:rFonts w:eastAsia="Calibri"/>
          <w:sz w:val="24"/>
          <w:szCs w:val="24"/>
          <w:lang w:eastAsia="en-US"/>
        </w:rPr>
        <w:t>provádět překopem</w:t>
      </w:r>
      <w:r w:rsidR="00D749E5">
        <w:rPr>
          <w:rFonts w:eastAsia="Calibri"/>
          <w:sz w:val="24"/>
          <w:szCs w:val="24"/>
          <w:lang w:eastAsia="en-US"/>
        </w:rPr>
        <w:t>.</w:t>
      </w:r>
    </w:p>
    <w:p w:rsidR="00DC5D3B" w:rsidRPr="00D931D9" w:rsidRDefault="00DC5D3B" w:rsidP="00DC5D3B">
      <w:pPr>
        <w:numPr>
          <w:ilvl w:val="0"/>
          <w:numId w:val="22"/>
        </w:numPr>
        <w:autoSpaceDE w:val="0"/>
        <w:autoSpaceDN w:val="0"/>
        <w:adjustRightInd w:val="0"/>
        <w:spacing w:after="200" w:line="288" w:lineRule="auto"/>
        <w:contextualSpacing/>
        <w:jc w:val="both"/>
        <w:rPr>
          <w:rFonts w:eastAsia="Calibri"/>
          <w:sz w:val="24"/>
          <w:szCs w:val="24"/>
          <w:lang w:eastAsia="en-US"/>
        </w:rPr>
      </w:pPr>
      <w:r>
        <w:rPr>
          <w:rFonts w:eastAsiaTheme="minorHAnsi"/>
          <w:sz w:val="24"/>
          <w:szCs w:val="24"/>
          <w:lang w:eastAsia="en-US"/>
        </w:rPr>
        <w:t>n</w:t>
      </w:r>
      <w:r w:rsidRPr="00DC5D3B">
        <w:rPr>
          <w:rFonts w:eastAsiaTheme="minorHAnsi"/>
          <w:sz w:val="24"/>
          <w:szCs w:val="24"/>
          <w:lang w:eastAsia="en-US"/>
        </w:rPr>
        <w:t xml:space="preserve">a veřejných prostranstvích a veřejně přístupných komunikacích </w:t>
      </w:r>
      <w:r w:rsidR="00DE3B2A">
        <w:rPr>
          <w:rFonts w:eastAsiaTheme="minorHAnsi"/>
          <w:sz w:val="24"/>
          <w:szCs w:val="24"/>
          <w:lang w:eastAsia="en-US"/>
        </w:rPr>
        <w:t>zřídit</w:t>
      </w:r>
      <w:r w:rsidR="00B11DAB">
        <w:rPr>
          <w:rFonts w:eastAsiaTheme="minorHAnsi"/>
          <w:sz w:val="24"/>
          <w:szCs w:val="24"/>
          <w:lang w:eastAsia="en-US"/>
        </w:rPr>
        <w:t xml:space="preserve"> přes výkopy </w:t>
      </w:r>
      <w:r w:rsidRPr="00DC5D3B">
        <w:rPr>
          <w:rFonts w:eastAsia="Calibri"/>
          <w:sz w:val="24"/>
          <w:szCs w:val="24"/>
          <w:lang w:eastAsia="en-US"/>
        </w:rPr>
        <w:t>přechody nebo přejezdy, kapacitně odpovídající danému provozu, dostatečně únosné a bezpečné. P</w:t>
      </w:r>
      <w:r w:rsidRPr="00DC5D3B">
        <w:rPr>
          <w:rFonts w:eastAsiaTheme="minorHAnsi"/>
          <w:sz w:val="24"/>
          <w:szCs w:val="24"/>
          <w:lang w:eastAsia="en-US"/>
        </w:rPr>
        <w:t xml:space="preserve">řechody o šířce nejméně 1,5 m </w:t>
      </w:r>
      <w:r w:rsidR="00DE3B2A">
        <w:rPr>
          <w:rFonts w:eastAsiaTheme="minorHAnsi"/>
          <w:sz w:val="24"/>
          <w:szCs w:val="24"/>
          <w:lang w:eastAsia="en-US"/>
        </w:rPr>
        <w:t>opatřit</w:t>
      </w:r>
      <w:r w:rsidRPr="00DC5D3B">
        <w:rPr>
          <w:rFonts w:eastAsiaTheme="minorHAnsi"/>
          <w:sz w:val="24"/>
          <w:szCs w:val="24"/>
          <w:lang w:eastAsia="en-US"/>
        </w:rPr>
        <w:t xml:space="preserve"> zábradlím (viz </w:t>
      </w:r>
      <w:r w:rsidRPr="00DC5D3B">
        <w:rPr>
          <w:rFonts w:eastAsiaTheme="minorHAnsi"/>
          <w:bCs/>
          <w:sz w:val="24"/>
          <w:szCs w:val="24"/>
          <w:lang w:eastAsia="en-US"/>
        </w:rPr>
        <w:t>zabezpečení výkopů</w:t>
      </w:r>
      <w:r w:rsidRPr="00DC5D3B">
        <w:rPr>
          <w:rFonts w:eastAsiaTheme="minorHAnsi"/>
          <w:sz w:val="24"/>
          <w:szCs w:val="24"/>
          <w:lang w:eastAsia="en-US"/>
        </w:rPr>
        <w:t>)</w:t>
      </w:r>
      <w:r w:rsidR="00D749E5">
        <w:rPr>
          <w:rFonts w:eastAsiaTheme="minorHAnsi"/>
          <w:sz w:val="24"/>
          <w:szCs w:val="24"/>
          <w:lang w:eastAsia="en-US"/>
        </w:rPr>
        <w:t>.</w:t>
      </w:r>
    </w:p>
    <w:p w:rsidR="00D931D9" w:rsidRPr="00D931D9" w:rsidRDefault="00D931D9" w:rsidP="00D931D9">
      <w:pPr>
        <w:numPr>
          <w:ilvl w:val="0"/>
          <w:numId w:val="22"/>
        </w:numPr>
        <w:autoSpaceDE w:val="0"/>
        <w:autoSpaceDN w:val="0"/>
        <w:adjustRightInd w:val="0"/>
        <w:spacing w:after="200" w:line="288" w:lineRule="auto"/>
        <w:ind w:hanging="357"/>
        <w:contextualSpacing/>
        <w:jc w:val="both"/>
        <w:rPr>
          <w:rFonts w:eastAsia="Calibri"/>
          <w:sz w:val="24"/>
          <w:szCs w:val="24"/>
          <w:lang w:eastAsia="en-US"/>
        </w:rPr>
      </w:pPr>
      <w:r>
        <w:rPr>
          <w:sz w:val="24"/>
          <w:szCs w:val="24"/>
        </w:rPr>
        <w:t>p</w:t>
      </w:r>
      <w:r w:rsidRPr="00D931D9">
        <w:rPr>
          <w:sz w:val="24"/>
          <w:szCs w:val="24"/>
        </w:rPr>
        <w:t>o ukonče</w:t>
      </w:r>
      <w:r>
        <w:rPr>
          <w:sz w:val="24"/>
          <w:szCs w:val="24"/>
        </w:rPr>
        <w:t xml:space="preserve">ní výkopových prací </w:t>
      </w:r>
      <w:r w:rsidR="00B11DAB">
        <w:rPr>
          <w:sz w:val="24"/>
          <w:szCs w:val="24"/>
        </w:rPr>
        <w:t xml:space="preserve">provést </w:t>
      </w:r>
      <w:r w:rsidRPr="00D931D9">
        <w:rPr>
          <w:sz w:val="24"/>
          <w:szCs w:val="24"/>
        </w:rPr>
        <w:t>zapravení zpevněných ploch, komunikací a </w:t>
      </w:r>
      <w:r w:rsidR="00831002">
        <w:rPr>
          <w:sz w:val="24"/>
          <w:szCs w:val="24"/>
        </w:rPr>
        <w:t>terén uvést do původního stavu</w:t>
      </w:r>
    </w:p>
    <w:p w:rsidR="00DC5D3B" w:rsidRPr="009E0D49" w:rsidRDefault="00DC5D3B" w:rsidP="009E0D49">
      <w:pPr>
        <w:numPr>
          <w:ilvl w:val="0"/>
          <w:numId w:val="22"/>
        </w:numPr>
        <w:spacing w:line="288" w:lineRule="auto"/>
        <w:ind w:left="714" w:hanging="357"/>
        <w:jc w:val="both"/>
        <w:rPr>
          <w:rFonts w:eastAsia="Calibri"/>
          <w:sz w:val="24"/>
          <w:szCs w:val="24"/>
          <w:lang w:eastAsia="en-US"/>
        </w:rPr>
      </w:pPr>
      <w:r>
        <w:rPr>
          <w:rFonts w:eastAsia="Calibri"/>
          <w:bCs/>
          <w:sz w:val="24"/>
          <w:szCs w:val="24"/>
        </w:rPr>
        <w:t xml:space="preserve">provedení </w:t>
      </w:r>
      <w:r w:rsidR="009E6DFB">
        <w:rPr>
          <w:rFonts w:eastAsia="Calibri"/>
          <w:bCs/>
          <w:sz w:val="24"/>
          <w:szCs w:val="24"/>
        </w:rPr>
        <w:t xml:space="preserve">předepsaných </w:t>
      </w:r>
      <w:r>
        <w:rPr>
          <w:rFonts w:eastAsia="Calibri"/>
          <w:bCs/>
          <w:sz w:val="24"/>
          <w:szCs w:val="24"/>
        </w:rPr>
        <w:t>zkoušek dle</w:t>
      </w:r>
      <w:r w:rsidR="00D416A1">
        <w:rPr>
          <w:rFonts w:eastAsia="Calibri"/>
          <w:bCs/>
          <w:sz w:val="24"/>
          <w:szCs w:val="24"/>
        </w:rPr>
        <w:t xml:space="preserve"> </w:t>
      </w:r>
      <w:r w:rsidR="009E6DFB">
        <w:rPr>
          <w:rFonts w:eastAsia="Calibri"/>
          <w:bCs/>
          <w:sz w:val="24"/>
          <w:szCs w:val="24"/>
        </w:rPr>
        <w:t xml:space="preserve">platných </w:t>
      </w:r>
      <w:r w:rsidR="00D416A1">
        <w:rPr>
          <w:rFonts w:eastAsia="Calibri"/>
          <w:bCs/>
          <w:sz w:val="24"/>
          <w:szCs w:val="24"/>
        </w:rPr>
        <w:t>ČSN</w:t>
      </w:r>
      <w:r w:rsidR="009E0D49">
        <w:rPr>
          <w:rFonts w:eastAsia="Calibri"/>
          <w:bCs/>
          <w:sz w:val="24"/>
          <w:szCs w:val="24"/>
        </w:rPr>
        <w:t xml:space="preserve">, </w:t>
      </w:r>
      <w:r w:rsidR="00D416A1">
        <w:rPr>
          <w:rFonts w:eastAsia="Calibri"/>
          <w:bCs/>
          <w:sz w:val="24"/>
          <w:szCs w:val="24"/>
        </w:rPr>
        <w:t>p</w:t>
      </w:r>
      <w:r w:rsidR="009E0D49">
        <w:rPr>
          <w:rFonts w:eastAsia="Calibri"/>
          <w:bCs/>
          <w:sz w:val="24"/>
          <w:szCs w:val="24"/>
        </w:rPr>
        <w:t>ředání knihy plynových zařízení</w:t>
      </w:r>
      <w:r w:rsidR="00D749E5">
        <w:rPr>
          <w:rFonts w:eastAsia="Calibri"/>
          <w:bCs/>
          <w:sz w:val="24"/>
          <w:szCs w:val="24"/>
        </w:rPr>
        <w:t>,</w:t>
      </w:r>
      <w:r w:rsidR="009E0D49" w:rsidRPr="009E0D49">
        <w:rPr>
          <w:rFonts w:eastAsia="Calibri"/>
          <w:sz w:val="24"/>
          <w:szCs w:val="24"/>
          <w:lang w:eastAsia="en-US"/>
        </w:rPr>
        <w:t xml:space="preserve"> záruční</w:t>
      </w:r>
      <w:r w:rsidR="009E0D49">
        <w:rPr>
          <w:rFonts w:eastAsia="Calibri"/>
          <w:sz w:val="24"/>
          <w:szCs w:val="24"/>
          <w:lang w:eastAsia="en-US"/>
        </w:rPr>
        <w:t xml:space="preserve">ch </w:t>
      </w:r>
      <w:r w:rsidR="009E0D49" w:rsidRPr="009E0D49">
        <w:rPr>
          <w:rFonts w:eastAsia="Calibri"/>
          <w:sz w:val="24"/>
          <w:szCs w:val="24"/>
          <w:lang w:eastAsia="en-US"/>
        </w:rPr>
        <w:t>list</w:t>
      </w:r>
      <w:r w:rsidR="009E0D49">
        <w:rPr>
          <w:rFonts w:eastAsia="Calibri"/>
          <w:sz w:val="24"/>
          <w:szCs w:val="24"/>
          <w:lang w:eastAsia="en-US"/>
        </w:rPr>
        <w:t>ů</w:t>
      </w:r>
      <w:r w:rsidR="00831002">
        <w:rPr>
          <w:rFonts w:eastAsia="Calibri"/>
          <w:sz w:val="24"/>
          <w:szCs w:val="24"/>
          <w:lang w:eastAsia="en-US"/>
        </w:rPr>
        <w:t>, provedení zaškolení obsluhy</w:t>
      </w:r>
    </w:p>
    <w:p w:rsidR="00DC5D3B" w:rsidRDefault="00DC5D3B" w:rsidP="00DC5D3B">
      <w:pPr>
        <w:numPr>
          <w:ilvl w:val="0"/>
          <w:numId w:val="22"/>
        </w:numPr>
        <w:spacing w:line="288" w:lineRule="auto"/>
        <w:ind w:left="714" w:hanging="357"/>
        <w:jc w:val="both"/>
        <w:rPr>
          <w:sz w:val="24"/>
          <w:szCs w:val="24"/>
        </w:rPr>
      </w:pPr>
      <w:r>
        <w:rPr>
          <w:bCs/>
          <w:sz w:val="24"/>
          <w:szCs w:val="24"/>
        </w:rPr>
        <w:t>doložení</w:t>
      </w:r>
      <w:r w:rsidRPr="00B12CA7">
        <w:rPr>
          <w:bCs/>
          <w:sz w:val="24"/>
          <w:szCs w:val="24"/>
        </w:rPr>
        <w:t xml:space="preserve"> vešker</w:t>
      </w:r>
      <w:r>
        <w:rPr>
          <w:bCs/>
          <w:sz w:val="24"/>
          <w:szCs w:val="24"/>
        </w:rPr>
        <w:t xml:space="preserve">ých </w:t>
      </w:r>
      <w:r w:rsidRPr="00B12CA7">
        <w:rPr>
          <w:sz w:val="24"/>
          <w:szCs w:val="24"/>
        </w:rPr>
        <w:t>výchozí</w:t>
      </w:r>
      <w:r>
        <w:rPr>
          <w:sz w:val="24"/>
          <w:szCs w:val="24"/>
        </w:rPr>
        <w:t xml:space="preserve">ch </w:t>
      </w:r>
      <w:r w:rsidRPr="00B12CA7">
        <w:rPr>
          <w:sz w:val="24"/>
          <w:szCs w:val="24"/>
        </w:rPr>
        <w:t>reviz</w:t>
      </w:r>
      <w:r>
        <w:rPr>
          <w:sz w:val="24"/>
          <w:szCs w:val="24"/>
        </w:rPr>
        <w:t>í</w:t>
      </w:r>
      <w:r w:rsidRPr="00B12CA7">
        <w:rPr>
          <w:sz w:val="24"/>
          <w:szCs w:val="24"/>
        </w:rPr>
        <w:t>,</w:t>
      </w:r>
      <w:r w:rsidRPr="00B12CA7">
        <w:rPr>
          <w:bCs/>
          <w:sz w:val="24"/>
          <w:szCs w:val="24"/>
        </w:rPr>
        <w:t xml:space="preserve"> </w:t>
      </w:r>
      <w:r>
        <w:rPr>
          <w:sz w:val="24"/>
          <w:szCs w:val="24"/>
        </w:rPr>
        <w:t>protokol</w:t>
      </w:r>
      <w:r w:rsidR="00D416A1">
        <w:rPr>
          <w:sz w:val="24"/>
          <w:szCs w:val="24"/>
        </w:rPr>
        <w:t>ů</w:t>
      </w:r>
      <w:r w:rsidRPr="00B12CA7">
        <w:rPr>
          <w:sz w:val="24"/>
          <w:szCs w:val="24"/>
        </w:rPr>
        <w:t xml:space="preserve"> o příslušných zkouškách,</w:t>
      </w:r>
      <w:r w:rsidR="00D416A1">
        <w:rPr>
          <w:bCs/>
          <w:sz w:val="24"/>
          <w:szCs w:val="24"/>
        </w:rPr>
        <w:t xml:space="preserve"> atestů</w:t>
      </w:r>
      <w:r w:rsidRPr="00B12CA7">
        <w:rPr>
          <w:bCs/>
          <w:sz w:val="24"/>
          <w:szCs w:val="24"/>
        </w:rPr>
        <w:t xml:space="preserve"> výrobků a materiálu</w:t>
      </w:r>
      <w:r w:rsidRPr="00B12CA7">
        <w:rPr>
          <w:sz w:val="24"/>
          <w:szCs w:val="24"/>
        </w:rPr>
        <w:t xml:space="preserve">, doložení prohlášení o shodě na dodané výrobky a ostatní doklady pro vydání </w:t>
      </w:r>
      <w:r w:rsidR="00831002">
        <w:rPr>
          <w:sz w:val="24"/>
          <w:szCs w:val="24"/>
        </w:rPr>
        <w:t>kolaudačního souhlasu k provozu</w:t>
      </w:r>
      <w:r w:rsidR="00454767">
        <w:rPr>
          <w:sz w:val="24"/>
          <w:szCs w:val="24"/>
        </w:rPr>
        <w:t xml:space="preserve"> </w:t>
      </w:r>
    </w:p>
    <w:p w:rsidR="00D749E5" w:rsidRPr="00893AFB" w:rsidRDefault="00D749E5" w:rsidP="00D749E5">
      <w:pPr>
        <w:numPr>
          <w:ilvl w:val="0"/>
          <w:numId w:val="22"/>
        </w:numPr>
        <w:spacing w:line="288" w:lineRule="auto"/>
        <w:ind w:left="714" w:hanging="357"/>
        <w:jc w:val="both"/>
        <w:rPr>
          <w:sz w:val="24"/>
          <w:szCs w:val="24"/>
        </w:rPr>
      </w:pPr>
      <w:r>
        <w:rPr>
          <w:sz w:val="24"/>
          <w:szCs w:val="24"/>
        </w:rPr>
        <w:t>zpracování</w:t>
      </w:r>
      <w:r w:rsidRPr="00893AFB">
        <w:rPr>
          <w:sz w:val="24"/>
          <w:szCs w:val="24"/>
        </w:rPr>
        <w:t xml:space="preserve"> návrh</w:t>
      </w:r>
      <w:r>
        <w:rPr>
          <w:sz w:val="24"/>
          <w:szCs w:val="24"/>
        </w:rPr>
        <w:t>u</w:t>
      </w:r>
      <w:r w:rsidRPr="00893AFB">
        <w:rPr>
          <w:sz w:val="24"/>
          <w:szCs w:val="24"/>
        </w:rPr>
        <w:t xml:space="preserve"> </w:t>
      </w:r>
      <w:r w:rsidRPr="0059638C">
        <w:rPr>
          <w:sz w:val="24"/>
          <w:szCs w:val="24"/>
        </w:rPr>
        <w:t>provozních</w:t>
      </w:r>
      <w:r>
        <w:rPr>
          <w:sz w:val="24"/>
          <w:szCs w:val="24"/>
        </w:rPr>
        <w:t xml:space="preserve"> </w:t>
      </w:r>
      <w:r w:rsidRPr="004B1455">
        <w:rPr>
          <w:rFonts w:eastAsiaTheme="minorHAnsi"/>
          <w:sz w:val="24"/>
          <w:szCs w:val="24"/>
        </w:rPr>
        <w:t xml:space="preserve">řádů v souladu s platnými předpisy, </w:t>
      </w:r>
      <w:r w:rsidR="00B11DAB">
        <w:rPr>
          <w:rFonts w:eastAsiaTheme="minorHAnsi"/>
          <w:sz w:val="24"/>
          <w:szCs w:val="24"/>
        </w:rPr>
        <w:t xml:space="preserve">zejména vyhl. 91/1993 Sb., ČSN </w:t>
      </w:r>
      <w:r w:rsidRPr="004B1455">
        <w:rPr>
          <w:rFonts w:eastAsiaTheme="minorHAnsi"/>
          <w:sz w:val="24"/>
          <w:szCs w:val="24"/>
        </w:rPr>
        <w:t xml:space="preserve">38 6405. </w:t>
      </w:r>
      <w:r>
        <w:rPr>
          <w:rFonts w:eastAsiaTheme="minorHAnsi"/>
          <w:sz w:val="24"/>
          <w:szCs w:val="24"/>
        </w:rPr>
        <w:t xml:space="preserve"> </w:t>
      </w:r>
      <w:r w:rsidRPr="004B1455">
        <w:rPr>
          <w:rFonts w:eastAsiaTheme="minorHAnsi"/>
          <w:sz w:val="24"/>
          <w:szCs w:val="24"/>
        </w:rPr>
        <w:t xml:space="preserve">Provozní řády doplnit návody k obsluze jednotlivých zařízení a podrobně popsat způsob obsluhy </w:t>
      </w:r>
      <w:r w:rsidRPr="0059638C">
        <w:rPr>
          <w:sz w:val="24"/>
          <w:szCs w:val="24"/>
        </w:rPr>
        <w:t xml:space="preserve">a požárních řádů </w:t>
      </w:r>
      <w:r>
        <w:rPr>
          <w:sz w:val="24"/>
          <w:szCs w:val="24"/>
        </w:rPr>
        <w:t>2x v listinné a 1x v </w:t>
      </w:r>
      <w:r w:rsidRPr="00893AFB">
        <w:rPr>
          <w:sz w:val="24"/>
          <w:szCs w:val="24"/>
        </w:rPr>
        <w:t>elektronické podobě na CD (ve formátu *.doc).</w:t>
      </w:r>
    </w:p>
    <w:p w:rsidR="00D749E5" w:rsidRDefault="00D749E5" w:rsidP="00D749E5">
      <w:pPr>
        <w:numPr>
          <w:ilvl w:val="0"/>
          <w:numId w:val="22"/>
        </w:numPr>
        <w:spacing w:line="288" w:lineRule="auto"/>
        <w:ind w:left="714" w:hanging="357"/>
        <w:jc w:val="both"/>
        <w:rPr>
          <w:sz w:val="24"/>
          <w:szCs w:val="24"/>
        </w:rPr>
      </w:pPr>
      <w:r>
        <w:rPr>
          <w:sz w:val="24"/>
          <w:szCs w:val="24"/>
        </w:rPr>
        <w:t xml:space="preserve">zpracování projektové dokumentace </w:t>
      </w:r>
      <w:r w:rsidRPr="0059638C">
        <w:rPr>
          <w:sz w:val="24"/>
          <w:szCs w:val="24"/>
        </w:rPr>
        <w:t xml:space="preserve">skutečného provedení stavby </w:t>
      </w:r>
      <w:r w:rsidRPr="00D749E5">
        <w:rPr>
          <w:sz w:val="24"/>
          <w:szCs w:val="24"/>
        </w:rPr>
        <w:t>5x</w:t>
      </w:r>
      <w:r w:rsidRPr="0059638C">
        <w:rPr>
          <w:sz w:val="24"/>
          <w:szCs w:val="24"/>
        </w:rPr>
        <w:t xml:space="preserve"> v listinné podobě </w:t>
      </w:r>
      <w:r w:rsidRPr="00D749E5">
        <w:rPr>
          <w:sz w:val="24"/>
          <w:szCs w:val="24"/>
        </w:rPr>
        <w:t>a 1x</w:t>
      </w:r>
      <w:r w:rsidRPr="0059638C">
        <w:rPr>
          <w:sz w:val="24"/>
          <w:szCs w:val="24"/>
        </w:rPr>
        <w:t xml:space="preserve"> v elektronické podobě na CD </w:t>
      </w:r>
      <w:r>
        <w:rPr>
          <w:sz w:val="24"/>
          <w:szCs w:val="24"/>
        </w:rPr>
        <w:t>(ve formátu *.pdf a také zároveň ve formátu</w:t>
      </w:r>
      <w:r w:rsidRPr="004C3B2B">
        <w:rPr>
          <w:sz w:val="24"/>
          <w:szCs w:val="24"/>
        </w:rPr>
        <w:t xml:space="preserve"> *.doc,</w:t>
      </w:r>
      <w:r>
        <w:rPr>
          <w:sz w:val="24"/>
          <w:szCs w:val="24"/>
        </w:rPr>
        <w:t xml:space="preserve"> *.xls</w:t>
      </w:r>
      <w:r w:rsidRPr="004C3B2B">
        <w:rPr>
          <w:sz w:val="24"/>
          <w:szCs w:val="24"/>
        </w:rPr>
        <w:t xml:space="preserve"> *.dwg)</w:t>
      </w:r>
      <w:r>
        <w:rPr>
          <w:sz w:val="24"/>
          <w:szCs w:val="24"/>
        </w:rPr>
        <w:t xml:space="preserve"> po</w:t>
      </w:r>
      <w:r w:rsidRPr="0059638C">
        <w:rPr>
          <w:sz w:val="24"/>
          <w:szCs w:val="24"/>
        </w:rPr>
        <w:t>dle</w:t>
      </w:r>
      <w:r w:rsidR="00DE3B2A">
        <w:rPr>
          <w:sz w:val="24"/>
          <w:szCs w:val="24"/>
        </w:rPr>
        <w:t xml:space="preserve"> přílohy č. 7 v</w:t>
      </w:r>
      <w:r w:rsidRPr="0059638C">
        <w:rPr>
          <w:sz w:val="24"/>
          <w:szCs w:val="24"/>
        </w:rPr>
        <w:t>yhlášky č. 499/2006 Sb.</w:t>
      </w:r>
      <w:r>
        <w:rPr>
          <w:sz w:val="24"/>
          <w:szCs w:val="24"/>
        </w:rPr>
        <w:t xml:space="preserve"> v platném znění</w:t>
      </w:r>
    </w:p>
    <w:p w:rsidR="00D749E5" w:rsidRDefault="00D749E5" w:rsidP="00D749E5">
      <w:pPr>
        <w:numPr>
          <w:ilvl w:val="0"/>
          <w:numId w:val="22"/>
        </w:numPr>
        <w:spacing w:line="288" w:lineRule="auto"/>
        <w:ind w:left="714" w:hanging="357"/>
        <w:jc w:val="both"/>
        <w:rPr>
          <w:sz w:val="24"/>
          <w:szCs w:val="24"/>
        </w:rPr>
      </w:pPr>
      <w:r>
        <w:rPr>
          <w:sz w:val="24"/>
          <w:szCs w:val="24"/>
        </w:rPr>
        <w:t xml:space="preserve">zpracování geometrického zaměření skutečného provedení nové plynovodní přípojky obsahující čísla a hranice dotčených pozemků a vyznačení ochranných pásem, </w:t>
      </w:r>
      <w:r>
        <w:rPr>
          <w:sz w:val="24"/>
          <w:szCs w:val="24"/>
        </w:rPr>
        <w:lastRenderedPageBreak/>
        <w:t>zpracování geometrického plánu a ocenění věcného břemene pro vložení do katastru nemovitostí.</w:t>
      </w:r>
    </w:p>
    <w:p w:rsidR="00116331" w:rsidRDefault="00116331" w:rsidP="00116331">
      <w:pPr>
        <w:spacing w:line="288" w:lineRule="auto"/>
        <w:jc w:val="both"/>
        <w:rPr>
          <w:sz w:val="24"/>
          <w:szCs w:val="24"/>
        </w:rPr>
      </w:pPr>
      <w:r w:rsidRPr="00116331">
        <w:rPr>
          <w:sz w:val="24"/>
          <w:szCs w:val="24"/>
        </w:rPr>
        <w:t>Realizace akce podléhá stavebnímu řízení</w:t>
      </w:r>
      <w:r w:rsidR="007A11CD">
        <w:rPr>
          <w:sz w:val="24"/>
          <w:szCs w:val="24"/>
        </w:rPr>
        <w:t>.</w:t>
      </w:r>
      <w:r w:rsidR="00DC5D3B">
        <w:rPr>
          <w:sz w:val="24"/>
          <w:szCs w:val="24"/>
        </w:rPr>
        <w:t xml:space="preserve"> Zhotovitel zajistí vydání kolaudačního souhlasu. Veškeré administrativní poplatky s tímto spojené hradí zhotovitel.</w:t>
      </w:r>
    </w:p>
    <w:p w:rsidR="00C042BD" w:rsidRDefault="00831002" w:rsidP="007A11CD">
      <w:pPr>
        <w:spacing w:line="288" w:lineRule="auto"/>
        <w:jc w:val="both"/>
        <w:rPr>
          <w:sz w:val="24"/>
          <w:szCs w:val="24"/>
        </w:rPr>
      </w:pPr>
      <w:r>
        <w:rPr>
          <w:sz w:val="24"/>
          <w:szCs w:val="24"/>
        </w:rPr>
        <w:t>Nedílnou P</w:t>
      </w:r>
      <w:r w:rsidR="008F5951" w:rsidRPr="00F90426">
        <w:rPr>
          <w:sz w:val="24"/>
          <w:szCs w:val="24"/>
        </w:rPr>
        <w:t>řílohou č. 3 smlouvy je závazný finanční a časový harmonogram, který může být měněn pouze se souhlasem objednatele.</w:t>
      </w:r>
    </w:p>
    <w:p w:rsidR="008F5951" w:rsidRPr="00095FDB" w:rsidRDefault="008F5951" w:rsidP="007A11CD">
      <w:pPr>
        <w:spacing w:line="288" w:lineRule="auto"/>
        <w:jc w:val="both"/>
        <w:rPr>
          <w:sz w:val="24"/>
          <w:szCs w:val="24"/>
        </w:rPr>
      </w:pPr>
    </w:p>
    <w:p w:rsidR="00AE2642" w:rsidRPr="00095FDB" w:rsidRDefault="00F866AD" w:rsidP="002E7917">
      <w:pPr>
        <w:shd w:val="clear" w:color="00FFFF" w:fill="auto"/>
        <w:spacing w:beforeLines="20" w:before="48" w:after="120"/>
        <w:jc w:val="center"/>
        <w:rPr>
          <w:b/>
          <w:sz w:val="24"/>
          <w:u w:val="single"/>
        </w:rPr>
      </w:pPr>
      <w:r w:rsidRPr="00095FDB">
        <w:rPr>
          <w:b/>
          <w:caps/>
          <w:sz w:val="24"/>
          <w:szCs w:val="24"/>
          <w:u w:val="single"/>
        </w:rPr>
        <w:t xml:space="preserve">II. </w:t>
      </w:r>
      <w:r w:rsidR="00AE2642" w:rsidRPr="00095FDB">
        <w:rPr>
          <w:b/>
          <w:caps/>
          <w:sz w:val="24"/>
          <w:szCs w:val="24"/>
          <w:u w:val="single"/>
        </w:rPr>
        <w:t>Termín</w:t>
      </w:r>
      <w:r w:rsidR="00AE2642" w:rsidRPr="00095FDB">
        <w:rPr>
          <w:b/>
          <w:caps/>
          <w:sz w:val="24"/>
          <w:u w:val="single"/>
        </w:rPr>
        <w:t xml:space="preserve"> a místo</w:t>
      </w:r>
      <w:r w:rsidR="00AE2642" w:rsidRPr="00095FDB">
        <w:rPr>
          <w:b/>
          <w:sz w:val="24"/>
          <w:u w:val="single"/>
        </w:rPr>
        <w:t xml:space="preserve"> PLNĚNÍ</w:t>
      </w:r>
    </w:p>
    <w:p w:rsidR="0024417C" w:rsidRPr="00095FDB" w:rsidRDefault="0024417C" w:rsidP="002E7917">
      <w:pPr>
        <w:shd w:val="clear" w:color="00FFFF" w:fill="auto"/>
        <w:spacing w:beforeLines="20" w:before="48" w:after="120"/>
        <w:jc w:val="center"/>
        <w:rPr>
          <w:b/>
          <w:sz w:val="24"/>
          <w:u w:val="single"/>
        </w:rPr>
      </w:pPr>
    </w:p>
    <w:p w:rsidR="0024417C" w:rsidRPr="007A11CD" w:rsidRDefault="0024417C" w:rsidP="00566F27">
      <w:pPr>
        <w:spacing w:after="120" w:line="288" w:lineRule="auto"/>
        <w:jc w:val="both"/>
        <w:rPr>
          <w:bCs/>
          <w:sz w:val="24"/>
          <w:szCs w:val="24"/>
        </w:rPr>
      </w:pPr>
      <w:r w:rsidRPr="00095FDB">
        <w:rPr>
          <w:bCs/>
          <w:sz w:val="24"/>
          <w:szCs w:val="24"/>
        </w:rPr>
        <w:t>Termín zahájení plnění:</w:t>
      </w:r>
      <w:r w:rsidRPr="00095FDB">
        <w:rPr>
          <w:bCs/>
          <w:sz w:val="24"/>
          <w:szCs w:val="24"/>
        </w:rPr>
        <w:tab/>
      </w:r>
      <w:r w:rsidR="005B71B8">
        <w:rPr>
          <w:bCs/>
          <w:sz w:val="24"/>
          <w:szCs w:val="24"/>
        </w:rPr>
        <w:tab/>
      </w:r>
      <w:r w:rsidR="005B71B8">
        <w:rPr>
          <w:bCs/>
          <w:sz w:val="24"/>
          <w:szCs w:val="24"/>
        </w:rPr>
        <w:tab/>
      </w:r>
      <w:r w:rsidR="005B71B8">
        <w:rPr>
          <w:bCs/>
          <w:sz w:val="24"/>
          <w:szCs w:val="24"/>
        </w:rPr>
        <w:tab/>
      </w:r>
      <w:r w:rsidR="005B71B8">
        <w:rPr>
          <w:bCs/>
          <w:sz w:val="24"/>
          <w:szCs w:val="24"/>
        </w:rPr>
        <w:tab/>
      </w:r>
      <w:r w:rsidR="005B71B8">
        <w:rPr>
          <w:bCs/>
          <w:sz w:val="24"/>
          <w:szCs w:val="24"/>
        </w:rPr>
        <w:tab/>
      </w:r>
      <w:r w:rsidR="00B94DF2" w:rsidRPr="00B94DF2">
        <w:rPr>
          <w:bCs/>
          <w:sz w:val="24"/>
          <w:szCs w:val="24"/>
        </w:rPr>
        <w:t>dle čl. XI, odst. 11.2</w:t>
      </w:r>
    </w:p>
    <w:p w:rsidR="005B71B8" w:rsidRDefault="00F92749" w:rsidP="00CC1D62">
      <w:pPr>
        <w:spacing w:after="240"/>
        <w:rPr>
          <w:bCs/>
          <w:color w:val="000000"/>
          <w:sz w:val="24"/>
          <w:szCs w:val="24"/>
        </w:rPr>
      </w:pPr>
      <w:r w:rsidRPr="007A11CD">
        <w:rPr>
          <w:bCs/>
          <w:color w:val="000000"/>
          <w:sz w:val="24"/>
          <w:szCs w:val="24"/>
        </w:rPr>
        <w:t>Termín ukončení</w:t>
      </w:r>
      <w:r w:rsidR="002F762B">
        <w:rPr>
          <w:bCs/>
          <w:color w:val="000000"/>
          <w:sz w:val="24"/>
          <w:szCs w:val="24"/>
        </w:rPr>
        <w:t xml:space="preserve"> plnění:</w:t>
      </w:r>
      <w:r w:rsidR="002F762B">
        <w:rPr>
          <w:bCs/>
          <w:color w:val="000000"/>
          <w:sz w:val="24"/>
          <w:szCs w:val="24"/>
        </w:rPr>
        <w:tab/>
      </w:r>
      <w:r w:rsidR="002F762B">
        <w:rPr>
          <w:bCs/>
          <w:color w:val="000000"/>
          <w:sz w:val="24"/>
          <w:szCs w:val="24"/>
        </w:rPr>
        <w:tab/>
      </w:r>
      <w:r w:rsidR="002F762B">
        <w:rPr>
          <w:bCs/>
          <w:color w:val="000000"/>
          <w:sz w:val="24"/>
          <w:szCs w:val="24"/>
        </w:rPr>
        <w:tab/>
      </w:r>
      <w:r w:rsidR="002F762B">
        <w:rPr>
          <w:bCs/>
          <w:color w:val="000000"/>
          <w:sz w:val="24"/>
          <w:szCs w:val="24"/>
        </w:rPr>
        <w:tab/>
      </w:r>
      <w:r w:rsidR="002F762B">
        <w:rPr>
          <w:bCs/>
          <w:color w:val="000000"/>
          <w:sz w:val="24"/>
          <w:szCs w:val="24"/>
        </w:rPr>
        <w:tab/>
      </w:r>
      <w:r w:rsidR="002F762B">
        <w:rPr>
          <w:bCs/>
          <w:color w:val="000000"/>
          <w:sz w:val="24"/>
          <w:szCs w:val="24"/>
        </w:rPr>
        <w:tab/>
        <w:t>15</w:t>
      </w:r>
      <w:r w:rsidR="00C456CC" w:rsidRPr="007A11CD">
        <w:rPr>
          <w:bCs/>
          <w:color w:val="000000"/>
          <w:sz w:val="24"/>
          <w:szCs w:val="24"/>
        </w:rPr>
        <w:t>.</w:t>
      </w:r>
      <w:r w:rsidR="00831002">
        <w:rPr>
          <w:bCs/>
          <w:color w:val="000000"/>
          <w:sz w:val="24"/>
          <w:szCs w:val="24"/>
        </w:rPr>
        <w:t xml:space="preserve"> </w:t>
      </w:r>
      <w:r w:rsidR="005B71B8">
        <w:rPr>
          <w:bCs/>
          <w:color w:val="000000"/>
          <w:sz w:val="24"/>
          <w:szCs w:val="24"/>
        </w:rPr>
        <w:t>10.</w:t>
      </w:r>
      <w:r w:rsidR="00C456CC" w:rsidRPr="007A11CD">
        <w:rPr>
          <w:bCs/>
          <w:color w:val="000000"/>
          <w:sz w:val="24"/>
          <w:szCs w:val="24"/>
        </w:rPr>
        <w:t xml:space="preserve"> 2016</w:t>
      </w:r>
      <w:r w:rsidR="009A3F58" w:rsidRPr="007A11CD">
        <w:rPr>
          <w:bCs/>
          <w:color w:val="000000"/>
          <w:sz w:val="24"/>
          <w:szCs w:val="24"/>
        </w:rPr>
        <w:tab/>
      </w:r>
    </w:p>
    <w:p w:rsidR="009A3F58" w:rsidRPr="007A11CD" w:rsidRDefault="005B71B8" w:rsidP="00CC1D62">
      <w:pPr>
        <w:spacing w:after="240"/>
        <w:rPr>
          <w:bCs/>
          <w:color w:val="000000"/>
          <w:sz w:val="24"/>
          <w:szCs w:val="24"/>
        </w:rPr>
      </w:pPr>
      <w:r w:rsidRPr="00E66D73">
        <w:rPr>
          <w:bCs/>
          <w:color w:val="000000"/>
          <w:sz w:val="24"/>
          <w:szCs w:val="24"/>
        </w:rPr>
        <w:t>Termín předložení kolaudačního souhlasu s </w:t>
      </w:r>
      <w:r w:rsidRPr="00E66D73">
        <w:rPr>
          <w:sz w:val="24"/>
          <w:szCs w:val="24"/>
        </w:rPr>
        <w:t>užíváním stavby</w:t>
      </w:r>
      <w:r w:rsidRPr="00E66D73">
        <w:rPr>
          <w:bCs/>
          <w:color w:val="000000"/>
          <w:sz w:val="24"/>
          <w:szCs w:val="24"/>
        </w:rPr>
        <w:t>:</w:t>
      </w:r>
      <w:r w:rsidR="002F762B">
        <w:rPr>
          <w:bCs/>
          <w:color w:val="000000"/>
          <w:sz w:val="24"/>
          <w:szCs w:val="24"/>
        </w:rPr>
        <w:tab/>
        <w:t>15</w:t>
      </w:r>
      <w:r>
        <w:rPr>
          <w:bCs/>
          <w:color w:val="000000"/>
          <w:sz w:val="24"/>
          <w:szCs w:val="24"/>
        </w:rPr>
        <w:t>.</w:t>
      </w:r>
      <w:r w:rsidR="00831002">
        <w:rPr>
          <w:bCs/>
          <w:color w:val="000000"/>
          <w:sz w:val="24"/>
          <w:szCs w:val="24"/>
        </w:rPr>
        <w:t xml:space="preserve"> </w:t>
      </w:r>
      <w:r>
        <w:rPr>
          <w:bCs/>
          <w:color w:val="000000"/>
          <w:sz w:val="24"/>
          <w:szCs w:val="24"/>
        </w:rPr>
        <w:t>11.</w:t>
      </w:r>
      <w:r w:rsidR="00831002">
        <w:rPr>
          <w:bCs/>
          <w:color w:val="000000"/>
          <w:sz w:val="24"/>
          <w:szCs w:val="24"/>
        </w:rPr>
        <w:t xml:space="preserve"> </w:t>
      </w:r>
      <w:r>
        <w:rPr>
          <w:bCs/>
          <w:color w:val="000000"/>
          <w:sz w:val="24"/>
          <w:szCs w:val="24"/>
        </w:rPr>
        <w:t>2016</w:t>
      </w:r>
      <w:r w:rsidR="00D711E4" w:rsidRPr="007A11CD">
        <w:rPr>
          <w:bCs/>
          <w:color w:val="000000"/>
          <w:sz w:val="24"/>
          <w:szCs w:val="24"/>
        </w:rPr>
        <w:tab/>
      </w:r>
      <w:r w:rsidR="00D711E4" w:rsidRPr="007A11CD">
        <w:rPr>
          <w:bCs/>
          <w:color w:val="000000"/>
          <w:sz w:val="24"/>
          <w:szCs w:val="24"/>
        </w:rPr>
        <w:tab/>
      </w:r>
      <w:r w:rsidR="00D711E4" w:rsidRPr="007A11CD">
        <w:rPr>
          <w:bCs/>
          <w:color w:val="000000"/>
          <w:sz w:val="24"/>
          <w:szCs w:val="24"/>
        </w:rPr>
        <w:tab/>
      </w:r>
      <w:r w:rsidR="00D711E4" w:rsidRPr="007A11CD">
        <w:rPr>
          <w:bCs/>
          <w:color w:val="000000"/>
          <w:sz w:val="24"/>
          <w:szCs w:val="24"/>
        </w:rPr>
        <w:tab/>
      </w:r>
      <w:r w:rsidR="00D711E4" w:rsidRPr="007A11CD">
        <w:rPr>
          <w:bCs/>
          <w:color w:val="000000"/>
          <w:sz w:val="24"/>
          <w:szCs w:val="24"/>
        </w:rPr>
        <w:tab/>
      </w:r>
      <w:r w:rsidR="00D711E4" w:rsidRPr="007A11CD">
        <w:rPr>
          <w:bCs/>
          <w:color w:val="000000"/>
          <w:sz w:val="24"/>
          <w:szCs w:val="24"/>
        </w:rPr>
        <w:tab/>
      </w:r>
    </w:p>
    <w:p w:rsidR="00CC1D62" w:rsidRPr="007A11CD" w:rsidRDefault="00406998" w:rsidP="00406998">
      <w:pPr>
        <w:rPr>
          <w:sz w:val="24"/>
          <w:szCs w:val="24"/>
        </w:rPr>
      </w:pPr>
      <w:r w:rsidRPr="007A11CD">
        <w:rPr>
          <w:bCs/>
          <w:color w:val="000000"/>
          <w:sz w:val="24"/>
          <w:szCs w:val="24"/>
        </w:rPr>
        <w:t xml:space="preserve">Místo plnění </w:t>
      </w:r>
      <w:r w:rsidR="00BF2F1E" w:rsidRPr="007A11CD">
        <w:rPr>
          <w:bCs/>
          <w:color w:val="000000"/>
          <w:sz w:val="24"/>
          <w:szCs w:val="24"/>
        </w:rPr>
        <w:t xml:space="preserve">díla: </w:t>
      </w:r>
      <w:r w:rsidR="00CC1D62" w:rsidRPr="007A11CD">
        <w:rPr>
          <w:bCs/>
          <w:color w:val="000000"/>
          <w:sz w:val="24"/>
          <w:szCs w:val="24"/>
        </w:rPr>
        <w:tab/>
      </w:r>
      <w:r w:rsidR="009E6DFB">
        <w:rPr>
          <w:sz w:val="24"/>
          <w:szCs w:val="24"/>
        </w:rPr>
        <w:t>vojenský</w:t>
      </w:r>
      <w:r w:rsidR="009E6DFB" w:rsidRPr="00CB029C">
        <w:rPr>
          <w:sz w:val="24"/>
          <w:szCs w:val="24"/>
        </w:rPr>
        <w:t xml:space="preserve"> </w:t>
      </w:r>
      <w:r w:rsidR="009E6DFB">
        <w:rPr>
          <w:sz w:val="24"/>
          <w:szCs w:val="24"/>
        </w:rPr>
        <w:t>areál</w:t>
      </w:r>
      <w:r w:rsidR="009E6DFB" w:rsidRPr="00CB029C">
        <w:rPr>
          <w:sz w:val="24"/>
          <w:szCs w:val="24"/>
        </w:rPr>
        <w:t xml:space="preserve"> Dobronín</w:t>
      </w:r>
    </w:p>
    <w:p w:rsidR="00C042BD" w:rsidRDefault="00C042BD" w:rsidP="00406998">
      <w:pPr>
        <w:rPr>
          <w:b/>
          <w:sz w:val="24"/>
          <w:szCs w:val="24"/>
        </w:rPr>
      </w:pPr>
    </w:p>
    <w:p w:rsidR="00EA3BE5" w:rsidRPr="00C042BD" w:rsidRDefault="00EA3BE5" w:rsidP="00EA3BE5">
      <w:pPr>
        <w:rPr>
          <w:sz w:val="24"/>
          <w:szCs w:val="24"/>
        </w:rPr>
      </w:pPr>
    </w:p>
    <w:p w:rsidR="00AE2642" w:rsidRDefault="00F866AD" w:rsidP="002E7917">
      <w:pPr>
        <w:pStyle w:val="Nadpis4"/>
        <w:keepNext w:val="0"/>
        <w:spacing w:beforeLines="20" w:before="48" w:after="120"/>
        <w:rPr>
          <w:rFonts w:ascii="Times New Roman" w:hAnsi="Times New Roman"/>
          <w:color w:val="auto"/>
        </w:rPr>
      </w:pPr>
      <w:r w:rsidRPr="00095FDB">
        <w:rPr>
          <w:rFonts w:ascii="Times New Roman" w:hAnsi="Times New Roman"/>
          <w:color w:val="auto"/>
          <w:szCs w:val="24"/>
        </w:rPr>
        <w:t xml:space="preserve">III. </w:t>
      </w:r>
      <w:r w:rsidR="00AE2642" w:rsidRPr="00095FDB">
        <w:rPr>
          <w:rFonts w:ascii="Times New Roman" w:hAnsi="Times New Roman"/>
          <w:color w:val="auto"/>
          <w:szCs w:val="24"/>
        </w:rPr>
        <w:t>CENA</w:t>
      </w:r>
      <w:r w:rsidR="00AE2642" w:rsidRPr="00095FDB">
        <w:rPr>
          <w:rFonts w:ascii="Times New Roman" w:hAnsi="Times New Roman"/>
          <w:color w:val="auto"/>
        </w:rPr>
        <w:t xml:space="preserve"> DÍLA</w:t>
      </w:r>
    </w:p>
    <w:p w:rsidR="00C042BD" w:rsidRPr="00C042BD" w:rsidRDefault="00C042BD" w:rsidP="00C042BD">
      <w:pPr>
        <w:rPr>
          <w:sz w:val="24"/>
          <w:szCs w:val="24"/>
        </w:rPr>
      </w:pPr>
    </w:p>
    <w:p w:rsidR="009A3F58" w:rsidRPr="00756BB0" w:rsidRDefault="009A3F58" w:rsidP="00B46B1D">
      <w:pPr>
        <w:spacing w:after="120"/>
        <w:jc w:val="both"/>
        <w:rPr>
          <w:sz w:val="24"/>
        </w:rPr>
      </w:pPr>
      <w:r w:rsidRPr="007A11CD">
        <w:rPr>
          <w:sz w:val="24"/>
        </w:rPr>
        <w:t>Cena za předmět díla bez DPH je</w:t>
      </w:r>
      <w:r w:rsidRPr="00756BB0">
        <w:rPr>
          <w:sz w:val="24"/>
        </w:rPr>
        <w:t xml:space="preserve"> cenou konečnou, nejvýše přípustnou, ve které jsou zahrnuty veškeré náklady dle článku I této smlouvy a činí</w:t>
      </w:r>
      <w:r w:rsidR="003B5832">
        <w:rPr>
          <w:sz w:val="24"/>
        </w:rPr>
        <w:t xml:space="preserve">: </w:t>
      </w:r>
      <w:r w:rsidR="00AA759F">
        <w:rPr>
          <w:b/>
          <w:sz w:val="24"/>
        </w:rPr>
        <w:t>5.328.096</w:t>
      </w:r>
      <w:r w:rsidR="009C1202" w:rsidRPr="009C1202">
        <w:rPr>
          <w:b/>
          <w:sz w:val="24"/>
        </w:rPr>
        <w:t xml:space="preserve"> </w:t>
      </w:r>
      <w:r w:rsidRPr="00566F27">
        <w:rPr>
          <w:b/>
          <w:sz w:val="24"/>
        </w:rPr>
        <w:t>Kč</w:t>
      </w:r>
    </w:p>
    <w:p w:rsidR="009A3F58" w:rsidRPr="00756BB0" w:rsidRDefault="009A3F58" w:rsidP="00B46B1D">
      <w:pPr>
        <w:tabs>
          <w:tab w:val="left" w:pos="1080"/>
          <w:tab w:val="right" w:pos="7740"/>
        </w:tabs>
        <w:ind w:left="540"/>
        <w:jc w:val="both"/>
        <w:rPr>
          <w:b/>
          <w:sz w:val="24"/>
        </w:rPr>
      </w:pPr>
    </w:p>
    <w:p w:rsidR="009A3F58" w:rsidRPr="00756BB0" w:rsidRDefault="009A3F58" w:rsidP="00B46B1D">
      <w:pPr>
        <w:tabs>
          <w:tab w:val="left" w:pos="1080"/>
          <w:tab w:val="right" w:pos="7740"/>
        </w:tabs>
        <w:jc w:val="both"/>
        <w:rPr>
          <w:sz w:val="24"/>
        </w:rPr>
      </w:pPr>
      <w:r w:rsidRPr="00566F27">
        <w:rPr>
          <w:sz w:val="24"/>
        </w:rPr>
        <w:t>slovy:</w:t>
      </w:r>
      <w:r w:rsidRPr="00566F27">
        <w:rPr>
          <w:sz w:val="24"/>
        </w:rPr>
        <w:tab/>
        <w:t>„</w:t>
      </w:r>
      <w:r w:rsidR="00AA759F">
        <w:rPr>
          <w:sz w:val="24"/>
        </w:rPr>
        <w:t>pětmilionůtřistadvacetosmtisícdevadesátšest</w:t>
      </w:r>
      <w:r w:rsidR="00831002">
        <w:rPr>
          <w:sz w:val="24"/>
        </w:rPr>
        <w:t xml:space="preserve"> </w:t>
      </w:r>
      <w:r w:rsidR="00AA759F">
        <w:rPr>
          <w:sz w:val="24"/>
        </w:rPr>
        <w:t>korun</w:t>
      </w:r>
      <w:r w:rsidR="00831002">
        <w:rPr>
          <w:sz w:val="24"/>
        </w:rPr>
        <w:t xml:space="preserve"> </w:t>
      </w:r>
      <w:r w:rsidR="00AA759F">
        <w:rPr>
          <w:sz w:val="24"/>
        </w:rPr>
        <w:t>českých</w:t>
      </w:r>
      <w:r w:rsidRPr="00566F27">
        <w:rPr>
          <w:sz w:val="24"/>
        </w:rPr>
        <w:t>“</w:t>
      </w:r>
    </w:p>
    <w:p w:rsidR="009A3F58" w:rsidRPr="00756BB0" w:rsidRDefault="009A3F58" w:rsidP="00B46B1D">
      <w:pPr>
        <w:jc w:val="center"/>
        <w:rPr>
          <w:sz w:val="24"/>
        </w:rPr>
      </w:pPr>
    </w:p>
    <w:p w:rsidR="009A3F58" w:rsidRPr="00756BB0" w:rsidRDefault="009A3F58" w:rsidP="00B46B1D">
      <w:pPr>
        <w:jc w:val="center"/>
        <w:rPr>
          <w:sz w:val="24"/>
        </w:rPr>
      </w:pPr>
    </w:p>
    <w:p w:rsidR="009A3F58" w:rsidRPr="007A11CD" w:rsidRDefault="009A3F58" w:rsidP="00B46B1D">
      <w:pPr>
        <w:rPr>
          <w:sz w:val="24"/>
          <w:szCs w:val="24"/>
        </w:rPr>
      </w:pPr>
      <w:r w:rsidRPr="007A11CD">
        <w:rPr>
          <w:sz w:val="24"/>
          <w:szCs w:val="24"/>
        </w:rPr>
        <w:t>DPH bude účtováno v sazbě platné ke dni uskutečnění zdanitelného plnění.</w:t>
      </w:r>
    </w:p>
    <w:p w:rsidR="00095FDB" w:rsidRDefault="00095FDB"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C042BD" w:rsidRPr="00095FDB" w:rsidRDefault="00C042BD"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095FDB" w:rsidRPr="00095FDB" w:rsidRDefault="00095FDB"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AE2642" w:rsidRDefault="00F866AD" w:rsidP="002E7917">
      <w:pPr>
        <w:spacing w:beforeLines="20" w:before="48" w:after="120"/>
        <w:jc w:val="center"/>
        <w:rPr>
          <w:b/>
          <w:caps/>
          <w:sz w:val="24"/>
          <w:u w:val="single"/>
        </w:rPr>
      </w:pPr>
      <w:r w:rsidRPr="00095FDB">
        <w:rPr>
          <w:b/>
          <w:caps/>
          <w:sz w:val="24"/>
          <w:u w:val="single"/>
        </w:rPr>
        <w:t xml:space="preserve">IV. </w:t>
      </w:r>
      <w:r w:rsidR="00AE2642" w:rsidRPr="00095FDB">
        <w:rPr>
          <w:b/>
          <w:caps/>
          <w:sz w:val="24"/>
          <w:u w:val="single"/>
        </w:rPr>
        <w:t>platební a fakturační podmínky</w:t>
      </w:r>
    </w:p>
    <w:p w:rsidR="00C042BD" w:rsidRPr="00095FDB" w:rsidRDefault="00C042BD" w:rsidP="002E7917">
      <w:pPr>
        <w:spacing w:beforeLines="20" w:before="48" w:after="120"/>
        <w:jc w:val="center"/>
        <w:rPr>
          <w:b/>
          <w:caps/>
          <w:sz w:val="24"/>
          <w:u w:val="single"/>
        </w:rPr>
      </w:pPr>
    </w:p>
    <w:p w:rsidR="00095FDB" w:rsidRPr="00095FDB" w:rsidRDefault="00AE2642" w:rsidP="00095FDB">
      <w:pPr>
        <w:numPr>
          <w:ilvl w:val="0"/>
          <w:numId w:val="2"/>
        </w:numPr>
        <w:tabs>
          <w:tab w:val="left" w:pos="0"/>
        </w:tabs>
        <w:spacing w:before="100" w:beforeAutospacing="1" w:after="120"/>
        <w:jc w:val="both"/>
        <w:rPr>
          <w:sz w:val="24"/>
        </w:rPr>
      </w:pPr>
      <w:r w:rsidRPr="00095FDB">
        <w:rPr>
          <w:sz w:val="24"/>
        </w:rPr>
        <w:t>Objednatel zálohy neposkytuje.</w:t>
      </w:r>
    </w:p>
    <w:p w:rsidR="000A76C4" w:rsidRPr="000A76C4" w:rsidRDefault="000A76C4" w:rsidP="009E6DFB">
      <w:pPr>
        <w:numPr>
          <w:ilvl w:val="0"/>
          <w:numId w:val="2"/>
        </w:numPr>
        <w:tabs>
          <w:tab w:val="left" w:pos="0"/>
        </w:tabs>
        <w:spacing w:beforeLines="20" w:before="48" w:after="120"/>
        <w:jc w:val="both"/>
        <w:rPr>
          <w:bCs/>
          <w:sz w:val="24"/>
        </w:rPr>
      </w:pPr>
      <w:r>
        <w:rPr>
          <w:color w:val="000000"/>
          <w:sz w:val="24"/>
          <w:szCs w:val="24"/>
        </w:rPr>
        <w:t>Fakturace bude provedena jednou fakturou do výše 100 % ceny díla na základě soupisu provedených prací potvrzených zástupci objednatele. Z faktury b</w:t>
      </w:r>
      <w:r w:rsidR="009E6DFB">
        <w:rPr>
          <w:color w:val="000000"/>
          <w:sz w:val="24"/>
          <w:szCs w:val="24"/>
        </w:rPr>
        <w:t>ude pozastavena částka ve výši 2</w:t>
      </w:r>
      <w:r>
        <w:rPr>
          <w:color w:val="000000"/>
          <w:sz w:val="24"/>
          <w:szCs w:val="24"/>
        </w:rPr>
        <w:t>0</w:t>
      </w:r>
      <w:r w:rsidR="00831002">
        <w:rPr>
          <w:color w:val="000000"/>
          <w:sz w:val="24"/>
          <w:szCs w:val="24"/>
        </w:rPr>
        <w:t xml:space="preserve"> </w:t>
      </w:r>
      <w:r>
        <w:rPr>
          <w:color w:val="000000"/>
          <w:sz w:val="24"/>
          <w:szCs w:val="24"/>
        </w:rPr>
        <w:t>% z ceny bez DPH. Pozastávka ve výši 10</w:t>
      </w:r>
      <w:r w:rsidR="00831002">
        <w:rPr>
          <w:color w:val="000000"/>
          <w:sz w:val="24"/>
          <w:szCs w:val="24"/>
        </w:rPr>
        <w:t xml:space="preserve"> </w:t>
      </w:r>
      <w:r>
        <w:rPr>
          <w:color w:val="000000"/>
          <w:sz w:val="24"/>
          <w:szCs w:val="24"/>
        </w:rPr>
        <w:t>% bude uvolněna po odstranění všech vad a nedodělků</w:t>
      </w:r>
      <w:r w:rsidR="009E6DFB">
        <w:rPr>
          <w:color w:val="000000"/>
          <w:sz w:val="24"/>
          <w:szCs w:val="24"/>
        </w:rPr>
        <w:t xml:space="preserve"> </w:t>
      </w:r>
      <w:r w:rsidR="009E6DFB" w:rsidRPr="009E6DFB">
        <w:rPr>
          <w:color w:val="000000"/>
          <w:sz w:val="24"/>
          <w:szCs w:val="24"/>
        </w:rPr>
        <w:t>a 10</w:t>
      </w:r>
      <w:r w:rsidR="00831002">
        <w:rPr>
          <w:color w:val="000000"/>
          <w:sz w:val="24"/>
          <w:szCs w:val="24"/>
        </w:rPr>
        <w:t xml:space="preserve"> </w:t>
      </w:r>
      <w:r w:rsidR="009E6DFB" w:rsidRPr="009E6DFB">
        <w:rPr>
          <w:color w:val="000000"/>
          <w:sz w:val="24"/>
          <w:szCs w:val="24"/>
        </w:rPr>
        <w:t>% po vydání kolaudačního rozhodnutí.</w:t>
      </w:r>
    </w:p>
    <w:p w:rsidR="0075034C" w:rsidRDefault="0075034C" w:rsidP="00095FDB">
      <w:pPr>
        <w:numPr>
          <w:ilvl w:val="0"/>
          <w:numId w:val="2"/>
        </w:numPr>
        <w:tabs>
          <w:tab w:val="left" w:pos="0"/>
        </w:tabs>
        <w:spacing w:beforeLines="20" w:before="48" w:after="120"/>
        <w:jc w:val="both"/>
        <w:rPr>
          <w:bCs/>
          <w:sz w:val="24"/>
        </w:rPr>
      </w:pPr>
      <w:r w:rsidRPr="00095FDB">
        <w:rPr>
          <w:bCs/>
          <w:sz w:val="24"/>
        </w:rPr>
        <w:t>Zhotovitel je povinen v předmětu fakturace uvést přesný název akce včetně čísla smlouvy. Jinak bude faktura vrácena zhotoviteli k doplnění.</w:t>
      </w:r>
    </w:p>
    <w:p w:rsidR="00D52A7C" w:rsidRPr="00F90426" w:rsidRDefault="00D52A7C" w:rsidP="00095FDB">
      <w:pPr>
        <w:numPr>
          <w:ilvl w:val="0"/>
          <w:numId w:val="2"/>
        </w:numPr>
        <w:tabs>
          <w:tab w:val="left" w:pos="0"/>
        </w:tabs>
        <w:spacing w:beforeLines="20" w:before="48" w:after="120"/>
        <w:jc w:val="both"/>
        <w:rPr>
          <w:bCs/>
          <w:sz w:val="24"/>
        </w:rPr>
      </w:pPr>
      <w:r w:rsidRPr="00F90426">
        <w:rPr>
          <w:bCs/>
          <w:sz w:val="24"/>
        </w:rPr>
        <w:t>Faktury budou rozděleny na jednotlivé stavební soubory a tyto dále rozděleny na stavební a další profesní části.</w:t>
      </w:r>
    </w:p>
    <w:p w:rsidR="00A87620" w:rsidRPr="00095FDB" w:rsidRDefault="00A87620" w:rsidP="002E7917">
      <w:pPr>
        <w:numPr>
          <w:ilvl w:val="0"/>
          <w:numId w:val="2"/>
        </w:numPr>
        <w:tabs>
          <w:tab w:val="left" w:pos="0"/>
        </w:tabs>
        <w:spacing w:beforeLines="20" w:before="48"/>
        <w:jc w:val="both"/>
        <w:rPr>
          <w:bCs/>
          <w:sz w:val="24"/>
        </w:rPr>
      </w:pPr>
      <w:r w:rsidRPr="00095FDB">
        <w:rPr>
          <w:bCs/>
          <w:sz w:val="24"/>
        </w:rPr>
        <w:lastRenderedPageBreak/>
        <w:t>Daňový doklad musí obsahovat údaje podle zákona č. 235/2004 Sb., o dani z přidané hodnot</w:t>
      </w:r>
      <w:r w:rsidR="008C12D8" w:rsidRPr="00095FDB">
        <w:rPr>
          <w:bCs/>
          <w:sz w:val="24"/>
        </w:rPr>
        <w:t>y, ve znění pozdějších předpisů, včetně uvedení klasifikace CZ-CPA, a dále údaje pro účely stanovení režimu přenesené daňové povinnosti v souladu s § 92a zákona.</w:t>
      </w:r>
    </w:p>
    <w:p w:rsidR="0075034C" w:rsidRPr="00095FDB" w:rsidRDefault="00095FDB" w:rsidP="00095FDB">
      <w:pPr>
        <w:numPr>
          <w:ilvl w:val="0"/>
          <w:numId w:val="2"/>
        </w:numPr>
        <w:tabs>
          <w:tab w:val="left" w:pos="0"/>
        </w:tabs>
        <w:spacing w:before="120"/>
        <w:jc w:val="both"/>
        <w:rPr>
          <w:b/>
          <w:sz w:val="24"/>
        </w:rPr>
      </w:pPr>
      <w:r w:rsidRPr="00095FDB">
        <w:rPr>
          <w:sz w:val="24"/>
        </w:rPr>
        <w:t xml:space="preserve">Lhůta splatnosti je </w:t>
      </w:r>
      <w:r w:rsidR="00BE3A33" w:rsidRPr="00831002">
        <w:rPr>
          <w:sz w:val="24"/>
        </w:rPr>
        <w:t>3</w:t>
      </w:r>
      <w:r w:rsidR="00F634A8" w:rsidRPr="00831002">
        <w:rPr>
          <w:sz w:val="24"/>
        </w:rPr>
        <w:t>0</w:t>
      </w:r>
      <w:r w:rsidRPr="00831002">
        <w:rPr>
          <w:sz w:val="24"/>
        </w:rPr>
        <w:t xml:space="preserve"> dní</w:t>
      </w:r>
      <w:r w:rsidRPr="00095FDB">
        <w:rPr>
          <w:sz w:val="24"/>
        </w:rPr>
        <w:t xml:space="preserve"> od doručení faktury objednateli (originál faktury + kopie zápisu o předání a převzetí). Adresa pro zaslání faktury: </w:t>
      </w:r>
      <w:r w:rsidRPr="00C456CC">
        <w:rPr>
          <w:sz w:val="24"/>
        </w:rPr>
        <w:t>A</w:t>
      </w:r>
      <w:r w:rsidR="00BF2F1E" w:rsidRPr="00C456CC">
        <w:rPr>
          <w:sz w:val="24"/>
        </w:rPr>
        <w:t>rmádní Servisní</w:t>
      </w:r>
      <w:r w:rsidRPr="00C456CC">
        <w:rPr>
          <w:sz w:val="24"/>
        </w:rPr>
        <w:t>, příspěvková organizace, Podbabská 1589/1, 160 00</w:t>
      </w:r>
      <w:r w:rsidR="00831002">
        <w:rPr>
          <w:sz w:val="24"/>
        </w:rPr>
        <w:t>,</w:t>
      </w:r>
      <w:r w:rsidRPr="00C456CC">
        <w:rPr>
          <w:sz w:val="24"/>
        </w:rPr>
        <w:t xml:space="preserve"> Praha 6 – Dejvice</w:t>
      </w:r>
      <w:r w:rsidR="0075034C" w:rsidRPr="00C456CC">
        <w:rPr>
          <w:color w:val="000000"/>
          <w:sz w:val="24"/>
        </w:rPr>
        <w:t>.</w:t>
      </w:r>
    </w:p>
    <w:p w:rsidR="00AE2642" w:rsidRPr="00E34397" w:rsidRDefault="00AE2642" w:rsidP="0075034C">
      <w:pPr>
        <w:numPr>
          <w:ilvl w:val="0"/>
          <w:numId w:val="2"/>
        </w:numPr>
        <w:tabs>
          <w:tab w:val="left" w:pos="0"/>
        </w:tabs>
        <w:spacing w:before="120"/>
        <w:jc w:val="both"/>
        <w:rPr>
          <w:b/>
          <w:sz w:val="24"/>
        </w:rPr>
      </w:pPr>
      <w:r w:rsidRPr="00095FDB">
        <w:rPr>
          <w:color w:val="000000"/>
          <w:sz w:val="24"/>
          <w:szCs w:val="24"/>
        </w:rPr>
        <w:t>Objednatel je oprávněn fakturu vrátit před uplynutím její splatnosti, neobsahuje-li některý údaj nebo doklad uvedený ve smlouvě nebo má jiné závady v obsahu nebo nedostatečný počet vyhotovení</w:t>
      </w:r>
      <w:r w:rsidRPr="00F90426">
        <w:rPr>
          <w:color w:val="000000"/>
          <w:sz w:val="24"/>
          <w:szCs w:val="24"/>
        </w:rPr>
        <w:t xml:space="preserve">. </w:t>
      </w:r>
      <w:r w:rsidR="00D52A7C" w:rsidRPr="00F90426">
        <w:rPr>
          <w:color w:val="000000"/>
          <w:sz w:val="24"/>
          <w:szCs w:val="24"/>
        </w:rPr>
        <w:t>Objednatel je též oprávněn vrátit fak</w:t>
      </w:r>
      <w:r w:rsidR="00831002">
        <w:rPr>
          <w:color w:val="000000"/>
          <w:sz w:val="24"/>
          <w:szCs w:val="24"/>
        </w:rPr>
        <w:t>turu při nesplnění podmínky 30</w:t>
      </w:r>
      <w:r w:rsidR="00D52A7C" w:rsidRPr="00F90426">
        <w:rPr>
          <w:color w:val="000000"/>
          <w:sz w:val="24"/>
          <w:szCs w:val="24"/>
        </w:rPr>
        <w:t xml:space="preserve"> denní splatnosti faktury od jejího doručení objednateli</w:t>
      </w:r>
      <w:r w:rsidR="00D52A7C">
        <w:rPr>
          <w:color w:val="000000"/>
          <w:sz w:val="24"/>
          <w:szCs w:val="24"/>
        </w:rPr>
        <w:t xml:space="preserve">. </w:t>
      </w:r>
      <w:r w:rsidRPr="00095FDB">
        <w:rPr>
          <w:color w:val="000000"/>
          <w:sz w:val="24"/>
          <w:szCs w:val="24"/>
        </w:rPr>
        <w:t xml:space="preserve">Při vrácení faktury objednatel uvede důvod jejího vrácení a v případě oprávněného vrácení </w:t>
      </w:r>
      <w:r w:rsidR="006B45DB" w:rsidRPr="00095FDB">
        <w:rPr>
          <w:color w:val="000000"/>
          <w:sz w:val="24"/>
          <w:szCs w:val="24"/>
        </w:rPr>
        <w:t>zhotovitel</w:t>
      </w:r>
      <w:r w:rsidRPr="00095FDB">
        <w:rPr>
          <w:color w:val="000000"/>
          <w:sz w:val="24"/>
          <w:szCs w:val="24"/>
        </w:rPr>
        <w:t xml:space="preserve"> vystaví fakturu novou. Oprávněným vrácením faktury přestává běžet původní lhůta splatnosti a běží znovu ode dne doručení nové faktury objednateli.</w:t>
      </w:r>
    </w:p>
    <w:p w:rsidR="00095FDB" w:rsidRDefault="00095FDB" w:rsidP="00095FDB">
      <w:pPr>
        <w:tabs>
          <w:tab w:val="right" w:pos="4253"/>
        </w:tabs>
        <w:spacing w:after="120" w:line="288" w:lineRule="auto"/>
        <w:ind w:left="851"/>
        <w:jc w:val="both"/>
        <w:rPr>
          <w:sz w:val="24"/>
          <w:szCs w:val="24"/>
        </w:rPr>
      </w:pPr>
    </w:p>
    <w:p w:rsidR="00E71354" w:rsidRDefault="00E71354" w:rsidP="00095FDB">
      <w:pPr>
        <w:tabs>
          <w:tab w:val="right" w:pos="4253"/>
        </w:tabs>
        <w:spacing w:after="120" w:line="288" w:lineRule="auto"/>
        <w:ind w:left="851"/>
        <w:jc w:val="both"/>
        <w:rPr>
          <w:sz w:val="24"/>
          <w:szCs w:val="24"/>
        </w:rPr>
      </w:pPr>
    </w:p>
    <w:p w:rsidR="00AE2642" w:rsidRDefault="00F866AD" w:rsidP="002E7917">
      <w:pPr>
        <w:pStyle w:val="Nadpis6"/>
        <w:spacing w:beforeLines="20" w:before="48" w:after="120"/>
        <w:rPr>
          <w:rFonts w:ascii="Times New Roman" w:hAnsi="Times New Roman"/>
        </w:rPr>
      </w:pPr>
      <w:r w:rsidRPr="00095FDB">
        <w:rPr>
          <w:rFonts w:ascii="Times New Roman" w:hAnsi="Times New Roman"/>
        </w:rPr>
        <w:t xml:space="preserve">V. </w:t>
      </w:r>
      <w:r w:rsidR="00AE2642" w:rsidRPr="00095FDB">
        <w:rPr>
          <w:rFonts w:ascii="Times New Roman" w:hAnsi="Times New Roman"/>
        </w:rPr>
        <w:t>SOUČINNOST OBJEDNATELE A ZHOTOVITELE</w:t>
      </w:r>
    </w:p>
    <w:p w:rsidR="002354D1" w:rsidRPr="00C042BD" w:rsidRDefault="002354D1" w:rsidP="002354D1">
      <w:pPr>
        <w:rPr>
          <w:sz w:val="24"/>
          <w:szCs w:val="24"/>
        </w:rPr>
      </w:pPr>
    </w:p>
    <w:p w:rsidR="0075034C" w:rsidRDefault="0075034C" w:rsidP="007D4A64">
      <w:pPr>
        <w:numPr>
          <w:ilvl w:val="0"/>
          <w:numId w:val="5"/>
        </w:numPr>
        <w:jc w:val="both"/>
        <w:rPr>
          <w:sz w:val="24"/>
        </w:rPr>
      </w:pPr>
      <w:r w:rsidRPr="00095FDB">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095FDB">
        <w:rPr>
          <w:sz w:val="24"/>
        </w:rPr>
        <w:t>pečnostní a ekologické předpisy</w:t>
      </w:r>
      <w:r w:rsidRPr="00095FDB">
        <w:rPr>
          <w:sz w:val="24"/>
        </w:rPr>
        <w:t xml:space="preserve"> a závazné normy.</w:t>
      </w:r>
    </w:p>
    <w:p w:rsidR="00C328DE" w:rsidRPr="00095FDB" w:rsidRDefault="00C328DE" w:rsidP="00C328DE">
      <w:pPr>
        <w:numPr>
          <w:ilvl w:val="0"/>
          <w:numId w:val="5"/>
        </w:numPr>
        <w:jc w:val="both"/>
        <w:rPr>
          <w:sz w:val="24"/>
        </w:rPr>
      </w:pPr>
      <w:r w:rsidRPr="00C328DE">
        <w:rPr>
          <w:sz w:val="24"/>
        </w:rPr>
        <w:t>Práce budou provedeny při zajištění veškeré nezbytné přepravy, vyložení, svislé dopravy, zabudování, ochrany, bezpečnostních opatření v rámci BOZP a PO, potřebných pracovních sil a materiálů, řízení prací, lešení, výrobních prostor a jiných dočasných prací, které jsou zapotřebí k řádnému provedení a předání předmětu díla, provedení všech předepsaných zkoušek a revizí.</w:t>
      </w:r>
    </w:p>
    <w:p w:rsidR="003C7384" w:rsidRPr="004162E0" w:rsidRDefault="0075034C" w:rsidP="003C7384">
      <w:pPr>
        <w:numPr>
          <w:ilvl w:val="0"/>
          <w:numId w:val="5"/>
        </w:numPr>
        <w:spacing w:before="120"/>
        <w:jc w:val="both"/>
        <w:rPr>
          <w:sz w:val="24"/>
        </w:rPr>
      </w:pPr>
      <w:r w:rsidRPr="004162E0">
        <w:rPr>
          <w:sz w:val="24"/>
        </w:rPr>
        <w:t xml:space="preserve">Objednatel se zavazuje předat zhotoviteli </w:t>
      </w:r>
      <w:r w:rsidR="00705208" w:rsidRPr="004162E0">
        <w:rPr>
          <w:sz w:val="24"/>
        </w:rPr>
        <w:t xml:space="preserve">a zhotovitel převzít do 7 dnů od podpisu smlouvy </w:t>
      </w:r>
      <w:r w:rsidR="00E34397">
        <w:rPr>
          <w:sz w:val="24"/>
        </w:rPr>
        <w:t>místo plnění</w:t>
      </w:r>
      <w:r w:rsidRPr="004162E0">
        <w:rPr>
          <w:sz w:val="24"/>
        </w:rPr>
        <w:t xml:space="preserve"> způsobilé k řádnému a nerušenému plnění předmětu díla ve smyslu této smlouvy. </w:t>
      </w:r>
      <w:r w:rsidR="003C7384" w:rsidRPr="004162E0">
        <w:rPr>
          <w:sz w:val="24"/>
        </w:rPr>
        <w:t xml:space="preserve"> </w:t>
      </w:r>
    </w:p>
    <w:p w:rsidR="002B65DD" w:rsidRDefault="00E34397" w:rsidP="00654A49">
      <w:pPr>
        <w:numPr>
          <w:ilvl w:val="0"/>
          <w:numId w:val="5"/>
        </w:numPr>
        <w:spacing w:before="120"/>
        <w:jc w:val="both"/>
        <w:rPr>
          <w:sz w:val="24"/>
        </w:rPr>
      </w:pPr>
      <w:r>
        <w:rPr>
          <w:sz w:val="24"/>
        </w:rPr>
        <w:t>Zhotovitel zahájí</w:t>
      </w:r>
      <w:r w:rsidR="002B65DD" w:rsidRPr="00654A49">
        <w:rPr>
          <w:sz w:val="24"/>
        </w:rPr>
        <w:t xml:space="preserve"> práce </w:t>
      </w:r>
      <w:r w:rsidR="00791998" w:rsidRPr="00654A49">
        <w:rPr>
          <w:sz w:val="24"/>
        </w:rPr>
        <w:t>bez zbytečného odkladu</w:t>
      </w:r>
      <w:r>
        <w:rPr>
          <w:sz w:val="24"/>
        </w:rPr>
        <w:t xml:space="preserve"> po předání místa </w:t>
      </w:r>
      <w:r w:rsidR="003A0942">
        <w:rPr>
          <w:sz w:val="24"/>
        </w:rPr>
        <w:t xml:space="preserve">plnění </w:t>
      </w:r>
      <w:r w:rsidR="002B65DD" w:rsidRPr="00654A49">
        <w:rPr>
          <w:sz w:val="24"/>
        </w:rPr>
        <w:t xml:space="preserve">objednatelem a ukončí stavební práce nejpozději do termínu </w:t>
      </w:r>
      <w:r w:rsidR="002354D1" w:rsidRPr="00654A49">
        <w:rPr>
          <w:sz w:val="24"/>
        </w:rPr>
        <w:t>uvedeného</w:t>
      </w:r>
      <w:r w:rsidR="002B65DD" w:rsidRPr="00654A49">
        <w:rPr>
          <w:sz w:val="24"/>
        </w:rPr>
        <w:t xml:space="preserve"> v</w:t>
      </w:r>
      <w:r w:rsidR="00791998" w:rsidRPr="00654A49">
        <w:rPr>
          <w:sz w:val="24"/>
        </w:rPr>
        <w:t> článku</w:t>
      </w:r>
      <w:r w:rsidR="002354D1" w:rsidRPr="00654A49">
        <w:rPr>
          <w:sz w:val="24"/>
        </w:rPr>
        <w:t xml:space="preserve"> </w:t>
      </w:r>
      <w:r w:rsidR="003C7384" w:rsidRPr="00654A49">
        <w:rPr>
          <w:sz w:val="24"/>
        </w:rPr>
        <w:t xml:space="preserve">II. </w:t>
      </w:r>
      <w:r w:rsidR="00791998" w:rsidRPr="00654A49">
        <w:rPr>
          <w:sz w:val="24"/>
        </w:rPr>
        <w:t> </w:t>
      </w:r>
      <w:r w:rsidR="002B65DD" w:rsidRPr="00654A49">
        <w:rPr>
          <w:sz w:val="24"/>
        </w:rPr>
        <w:t>této smlouvy.</w:t>
      </w:r>
    </w:p>
    <w:p w:rsidR="00F90426" w:rsidRPr="00F90426" w:rsidRDefault="00F90426" w:rsidP="00F90426">
      <w:pPr>
        <w:numPr>
          <w:ilvl w:val="0"/>
          <w:numId w:val="5"/>
        </w:numPr>
        <w:spacing w:before="120"/>
        <w:jc w:val="both"/>
        <w:rPr>
          <w:sz w:val="24"/>
        </w:rPr>
      </w:pPr>
      <w:r w:rsidRPr="00F90426">
        <w:rPr>
          <w:sz w:val="24"/>
        </w:rPr>
        <w:t>Odstranění zařízení a vyklizení místa plnění zajistí zhotovitel nejpozději do 7 kalendářních dnů ode dne předání a převzetí díla.</w:t>
      </w:r>
    </w:p>
    <w:p w:rsidR="0075034C" w:rsidRPr="00095FDB" w:rsidRDefault="0075034C" w:rsidP="0075034C">
      <w:pPr>
        <w:numPr>
          <w:ilvl w:val="0"/>
          <w:numId w:val="5"/>
        </w:numPr>
        <w:spacing w:before="120"/>
        <w:jc w:val="both"/>
        <w:rPr>
          <w:sz w:val="24"/>
        </w:rPr>
      </w:pPr>
      <w:r w:rsidRPr="00095FDB">
        <w:rPr>
          <w:sz w:val="24"/>
        </w:rPr>
        <w:t>Objednatel se zavazuje, že umožní po dokončení díla zhotoviteli přístup do objektu díla za účelem odstranění případných vad.</w:t>
      </w:r>
    </w:p>
    <w:p w:rsidR="00D749E5" w:rsidRPr="00F90426" w:rsidRDefault="003972B8" w:rsidP="00F90426">
      <w:pPr>
        <w:numPr>
          <w:ilvl w:val="0"/>
          <w:numId w:val="5"/>
        </w:numPr>
        <w:tabs>
          <w:tab w:val="left" w:pos="0"/>
        </w:tabs>
        <w:spacing w:before="120"/>
        <w:jc w:val="both"/>
        <w:rPr>
          <w:b/>
          <w:sz w:val="24"/>
        </w:rPr>
      </w:pPr>
      <w:r w:rsidRPr="00E34397">
        <w:rPr>
          <w:sz w:val="24"/>
        </w:rPr>
        <w:t xml:space="preserve">Zhotovitel </w:t>
      </w:r>
      <w:r w:rsidR="00F90426">
        <w:rPr>
          <w:sz w:val="24"/>
        </w:rPr>
        <w:t>vyzve</w:t>
      </w:r>
      <w:r w:rsidRPr="00E34397">
        <w:rPr>
          <w:sz w:val="24"/>
        </w:rPr>
        <w:t xml:space="preserve"> písemně objednatele k převzetí konstrukcí, které budou zakryty, minimálně 3 pracovní dny předem. O převzetí konstrukcí bude </w:t>
      </w:r>
      <w:r w:rsidR="003A0942">
        <w:rPr>
          <w:sz w:val="24"/>
        </w:rPr>
        <w:t>učiněn zápis</w:t>
      </w:r>
      <w:r w:rsidRPr="00E34397">
        <w:rPr>
          <w:sz w:val="24"/>
        </w:rPr>
        <w:t>.</w:t>
      </w:r>
    </w:p>
    <w:p w:rsidR="00455900" w:rsidRPr="00933172" w:rsidRDefault="00455900" w:rsidP="0075034C">
      <w:pPr>
        <w:numPr>
          <w:ilvl w:val="0"/>
          <w:numId w:val="5"/>
        </w:numPr>
        <w:tabs>
          <w:tab w:val="left" w:pos="0"/>
        </w:tabs>
        <w:spacing w:before="120"/>
        <w:jc w:val="both"/>
        <w:rPr>
          <w:b/>
          <w:sz w:val="24"/>
        </w:rPr>
      </w:pPr>
      <w:r w:rsidRPr="00095FDB">
        <w:rPr>
          <w:sz w:val="24"/>
        </w:rPr>
        <w:t>V případě, že dojde ke změně subdodavatele, prostřednictvím, kterého zhotovitel prokazoval v zadávacím řízení kvalifikaci, je zhotovitel povinen před jeho změnou objednatele písemně informovat a vyžádat si jeho souhlasné stanovisko.</w:t>
      </w:r>
    </w:p>
    <w:p w:rsidR="00672836" w:rsidRPr="00831002" w:rsidRDefault="00672836" w:rsidP="00831002">
      <w:pPr>
        <w:tabs>
          <w:tab w:val="left" w:pos="0"/>
        </w:tabs>
        <w:spacing w:before="120"/>
        <w:jc w:val="both"/>
        <w:rPr>
          <w:sz w:val="24"/>
        </w:rPr>
      </w:pPr>
    </w:p>
    <w:p w:rsidR="00AE2642" w:rsidRDefault="00F866AD" w:rsidP="002E7917">
      <w:pPr>
        <w:pStyle w:val="Nadpis6"/>
        <w:keepNext w:val="0"/>
        <w:spacing w:beforeLines="20" w:before="48" w:after="120"/>
        <w:rPr>
          <w:rFonts w:ascii="Times New Roman" w:hAnsi="Times New Roman"/>
        </w:rPr>
      </w:pPr>
      <w:r w:rsidRPr="00095FDB">
        <w:rPr>
          <w:rFonts w:ascii="Times New Roman" w:hAnsi="Times New Roman"/>
        </w:rPr>
        <w:lastRenderedPageBreak/>
        <w:t xml:space="preserve">VI. </w:t>
      </w:r>
      <w:r w:rsidR="00AE2642" w:rsidRPr="00095FDB">
        <w:rPr>
          <w:rFonts w:ascii="Times New Roman" w:hAnsi="Times New Roman"/>
        </w:rPr>
        <w:t>Odpovědnost za vady – záruka</w:t>
      </w:r>
    </w:p>
    <w:p w:rsidR="002354D1" w:rsidRPr="00C042BD" w:rsidRDefault="002354D1" w:rsidP="002354D1">
      <w:pPr>
        <w:rPr>
          <w:sz w:val="24"/>
          <w:szCs w:val="24"/>
        </w:rPr>
      </w:pPr>
    </w:p>
    <w:p w:rsidR="00AE2642" w:rsidRPr="00095FDB" w:rsidRDefault="00AE2642" w:rsidP="002E7917">
      <w:pPr>
        <w:numPr>
          <w:ilvl w:val="0"/>
          <w:numId w:val="6"/>
        </w:numPr>
        <w:spacing w:beforeLines="20" w:before="48"/>
        <w:jc w:val="both"/>
        <w:rPr>
          <w:sz w:val="24"/>
        </w:rPr>
      </w:pPr>
      <w:r w:rsidRPr="00095FDB">
        <w:rPr>
          <w:sz w:val="24"/>
        </w:rPr>
        <w:t>Záruční doba na provedené dílo je</w:t>
      </w:r>
      <w:r w:rsidR="00566299">
        <w:rPr>
          <w:sz w:val="24"/>
        </w:rPr>
        <w:t xml:space="preserve"> </w:t>
      </w:r>
      <w:r w:rsidR="00C456CC">
        <w:rPr>
          <w:sz w:val="24"/>
        </w:rPr>
        <w:t>60</w:t>
      </w:r>
      <w:r w:rsidR="004162E0">
        <w:rPr>
          <w:sz w:val="24"/>
        </w:rPr>
        <w:t xml:space="preserve"> </w:t>
      </w:r>
      <w:r w:rsidR="00783D5E" w:rsidRPr="004162E0">
        <w:rPr>
          <w:sz w:val="24"/>
        </w:rPr>
        <w:t>měsíců.</w:t>
      </w:r>
    </w:p>
    <w:p w:rsidR="0075034C" w:rsidRPr="00095FDB" w:rsidRDefault="0075034C" w:rsidP="0075034C">
      <w:pPr>
        <w:numPr>
          <w:ilvl w:val="0"/>
          <w:numId w:val="6"/>
        </w:numPr>
        <w:spacing w:before="120"/>
        <w:jc w:val="both"/>
        <w:rPr>
          <w:sz w:val="24"/>
        </w:rPr>
      </w:pPr>
      <w:r w:rsidRPr="00095FDB">
        <w:rPr>
          <w:sz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rsidR="0075034C" w:rsidRPr="00095FDB" w:rsidRDefault="0075034C" w:rsidP="0075034C">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rsidR="0075034C" w:rsidRPr="00095FDB" w:rsidRDefault="0075034C" w:rsidP="0075034C">
      <w:pPr>
        <w:numPr>
          <w:ilvl w:val="0"/>
          <w:numId w:val="6"/>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rsidR="00FD4896" w:rsidRDefault="00FD4896" w:rsidP="002E7917">
      <w:pPr>
        <w:pStyle w:val="Nadpis6"/>
        <w:keepNext w:val="0"/>
        <w:spacing w:beforeLines="20" w:before="48" w:after="120"/>
        <w:rPr>
          <w:rFonts w:ascii="Times New Roman" w:hAnsi="Times New Roman"/>
        </w:rPr>
      </w:pPr>
    </w:p>
    <w:p w:rsidR="00B46B1D" w:rsidRPr="00C042BD" w:rsidRDefault="00B46B1D" w:rsidP="00B46B1D">
      <w:pPr>
        <w:rPr>
          <w:sz w:val="24"/>
          <w:szCs w:val="24"/>
        </w:rPr>
      </w:pPr>
    </w:p>
    <w:p w:rsidR="002354D1" w:rsidRPr="00831002" w:rsidRDefault="00F866AD" w:rsidP="00831002">
      <w:pPr>
        <w:pStyle w:val="Nadpis6"/>
        <w:keepNext w:val="0"/>
        <w:spacing w:beforeLines="20" w:before="48" w:after="120"/>
        <w:rPr>
          <w:rFonts w:ascii="Times New Roman" w:hAnsi="Times New Roman"/>
        </w:rPr>
      </w:pPr>
      <w:r w:rsidRPr="00095FDB">
        <w:rPr>
          <w:rFonts w:ascii="Times New Roman" w:hAnsi="Times New Roman"/>
        </w:rPr>
        <w:t xml:space="preserve">VII. </w:t>
      </w:r>
      <w:r w:rsidR="00D52A7C">
        <w:rPr>
          <w:rFonts w:ascii="Times New Roman" w:hAnsi="Times New Roman"/>
        </w:rPr>
        <w:t xml:space="preserve">Práva a </w:t>
      </w:r>
      <w:r w:rsidR="008F5951">
        <w:rPr>
          <w:rFonts w:ascii="Times New Roman" w:hAnsi="Times New Roman"/>
        </w:rPr>
        <w:t>POvinnosti s</w:t>
      </w:r>
      <w:r w:rsidR="00D52A7C">
        <w:rPr>
          <w:rFonts w:ascii="Times New Roman" w:hAnsi="Times New Roman"/>
        </w:rPr>
        <w:t>tran</w:t>
      </w:r>
    </w:p>
    <w:p w:rsidR="0075034C" w:rsidRDefault="0075034C" w:rsidP="00CC73A2">
      <w:pPr>
        <w:spacing w:after="120"/>
        <w:ind w:left="851"/>
        <w:jc w:val="both"/>
        <w:rPr>
          <w:sz w:val="24"/>
        </w:rPr>
      </w:pPr>
    </w:p>
    <w:p w:rsidR="002354D1" w:rsidRPr="00F634A8" w:rsidRDefault="002354D1" w:rsidP="00F634A8">
      <w:pPr>
        <w:numPr>
          <w:ilvl w:val="0"/>
          <w:numId w:val="17"/>
        </w:numPr>
        <w:tabs>
          <w:tab w:val="right" w:pos="4253"/>
        </w:tabs>
        <w:spacing w:after="120" w:line="288" w:lineRule="auto"/>
        <w:jc w:val="both"/>
        <w:rPr>
          <w:sz w:val="24"/>
          <w:szCs w:val="24"/>
        </w:rPr>
      </w:pPr>
      <w:r w:rsidRPr="00095FDB">
        <w:rPr>
          <w:sz w:val="24"/>
          <w:szCs w:val="24"/>
        </w:rPr>
        <w:t>Technický dozor nesmí provádět zhotovitel ani osoba s ním propojená dle § 46d zákona č. 137/2006 Sb.</w:t>
      </w:r>
    </w:p>
    <w:p w:rsidR="0075034C" w:rsidRPr="00095FDB" w:rsidRDefault="003A0942" w:rsidP="0075034C">
      <w:pPr>
        <w:numPr>
          <w:ilvl w:val="0"/>
          <w:numId w:val="17"/>
        </w:numPr>
        <w:spacing w:before="120"/>
        <w:jc w:val="both"/>
        <w:rPr>
          <w:sz w:val="24"/>
        </w:rPr>
      </w:pPr>
      <w:r>
        <w:rPr>
          <w:sz w:val="24"/>
        </w:rPr>
        <w:t>Převzetím místa plnění</w:t>
      </w:r>
      <w:r w:rsidR="0075034C" w:rsidRPr="00095FDB">
        <w:rPr>
          <w:sz w:val="24"/>
        </w:rPr>
        <w:t xml:space="preserve"> zhotovitel přebírá v plném rozsahu odpovědnost za dodržování </w:t>
      </w:r>
      <w:r w:rsidR="00C12C0B" w:rsidRPr="00095FDB">
        <w:rPr>
          <w:sz w:val="24"/>
        </w:rPr>
        <w:t xml:space="preserve">platných </w:t>
      </w:r>
      <w:r w:rsidR="0075034C"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rsidR="00F51364" w:rsidRPr="00454767" w:rsidRDefault="00F51364" w:rsidP="0075034C">
      <w:pPr>
        <w:numPr>
          <w:ilvl w:val="0"/>
          <w:numId w:val="17"/>
        </w:numPr>
        <w:spacing w:before="120"/>
        <w:jc w:val="both"/>
        <w:rPr>
          <w:sz w:val="24"/>
        </w:rPr>
      </w:pPr>
      <w:r w:rsidRPr="00F90426">
        <w:rPr>
          <w:sz w:val="24"/>
          <w:szCs w:val="24"/>
        </w:rPr>
        <w:t>Zhotovitel zajistí projednání, odsouhlasení a osazení přechodného dopr</w:t>
      </w:r>
      <w:r w:rsidR="00DE3B2A" w:rsidRPr="00F90426">
        <w:rPr>
          <w:sz w:val="24"/>
          <w:szCs w:val="24"/>
        </w:rPr>
        <w:t>avního značení po dobu výstavby a bezpečnostní značení dle norem.</w:t>
      </w:r>
    </w:p>
    <w:p w:rsidR="00BB7E4D" w:rsidRPr="00BB7E4D" w:rsidRDefault="00BB7E4D" w:rsidP="00BB7E4D">
      <w:pPr>
        <w:spacing w:before="120"/>
        <w:ind w:left="851"/>
        <w:jc w:val="both"/>
        <w:rPr>
          <w:sz w:val="24"/>
        </w:rPr>
      </w:pPr>
    </w:p>
    <w:p w:rsidR="00BB7E4D" w:rsidRPr="00BB7E4D" w:rsidRDefault="00BB7E4D" w:rsidP="00BB7E4D">
      <w:pPr>
        <w:pStyle w:val="Odstavecseseznamem"/>
        <w:numPr>
          <w:ilvl w:val="0"/>
          <w:numId w:val="17"/>
        </w:numPr>
        <w:rPr>
          <w:rFonts w:ascii="Times New Roman" w:hAnsi="Times New Roman"/>
          <w:sz w:val="24"/>
          <w:szCs w:val="20"/>
        </w:rPr>
      </w:pPr>
      <w:r w:rsidRPr="00BB7E4D">
        <w:rPr>
          <w:rFonts w:ascii="Times New Roman" w:hAnsi="Times New Roman"/>
          <w:sz w:val="24"/>
          <w:szCs w:val="20"/>
        </w:rPr>
        <w:t>Veškeré škody na zemědělských plodinách vzniklé při výstavbě plynovodní přípojky (ušlý zisk, jiné náhrady atd.) hradí zhotovitel.</w:t>
      </w:r>
    </w:p>
    <w:p w:rsidR="008F5951" w:rsidRPr="00F90426" w:rsidRDefault="008F5951" w:rsidP="0075034C">
      <w:pPr>
        <w:numPr>
          <w:ilvl w:val="0"/>
          <w:numId w:val="17"/>
        </w:numPr>
        <w:spacing w:before="120"/>
        <w:jc w:val="both"/>
        <w:rPr>
          <w:sz w:val="24"/>
        </w:rPr>
      </w:pPr>
      <w:r w:rsidRPr="00F90426">
        <w:rPr>
          <w:sz w:val="24"/>
          <w:szCs w:val="24"/>
        </w:rPr>
        <w:t>V rámci plnění díla je zhotovitel povinen zajistit pro své zaměstnance povolení ke vstupu a přístup do objektů a místností.</w:t>
      </w:r>
    </w:p>
    <w:p w:rsidR="008F5951" w:rsidRPr="00F90426" w:rsidRDefault="008F5951" w:rsidP="0075034C">
      <w:pPr>
        <w:numPr>
          <w:ilvl w:val="0"/>
          <w:numId w:val="17"/>
        </w:numPr>
        <w:spacing w:before="120"/>
        <w:jc w:val="both"/>
        <w:rPr>
          <w:sz w:val="24"/>
        </w:rPr>
      </w:pPr>
      <w:r w:rsidRPr="00F90426">
        <w:rPr>
          <w:sz w:val="24"/>
          <w:szCs w:val="24"/>
        </w:rPr>
        <w:t>Zhotovitel je povinen v průběhu realizace díla vést stavební deník dle přílohy č. 6 vyhlášky č. 499/2006 Sb., v platném znění.</w:t>
      </w:r>
    </w:p>
    <w:p w:rsidR="008F5951" w:rsidRPr="00F90426" w:rsidRDefault="008F5951" w:rsidP="0075034C">
      <w:pPr>
        <w:numPr>
          <w:ilvl w:val="0"/>
          <w:numId w:val="17"/>
        </w:numPr>
        <w:spacing w:before="120"/>
        <w:jc w:val="both"/>
        <w:rPr>
          <w:sz w:val="24"/>
        </w:rPr>
      </w:pPr>
      <w:r w:rsidRPr="00F90426">
        <w:rPr>
          <w:sz w:val="24"/>
          <w:szCs w:val="24"/>
        </w:rPr>
        <w:t>Zhotovitel je povinen průběžně provádět (minimálně 2 x za měsíc nebo dle potřeby) kontrolní dny za účasti projektanta, zástupce objednatele a zástupce zho</w:t>
      </w:r>
      <w:r w:rsidR="00D52A7C" w:rsidRPr="00F90426">
        <w:rPr>
          <w:sz w:val="24"/>
          <w:szCs w:val="24"/>
        </w:rPr>
        <w:t>t</w:t>
      </w:r>
      <w:r w:rsidRPr="00F90426">
        <w:rPr>
          <w:sz w:val="24"/>
          <w:szCs w:val="24"/>
        </w:rPr>
        <w:t>ovitele.</w:t>
      </w:r>
    </w:p>
    <w:p w:rsidR="00D52A7C" w:rsidRPr="00F90426" w:rsidRDefault="00D52A7C" w:rsidP="0075034C">
      <w:pPr>
        <w:numPr>
          <w:ilvl w:val="0"/>
          <w:numId w:val="17"/>
        </w:numPr>
        <w:spacing w:before="120"/>
        <w:jc w:val="both"/>
        <w:rPr>
          <w:sz w:val="24"/>
        </w:rPr>
      </w:pPr>
      <w:r w:rsidRPr="00F90426">
        <w:rPr>
          <w:sz w:val="24"/>
          <w:szCs w:val="24"/>
        </w:rPr>
        <w:t>Součástí plnění díla je průběžný a závěrečný úklid</w:t>
      </w:r>
      <w:r w:rsidR="00DC5D3B" w:rsidRPr="00F90426">
        <w:rPr>
          <w:sz w:val="24"/>
          <w:szCs w:val="24"/>
        </w:rPr>
        <w:t xml:space="preserve"> </w:t>
      </w:r>
      <w:r w:rsidR="00DC5D3B" w:rsidRPr="00F90426">
        <w:rPr>
          <w:sz w:val="24"/>
        </w:rPr>
        <w:t>(vč. schodiště, výtahu, vstupu do objektu atd.)</w:t>
      </w:r>
      <w:r w:rsidRPr="00F90426">
        <w:rPr>
          <w:sz w:val="24"/>
          <w:szCs w:val="24"/>
        </w:rPr>
        <w:t>, odvoz a ekologická likvidace veškerého vzniklého odpadu včetně jeho uložení na skládku. Původcem odpadu vzniklého v souvislosti s realizací díla je zhotovitel. Zhotovitel je povinen předat doklady o likvidaci odpadu objednateli.</w:t>
      </w:r>
    </w:p>
    <w:p w:rsidR="00D749E5" w:rsidRPr="00F90426" w:rsidRDefault="00D749E5" w:rsidP="00D749E5">
      <w:pPr>
        <w:numPr>
          <w:ilvl w:val="0"/>
          <w:numId w:val="17"/>
        </w:numPr>
        <w:tabs>
          <w:tab w:val="left" w:pos="0"/>
        </w:tabs>
        <w:spacing w:before="120"/>
        <w:jc w:val="both"/>
        <w:rPr>
          <w:b/>
          <w:sz w:val="24"/>
        </w:rPr>
      </w:pPr>
      <w:r w:rsidRPr="00F90426">
        <w:rPr>
          <w:sz w:val="24"/>
        </w:rPr>
        <w:t>Zhotovitel je povinen písemně vyzvat objednatele k převzetí konstrukcí, které budou zakryty, minimálně 3 pracovní dny předem. O převzetí konstrukcí bude učiněn zápis.</w:t>
      </w:r>
    </w:p>
    <w:p w:rsidR="00D52A7C" w:rsidRPr="00F90426" w:rsidRDefault="00D52A7C" w:rsidP="00D749E5">
      <w:pPr>
        <w:numPr>
          <w:ilvl w:val="0"/>
          <w:numId w:val="17"/>
        </w:numPr>
        <w:spacing w:before="120"/>
        <w:jc w:val="both"/>
        <w:rPr>
          <w:sz w:val="24"/>
        </w:rPr>
      </w:pPr>
      <w:r w:rsidRPr="00F90426">
        <w:rPr>
          <w:sz w:val="24"/>
        </w:rPr>
        <w:t>Zhotovitel provede opat</w:t>
      </w:r>
      <w:r w:rsidR="00831002">
        <w:rPr>
          <w:sz w:val="24"/>
        </w:rPr>
        <w:t xml:space="preserve">ření proti prašnosti v průběhu </w:t>
      </w:r>
      <w:r w:rsidRPr="00F90426">
        <w:rPr>
          <w:sz w:val="24"/>
        </w:rPr>
        <w:t>realizace díla.</w:t>
      </w:r>
    </w:p>
    <w:p w:rsidR="00D52A7C" w:rsidRPr="00F90426" w:rsidRDefault="00DC5D3B" w:rsidP="00DE3B2A">
      <w:pPr>
        <w:numPr>
          <w:ilvl w:val="0"/>
          <w:numId w:val="17"/>
        </w:numPr>
        <w:tabs>
          <w:tab w:val="left" w:pos="0"/>
        </w:tabs>
        <w:spacing w:before="120"/>
        <w:jc w:val="both"/>
        <w:rPr>
          <w:sz w:val="24"/>
        </w:rPr>
      </w:pPr>
      <w:r w:rsidRPr="00F90426">
        <w:rPr>
          <w:sz w:val="24"/>
        </w:rPr>
        <w:lastRenderedPageBreak/>
        <w:t xml:space="preserve">Zhotovitel zajistí průběžné pořizování </w:t>
      </w:r>
      <w:r w:rsidRPr="00F90426">
        <w:rPr>
          <w:rFonts w:eastAsia="Calibri"/>
          <w:bCs/>
          <w:sz w:val="24"/>
          <w:szCs w:val="24"/>
        </w:rPr>
        <w:t>fotodokumentace. Vždy před zasypáním bude provedena fotodokumentace odkryté části potrubí a vizuální kontrola uloženého potrubí.</w:t>
      </w:r>
    </w:p>
    <w:p w:rsidR="00F90426" w:rsidRPr="00F90426" w:rsidRDefault="00F90426" w:rsidP="00F90426">
      <w:pPr>
        <w:numPr>
          <w:ilvl w:val="0"/>
          <w:numId w:val="17"/>
        </w:numPr>
        <w:spacing w:before="120"/>
        <w:jc w:val="both"/>
        <w:rPr>
          <w:sz w:val="24"/>
        </w:rPr>
      </w:pPr>
      <w:r w:rsidRPr="00F90426">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rsidR="00EA3BE5" w:rsidRPr="00654A49" w:rsidRDefault="00E15102" w:rsidP="00E15102">
      <w:pPr>
        <w:numPr>
          <w:ilvl w:val="0"/>
          <w:numId w:val="17"/>
        </w:numPr>
        <w:spacing w:before="120"/>
        <w:jc w:val="both"/>
        <w:rPr>
          <w:color w:val="000000" w:themeColor="text1"/>
          <w:sz w:val="24"/>
        </w:rPr>
      </w:pPr>
      <w:r>
        <w:rPr>
          <w:sz w:val="24"/>
        </w:rPr>
        <w:t>P</w:t>
      </w:r>
      <w:r w:rsidR="00EA3BE5" w:rsidRPr="00F90426">
        <w:rPr>
          <w:sz w:val="24"/>
        </w:rPr>
        <w:t>racovníci realizace díla</w:t>
      </w:r>
      <w:r w:rsidR="00EA3BE5" w:rsidRPr="00EA3BE5">
        <w:rPr>
          <w:sz w:val="24"/>
        </w:rPr>
        <w:t xml:space="preserve"> musí být státními příslušníky členských států EU nebo členských zemí NATO - realizace probíhá </w:t>
      </w:r>
      <w:r w:rsidR="00406998">
        <w:rPr>
          <w:rFonts w:eastAsia="Calibri"/>
          <w:sz w:val="24"/>
          <w:szCs w:val="24"/>
        </w:rPr>
        <w:t xml:space="preserve">na zařízení </w:t>
      </w:r>
      <w:r w:rsidR="001A6F2A" w:rsidRPr="00654A49">
        <w:rPr>
          <w:rFonts w:eastAsia="Calibri"/>
          <w:color w:val="000000" w:themeColor="text1"/>
          <w:sz w:val="24"/>
          <w:szCs w:val="24"/>
        </w:rPr>
        <w:t>ministerstva obrany.</w:t>
      </w:r>
    </w:p>
    <w:p w:rsidR="00197CB7" w:rsidRDefault="00197CB7" w:rsidP="00197CB7">
      <w:pPr>
        <w:numPr>
          <w:ilvl w:val="0"/>
          <w:numId w:val="17"/>
        </w:numPr>
        <w:spacing w:before="120" w:after="120"/>
        <w:jc w:val="both"/>
        <w:rPr>
          <w:sz w:val="24"/>
        </w:rPr>
      </w:pPr>
      <w:r w:rsidRPr="00095FDB">
        <w:rPr>
          <w:sz w:val="24"/>
        </w:rPr>
        <w:t xml:space="preserve">Zhotovitel souhlasí se zveřejněním smlouvy na </w:t>
      </w:r>
      <w:r w:rsidR="00377D38">
        <w:rPr>
          <w:sz w:val="24"/>
        </w:rPr>
        <w:t>webových stránkách objednatele</w:t>
      </w:r>
      <w:r w:rsidR="00074944">
        <w:rPr>
          <w:sz w:val="24"/>
        </w:rPr>
        <w:t>.</w:t>
      </w:r>
    </w:p>
    <w:p w:rsidR="003033C6" w:rsidRDefault="00027C2C" w:rsidP="003033C6">
      <w:pPr>
        <w:pStyle w:val="Odstavecseseznamem"/>
        <w:numPr>
          <w:ilvl w:val="0"/>
          <w:numId w:val="17"/>
        </w:numPr>
        <w:rPr>
          <w:rFonts w:ascii="Times New Roman" w:hAnsi="Times New Roman"/>
          <w:sz w:val="24"/>
          <w:szCs w:val="20"/>
        </w:rPr>
      </w:pPr>
      <w:r>
        <w:rPr>
          <w:rFonts w:ascii="Times New Roman" w:hAnsi="Times New Roman"/>
          <w:sz w:val="24"/>
          <w:szCs w:val="20"/>
        </w:rPr>
        <w:t>Objednatel</w:t>
      </w:r>
      <w:r w:rsidR="003033C6" w:rsidRPr="003033C6">
        <w:rPr>
          <w:rFonts w:ascii="Times New Roman" w:hAnsi="Times New Roman"/>
          <w:sz w:val="24"/>
          <w:szCs w:val="20"/>
        </w:rPr>
        <w:t xml:space="preserve"> nepřipouští variantní řešení.</w:t>
      </w:r>
    </w:p>
    <w:p w:rsidR="00197CB7" w:rsidRDefault="00A06F0C" w:rsidP="0044413B">
      <w:pPr>
        <w:numPr>
          <w:ilvl w:val="0"/>
          <w:numId w:val="17"/>
        </w:numPr>
        <w:autoSpaceDE w:val="0"/>
        <w:autoSpaceDN w:val="0"/>
        <w:adjustRightInd w:val="0"/>
        <w:spacing w:after="120"/>
        <w:jc w:val="both"/>
        <w:rPr>
          <w:color w:val="000000"/>
          <w:sz w:val="24"/>
          <w:szCs w:val="24"/>
        </w:rPr>
      </w:pPr>
      <w:r w:rsidRPr="00BE1AD9">
        <w:rPr>
          <w:sz w:val="24"/>
          <w:szCs w:val="24"/>
        </w:rPr>
        <w:t>Zhotovitel</w:t>
      </w:r>
      <w:r w:rsidR="00377D38">
        <w:rPr>
          <w:bCs/>
          <w:sz w:val="24"/>
          <w:szCs w:val="24"/>
        </w:rPr>
        <w:t xml:space="preserve"> prohlašuje, že je pojištěn </w:t>
      </w:r>
      <w:r w:rsidRPr="00636552">
        <w:rPr>
          <w:bCs/>
          <w:sz w:val="24"/>
          <w:szCs w:val="24"/>
        </w:rPr>
        <w:t xml:space="preserve">na škody způsobené při své podnikatelské činnosti do </w:t>
      </w:r>
      <w:r w:rsidR="00074944">
        <w:rPr>
          <w:bCs/>
          <w:sz w:val="24"/>
          <w:szCs w:val="24"/>
        </w:rPr>
        <w:t xml:space="preserve">minimální </w:t>
      </w:r>
      <w:r w:rsidRPr="00636552">
        <w:rPr>
          <w:bCs/>
          <w:sz w:val="24"/>
          <w:szCs w:val="24"/>
        </w:rPr>
        <w:t xml:space="preserve">výše </w:t>
      </w:r>
      <w:r w:rsidR="004D7E6C">
        <w:rPr>
          <w:bCs/>
          <w:sz w:val="24"/>
          <w:szCs w:val="24"/>
        </w:rPr>
        <w:t>20</w:t>
      </w:r>
      <w:r w:rsidR="00831002">
        <w:rPr>
          <w:bCs/>
          <w:sz w:val="24"/>
          <w:szCs w:val="24"/>
        </w:rPr>
        <w:t>.000.000</w:t>
      </w:r>
      <w:r w:rsidR="004162E0">
        <w:rPr>
          <w:bCs/>
          <w:sz w:val="24"/>
          <w:szCs w:val="24"/>
        </w:rPr>
        <w:t xml:space="preserve"> </w:t>
      </w:r>
      <w:r w:rsidR="00654A49">
        <w:rPr>
          <w:bCs/>
          <w:sz w:val="24"/>
          <w:szCs w:val="24"/>
        </w:rPr>
        <w:t>Kč</w:t>
      </w:r>
      <w:r w:rsidR="00602BDB">
        <w:rPr>
          <w:bCs/>
          <w:sz w:val="24"/>
          <w:szCs w:val="24"/>
        </w:rPr>
        <w:t>.</w:t>
      </w:r>
      <w:r w:rsidRPr="00636552">
        <w:rPr>
          <w:bCs/>
          <w:sz w:val="24"/>
          <w:szCs w:val="24"/>
        </w:rPr>
        <w:t xml:space="preserve"> Zhotovitel je povinen mít uzavřenu pojistnou smlouvu pro případ vzniku škody minimálně ve stejném rozsahu a výši, jak je uvedeno v tomto</w:t>
      </w:r>
      <w:r w:rsidRPr="00BE1AD9">
        <w:rPr>
          <w:bCs/>
          <w:sz w:val="24"/>
          <w:szCs w:val="24"/>
        </w:rPr>
        <w:t xml:space="preserve"> bodu, a to po celou dobu trvání smluvního vztahu založeného touto </w:t>
      </w:r>
      <w:r>
        <w:rPr>
          <w:bCs/>
          <w:sz w:val="24"/>
          <w:szCs w:val="24"/>
        </w:rPr>
        <w:t>smlouvou.</w:t>
      </w:r>
    </w:p>
    <w:p w:rsidR="001A6F2A" w:rsidRDefault="001A6F2A" w:rsidP="001A6F2A">
      <w:pPr>
        <w:autoSpaceDE w:val="0"/>
        <w:autoSpaceDN w:val="0"/>
        <w:adjustRightInd w:val="0"/>
        <w:rPr>
          <w:sz w:val="24"/>
          <w:szCs w:val="24"/>
        </w:rPr>
      </w:pPr>
    </w:p>
    <w:p w:rsidR="001A6F2A" w:rsidRPr="00EE5368" w:rsidRDefault="001A6F2A" w:rsidP="001A6F2A">
      <w:pPr>
        <w:autoSpaceDE w:val="0"/>
        <w:autoSpaceDN w:val="0"/>
        <w:adjustRightInd w:val="0"/>
        <w:rPr>
          <w:sz w:val="24"/>
          <w:szCs w:val="24"/>
        </w:rPr>
      </w:pPr>
    </w:p>
    <w:p w:rsidR="00AE2642" w:rsidRDefault="00F866AD" w:rsidP="002E7917">
      <w:pPr>
        <w:pStyle w:val="Nadpis6"/>
        <w:keepNext w:val="0"/>
        <w:spacing w:beforeLines="20" w:before="48" w:after="120"/>
        <w:rPr>
          <w:rFonts w:ascii="Times New Roman" w:hAnsi="Times New Roman"/>
        </w:rPr>
      </w:pPr>
      <w:r w:rsidRPr="00095FDB">
        <w:rPr>
          <w:rFonts w:ascii="Times New Roman" w:hAnsi="Times New Roman"/>
        </w:rPr>
        <w:t xml:space="preserve">VIII. </w:t>
      </w:r>
      <w:r w:rsidR="00AE2642" w:rsidRPr="00095FDB">
        <w:rPr>
          <w:rFonts w:ascii="Times New Roman" w:hAnsi="Times New Roman"/>
        </w:rPr>
        <w:t>PŘEDÁNÍ DÍLA</w:t>
      </w:r>
    </w:p>
    <w:p w:rsidR="00EA3BE5" w:rsidRPr="00EA3BE5" w:rsidRDefault="00EA3BE5" w:rsidP="00EA3BE5"/>
    <w:p w:rsidR="00197CB7" w:rsidRDefault="00F634A8" w:rsidP="00C042BD">
      <w:pPr>
        <w:shd w:val="clear" w:color="00FFFF" w:fill="auto"/>
        <w:ind w:left="720" w:hanging="720"/>
        <w:jc w:val="both"/>
        <w:rPr>
          <w:sz w:val="24"/>
        </w:rPr>
      </w:pPr>
      <w:r w:rsidRPr="00F634A8">
        <w:rPr>
          <w:b/>
          <w:sz w:val="22"/>
          <w:szCs w:val="22"/>
        </w:rPr>
        <w:t>8.1</w:t>
      </w:r>
      <w:r>
        <w:rPr>
          <w:sz w:val="24"/>
        </w:rPr>
        <w:tab/>
      </w:r>
      <w:r w:rsidR="0075034C" w:rsidRPr="00095FDB">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095FDB">
        <w:rPr>
          <w:sz w:val="24"/>
        </w:rPr>
        <w:t>h stran, a při kterém zhotovitel předá a objednatel pře</w:t>
      </w:r>
      <w:r w:rsidR="002354D1">
        <w:rPr>
          <w:sz w:val="24"/>
        </w:rPr>
        <w:t xml:space="preserve">vezme veškerou dokumentaci dle </w:t>
      </w:r>
      <w:r w:rsidR="00654A49">
        <w:rPr>
          <w:sz w:val="24"/>
        </w:rPr>
        <w:t>č</w:t>
      </w:r>
      <w:r w:rsidR="00197CB7" w:rsidRPr="00095FDB">
        <w:rPr>
          <w:sz w:val="24"/>
        </w:rPr>
        <w:t xml:space="preserve">lánku </w:t>
      </w:r>
      <w:r w:rsidR="002354D1">
        <w:rPr>
          <w:sz w:val="24"/>
        </w:rPr>
        <w:t xml:space="preserve">č. </w:t>
      </w:r>
      <w:r w:rsidR="00197CB7" w:rsidRPr="00095FDB">
        <w:rPr>
          <w:sz w:val="24"/>
        </w:rPr>
        <w:t>1 této smlouvy.</w:t>
      </w:r>
    </w:p>
    <w:p w:rsidR="00377D38" w:rsidRDefault="00377D38" w:rsidP="00C042BD">
      <w:pPr>
        <w:shd w:val="clear" w:color="00FFFF" w:fill="auto"/>
        <w:ind w:left="720" w:hanging="720"/>
        <w:jc w:val="both"/>
        <w:rPr>
          <w:sz w:val="24"/>
        </w:rPr>
      </w:pPr>
    </w:p>
    <w:p w:rsidR="00377D38" w:rsidRDefault="00377D38" w:rsidP="00C042BD">
      <w:pPr>
        <w:shd w:val="clear" w:color="00FFFF" w:fill="auto"/>
        <w:ind w:left="720" w:hanging="720"/>
        <w:jc w:val="both"/>
        <w:rPr>
          <w:sz w:val="24"/>
        </w:rPr>
      </w:pPr>
    </w:p>
    <w:p w:rsidR="00377D38" w:rsidRPr="00095FDB" w:rsidRDefault="00377D38" w:rsidP="00C042BD">
      <w:pPr>
        <w:shd w:val="clear" w:color="00FFFF" w:fill="auto"/>
        <w:ind w:left="720" w:hanging="720"/>
        <w:jc w:val="both"/>
        <w:rPr>
          <w:sz w:val="24"/>
        </w:rPr>
      </w:pPr>
    </w:p>
    <w:p w:rsidR="00AE2642" w:rsidRDefault="00F866AD" w:rsidP="002E7917">
      <w:pPr>
        <w:pStyle w:val="Nadpis6"/>
        <w:keepNext w:val="0"/>
        <w:spacing w:beforeLines="20" w:before="48" w:after="120"/>
        <w:rPr>
          <w:rFonts w:ascii="Times New Roman" w:hAnsi="Times New Roman"/>
        </w:rPr>
      </w:pPr>
      <w:r w:rsidRPr="00095FDB">
        <w:rPr>
          <w:rFonts w:ascii="Times New Roman" w:hAnsi="Times New Roman"/>
        </w:rPr>
        <w:t xml:space="preserve">IX. </w:t>
      </w:r>
      <w:r w:rsidR="00AE2642" w:rsidRPr="00095FDB">
        <w:rPr>
          <w:rFonts w:ascii="Times New Roman" w:hAnsi="Times New Roman"/>
        </w:rPr>
        <w:t>SMLUVNÍ POKUTY</w:t>
      </w:r>
    </w:p>
    <w:p w:rsidR="00EA3BE5" w:rsidRPr="00EA3BE5" w:rsidRDefault="00EA3BE5" w:rsidP="00EA3BE5"/>
    <w:p w:rsidR="001128D2" w:rsidRPr="001128D2" w:rsidRDefault="001128D2" w:rsidP="001128D2">
      <w:pPr>
        <w:numPr>
          <w:ilvl w:val="0"/>
          <w:numId w:val="8"/>
        </w:numPr>
        <w:tabs>
          <w:tab w:val="right" w:pos="9071"/>
        </w:tabs>
        <w:spacing w:after="120"/>
        <w:jc w:val="both"/>
        <w:rPr>
          <w:sz w:val="24"/>
        </w:rPr>
      </w:pPr>
      <w:r w:rsidRPr="001128D2">
        <w:rPr>
          <w:sz w:val="24"/>
        </w:rPr>
        <w:t>Objednatel uhradí fakturu zhotoviteli nejpozději do 30 dnů po jejím doručení. Za prodlení s úhradou faktury zaplatí objednatel zhotoviteli smluvní pokutu ve výši 0,05 % z fakturované částky za každý den prodlení.</w:t>
      </w:r>
    </w:p>
    <w:p w:rsidR="00AE2642" w:rsidRPr="00095FDB" w:rsidRDefault="00AE2642" w:rsidP="007D4A64">
      <w:pPr>
        <w:numPr>
          <w:ilvl w:val="0"/>
          <w:numId w:val="8"/>
        </w:numPr>
        <w:tabs>
          <w:tab w:val="right" w:pos="9071"/>
        </w:tabs>
        <w:spacing w:after="120"/>
        <w:jc w:val="both"/>
        <w:rPr>
          <w:bCs/>
          <w:sz w:val="24"/>
        </w:rPr>
      </w:pPr>
      <w:r w:rsidRPr="00095FDB">
        <w:rPr>
          <w:bCs/>
          <w:sz w:val="24"/>
        </w:rPr>
        <w:t xml:space="preserve">V případě nedodržení termínu dokončení díla a za prodlení s odstraněním vad a nedodělků v termínech stanovených v zápise o předání a převzetí díla uhradí zhotovitel objednateli smluvní pokutu ve výši </w:t>
      </w:r>
      <w:r w:rsidR="00116331">
        <w:rPr>
          <w:bCs/>
          <w:sz w:val="24"/>
        </w:rPr>
        <w:t>5</w:t>
      </w:r>
      <w:r w:rsidR="00831002">
        <w:rPr>
          <w:bCs/>
          <w:sz w:val="24"/>
        </w:rPr>
        <w:t>.</w:t>
      </w:r>
      <w:r w:rsidR="00116331">
        <w:rPr>
          <w:bCs/>
          <w:sz w:val="24"/>
        </w:rPr>
        <w:t xml:space="preserve">000 Kč </w:t>
      </w:r>
      <w:r w:rsidRPr="00095FDB">
        <w:rPr>
          <w:bCs/>
          <w:sz w:val="24"/>
        </w:rPr>
        <w:t>za každý i započatý den prodlení.</w:t>
      </w:r>
    </w:p>
    <w:p w:rsidR="00C85501" w:rsidRDefault="00C85501" w:rsidP="007D4A64">
      <w:pPr>
        <w:numPr>
          <w:ilvl w:val="0"/>
          <w:numId w:val="8"/>
        </w:numPr>
        <w:tabs>
          <w:tab w:val="right" w:pos="9071"/>
        </w:tabs>
        <w:spacing w:after="120"/>
        <w:jc w:val="both"/>
        <w:rPr>
          <w:sz w:val="24"/>
        </w:rPr>
      </w:pPr>
      <w:r w:rsidRPr="00095FDB">
        <w:rPr>
          <w:sz w:val="24"/>
        </w:rPr>
        <w:t>Při neplnění podmínek smlouvy, porušování zákonných povinností nebo nedodržování schváleného harmonogramu provádění</w:t>
      </w:r>
      <w:r w:rsidR="00524874" w:rsidRPr="00095FDB">
        <w:rPr>
          <w:sz w:val="24"/>
        </w:rPr>
        <w:t xml:space="preserve"> (</w:t>
      </w:r>
      <w:r w:rsidRPr="00095FDB">
        <w:rPr>
          <w:sz w:val="24"/>
        </w:rPr>
        <w:t>při zpoždění větším než 10</w:t>
      </w:r>
      <w:r w:rsidR="00524874" w:rsidRPr="00095FDB">
        <w:rPr>
          <w:sz w:val="24"/>
        </w:rPr>
        <w:t xml:space="preserve"> kalendářních</w:t>
      </w:r>
      <w:r w:rsidRPr="00095FDB">
        <w:rPr>
          <w:sz w:val="24"/>
        </w:rPr>
        <w:t xml:space="preserve"> dnů</w:t>
      </w:r>
      <w:r w:rsidR="00524874" w:rsidRPr="00095FDB">
        <w:rPr>
          <w:sz w:val="24"/>
        </w:rPr>
        <w:t>)</w:t>
      </w:r>
      <w:r w:rsidRPr="00095FDB">
        <w:rPr>
          <w:sz w:val="24"/>
        </w:rPr>
        <w:t xml:space="preserve">, má právo objednatel na smluvní pokutu ve výši </w:t>
      </w:r>
      <w:r w:rsidR="00116331">
        <w:rPr>
          <w:sz w:val="24"/>
        </w:rPr>
        <w:t>5</w:t>
      </w:r>
      <w:r w:rsidR="00831002">
        <w:rPr>
          <w:sz w:val="24"/>
        </w:rPr>
        <w:t>.</w:t>
      </w:r>
      <w:r w:rsidR="00116331">
        <w:rPr>
          <w:sz w:val="24"/>
        </w:rPr>
        <w:t>000 Kč</w:t>
      </w:r>
      <w:r w:rsidRPr="00095FDB">
        <w:rPr>
          <w:sz w:val="24"/>
        </w:rPr>
        <w:t xml:space="preserve"> za každý započatý den a každé jednotlivé porušení.</w:t>
      </w:r>
    </w:p>
    <w:p w:rsidR="001A6F2A" w:rsidRDefault="001A6F2A" w:rsidP="001A6F2A">
      <w:pPr>
        <w:numPr>
          <w:ilvl w:val="0"/>
          <w:numId w:val="8"/>
        </w:numPr>
        <w:tabs>
          <w:tab w:val="right" w:pos="9071"/>
        </w:tabs>
        <w:spacing w:after="120"/>
        <w:jc w:val="both"/>
        <w:rPr>
          <w:sz w:val="24"/>
        </w:rPr>
      </w:pPr>
      <w:r>
        <w:rPr>
          <w:sz w:val="24"/>
        </w:rPr>
        <w:t>Smluvní pokuta</w:t>
      </w:r>
      <w:r w:rsidR="002354D1" w:rsidRPr="002354D1">
        <w:rPr>
          <w:sz w:val="24"/>
        </w:rPr>
        <w:t xml:space="preserve"> je </w:t>
      </w:r>
      <w:r>
        <w:rPr>
          <w:sz w:val="24"/>
        </w:rPr>
        <w:t xml:space="preserve">stanovena </w:t>
      </w:r>
      <w:r w:rsidR="00831002">
        <w:rPr>
          <w:sz w:val="24"/>
        </w:rPr>
        <w:t>ve výši 1.000</w:t>
      </w:r>
      <w:r w:rsidR="00027C2C">
        <w:rPr>
          <w:sz w:val="24"/>
        </w:rPr>
        <w:t xml:space="preserve"> Kč za každý den do odstranění nedostatků ve stavebním deníku.</w:t>
      </w:r>
    </w:p>
    <w:p w:rsidR="003A0942" w:rsidRPr="00D52A7C" w:rsidRDefault="003A0942" w:rsidP="003A0942">
      <w:pPr>
        <w:numPr>
          <w:ilvl w:val="0"/>
          <w:numId w:val="8"/>
        </w:numPr>
        <w:shd w:val="clear" w:color="auto" w:fill="FFFFFF" w:themeFill="background1"/>
        <w:tabs>
          <w:tab w:val="right" w:pos="9071"/>
        </w:tabs>
        <w:spacing w:after="120"/>
        <w:jc w:val="both"/>
        <w:rPr>
          <w:color w:val="FF0000"/>
          <w:sz w:val="24"/>
        </w:rPr>
      </w:pPr>
      <w:r w:rsidRPr="00F62C34">
        <w:rPr>
          <w:sz w:val="24"/>
        </w:rPr>
        <w:t>Sankce za nedodržování BOZP, požární ochrany a ochrany životního prostředí se řídí</w:t>
      </w:r>
      <w:r w:rsidR="00831002">
        <w:rPr>
          <w:sz w:val="24"/>
        </w:rPr>
        <w:t xml:space="preserve"> dle sazebníku pokut, který je P</w:t>
      </w:r>
      <w:r w:rsidRPr="00F62C34">
        <w:rPr>
          <w:sz w:val="24"/>
        </w:rPr>
        <w:t>řílohou č. 1.</w:t>
      </w:r>
    </w:p>
    <w:p w:rsidR="00D52A7C" w:rsidRPr="00D52A7C" w:rsidRDefault="002354D1" w:rsidP="00D52A7C">
      <w:pPr>
        <w:numPr>
          <w:ilvl w:val="0"/>
          <w:numId w:val="8"/>
        </w:numPr>
        <w:shd w:val="clear" w:color="auto" w:fill="FFFFFF" w:themeFill="background1"/>
        <w:tabs>
          <w:tab w:val="right" w:pos="9071"/>
        </w:tabs>
        <w:spacing w:after="120"/>
        <w:jc w:val="both"/>
        <w:rPr>
          <w:color w:val="FF0000"/>
          <w:sz w:val="24"/>
        </w:rPr>
      </w:pPr>
      <w:r w:rsidRPr="00D52A7C">
        <w:rPr>
          <w:sz w:val="24"/>
        </w:rPr>
        <w:lastRenderedPageBreak/>
        <w:t xml:space="preserve">Pokuty vzniklé vlivem stavební činnosti zhotovitele udělené </w:t>
      </w:r>
      <w:r w:rsidR="001A6F2A" w:rsidRPr="00D52A7C">
        <w:rPr>
          <w:color w:val="000000" w:themeColor="text1"/>
          <w:sz w:val="24"/>
        </w:rPr>
        <w:t xml:space="preserve">objednateli </w:t>
      </w:r>
      <w:r w:rsidR="001A6F2A" w:rsidRPr="00D52A7C">
        <w:rPr>
          <w:sz w:val="24"/>
        </w:rPr>
        <w:t>b</w:t>
      </w:r>
      <w:r w:rsidRPr="00D52A7C">
        <w:rPr>
          <w:sz w:val="24"/>
        </w:rPr>
        <w:t>udou převedeny na zhotovitele v plné výši a mohou být započteny proti neuhrazeným fakturám</w:t>
      </w:r>
      <w:r w:rsidR="00D52A7C" w:rsidRPr="00D52A7C">
        <w:rPr>
          <w:sz w:val="24"/>
          <w:szCs w:val="24"/>
        </w:rPr>
        <w:t xml:space="preserve"> </w:t>
      </w:r>
    </w:p>
    <w:p w:rsidR="00D52A7C" w:rsidRPr="00D52A7C" w:rsidRDefault="00D52A7C" w:rsidP="00D52A7C">
      <w:pPr>
        <w:numPr>
          <w:ilvl w:val="0"/>
          <w:numId w:val="8"/>
        </w:numPr>
        <w:shd w:val="clear" w:color="auto" w:fill="FFFFFF" w:themeFill="background1"/>
        <w:tabs>
          <w:tab w:val="right" w:pos="9071"/>
        </w:tabs>
        <w:spacing w:after="120"/>
        <w:jc w:val="both"/>
        <w:rPr>
          <w:color w:val="FF0000"/>
          <w:sz w:val="24"/>
        </w:rPr>
      </w:pPr>
      <w:r w:rsidRPr="00D52A7C">
        <w:rPr>
          <w:sz w:val="24"/>
          <w:szCs w:val="24"/>
        </w:rPr>
        <w:t>Dojde-li při realizaci díla k vzniku škod na zemědělských plodinách, jdou tyto škody k tíži zhotovitele</w:t>
      </w:r>
    </w:p>
    <w:p w:rsidR="00AE2642" w:rsidRDefault="00AE2642" w:rsidP="007D4A64">
      <w:pPr>
        <w:numPr>
          <w:ilvl w:val="0"/>
          <w:numId w:val="8"/>
        </w:numPr>
        <w:tabs>
          <w:tab w:val="right" w:pos="9071"/>
        </w:tabs>
        <w:spacing w:after="120"/>
        <w:jc w:val="both"/>
        <w:rPr>
          <w:sz w:val="24"/>
        </w:rPr>
      </w:pPr>
      <w:r w:rsidRPr="00095FDB">
        <w:rPr>
          <w:sz w:val="24"/>
        </w:rPr>
        <w:t>Úhradou smluvní pokuty není dotčeno právo požadovat náhradu škody v plné výši.</w:t>
      </w:r>
    </w:p>
    <w:p w:rsidR="007A11CD" w:rsidRDefault="007A11CD" w:rsidP="00EA3BE5">
      <w:pPr>
        <w:tabs>
          <w:tab w:val="right" w:pos="9071"/>
        </w:tabs>
        <w:spacing w:after="120"/>
        <w:jc w:val="both"/>
        <w:rPr>
          <w:sz w:val="24"/>
        </w:rPr>
      </w:pPr>
    </w:p>
    <w:p w:rsidR="007A11CD" w:rsidRDefault="007A11CD" w:rsidP="00EA3BE5">
      <w:pPr>
        <w:tabs>
          <w:tab w:val="right" w:pos="9071"/>
        </w:tabs>
        <w:spacing w:after="120"/>
        <w:jc w:val="both"/>
        <w:rPr>
          <w:sz w:val="24"/>
        </w:rPr>
      </w:pPr>
    </w:p>
    <w:p w:rsidR="00AE2642" w:rsidRDefault="00F866AD" w:rsidP="002E7917">
      <w:pPr>
        <w:pStyle w:val="Nadpis6"/>
        <w:keepNext w:val="0"/>
        <w:spacing w:beforeLines="20" w:before="48" w:after="120"/>
        <w:rPr>
          <w:rFonts w:ascii="Times New Roman" w:hAnsi="Times New Roman"/>
        </w:rPr>
      </w:pPr>
      <w:r w:rsidRPr="00095FDB">
        <w:rPr>
          <w:rFonts w:ascii="Times New Roman" w:hAnsi="Times New Roman"/>
        </w:rPr>
        <w:t xml:space="preserve">X. </w:t>
      </w:r>
      <w:r w:rsidR="00AE2642" w:rsidRPr="00095FDB">
        <w:rPr>
          <w:rFonts w:ascii="Times New Roman" w:hAnsi="Times New Roman"/>
        </w:rPr>
        <w:t>ODSTOUPENÍ OD SMLOUVY</w:t>
      </w:r>
    </w:p>
    <w:p w:rsidR="002354D1" w:rsidRPr="002354D1" w:rsidRDefault="002354D1" w:rsidP="002354D1"/>
    <w:p w:rsidR="00AE2642" w:rsidRPr="00095FDB" w:rsidRDefault="00AE2642" w:rsidP="002E7917">
      <w:pPr>
        <w:pStyle w:val="Zkladntext3"/>
        <w:numPr>
          <w:ilvl w:val="0"/>
          <w:numId w:val="9"/>
        </w:numPr>
        <w:spacing w:beforeLines="20" w:before="48"/>
        <w:jc w:val="both"/>
      </w:pPr>
      <w:r w:rsidRPr="00095FDB">
        <w:t xml:space="preserve">Odstoupit od této smlouvy lze pro podstatné porušení </w:t>
      </w:r>
      <w:r w:rsidR="00150F3F">
        <w:t xml:space="preserve">smluvních povinností, kterými jsou </w:t>
      </w:r>
      <w:r w:rsidR="00AE3EFB" w:rsidRPr="00095FDB">
        <w:t>zejména</w:t>
      </w:r>
      <w:r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neplnění předmětu díla podle čl. I.</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zhotovitel neprovede dílo v patřičné kvalitě podle platných předpisů a norem</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rsidR="00AE2642" w:rsidRPr="00095FDB" w:rsidRDefault="00AE2642" w:rsidP="002354D1">
      <w:pPr>
        <w:pStyle w:val="Zkladntext3"/>
        <w:numPr>
          <w:ilvl w:val="0"/>
          <w:numId w:val="3"/>
        </w:numPr>
        <w:tabs>
          <w:tab w:val="clear" w:pos="720"/>
          <w:tab w:val="num" w:pos="1418"/>
        </w:tabs>
        <w:spacing w:before="0" w:after="120"/>
        <w:ind w:left="1417" w:hanging="357"/>
        <w:jc w:val="both"/>
      </w:pPr>
      <w:r w:rsidRPr="00095FDB">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r w:rsidR="002B2A1D" w:rsidRPr="00095FDB">
        <w:t>;</w:t>
      </w:r>
    </w:p>
    <w:p w:rsidR="00377D38" w:rsidRPr="007A11CD" w:rsidRDefault="00AE2642" w:rsidP="00B74405">
      <w:pPr>
        <w:numPr>
          <w:ilvl w:val="0"/>
          <w:numId w:val="9"/>
        </w:numPr>
        <w:spacing w:beforeLines="20" w:before="48"/>
        <w:jc w:val="both"/>
        <w:rPr>
          <w:sz w:val="24"/>
        </w:rPr>
      </w:pPr>
      <w:r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377D38" w:rsidRDefault="00377D38" w:rsidP="00B74405">
      <w:pPr>
        <w:spacing w:beforeLines="20" w:before="48"/>
        <w:jc w:val="both"/>
        <w:rPr>
          <w:sz w:val="24"/>
        </w:rPr>
      </w:pPr>
    </w:p>
    <w:p w:rsidR="00377D38" w:rsidRPr="00095FDB" w:rsidRDefault="00377D38" w:rsidP="00B74405">
      <w:pPr>
        <w:spacing w:beforeLines="20" w:before="48"/>
        <w:jc w:val="both"/>
        <w:rPr>
          <w:sz w:val="24"/>
        </w:rPr>
      </w:pPr>
    </w:p>
    <w:p w:rsidR="00AE2642" w:rsidRDefault="00F866AD" w:rsidP="002E7917">
      <w:pPr>
        <w:pStyle w:val="Nadpis6"/>
        <w:keepNext w:val="0"/>
        <w:spacing w:beforeLines="20" w:before="48" w:after="120"/>
        <w:rPr>
          <w:rFonts w:ascii="Times New Roman" w:hAnsi="Times New Roman"/>
        </w:rPr>
      </w:pPr>
      <w:r w:rsidRPr="00095FDB">
        <w:rPr>
          <w:rFonts w:ascii="Times New Roman" w:hAnsi="Times New Roman"/>
        </w:rPr>
        <w:t xml:space="preserve">XI. </w:t>
      </w:r>
      <w:r w:rsidR="00AE2642" w:rsidRPr="00095FDB">
        <w:rPr>
          <w:rFonts w:ascii="Times New Roman" w:hAnsi="Times New Roman"/>
        </w:rPr>
        <w:t>ZÁVĚREČNÁ USTANOVENÍ</w:t>
      </w:r>
    </w:p>
    <w:p w:rsidR="00286000" w:rsidRPr="00286000" w:rsidRDefault="00286000" w:rsidP="00286000"/>
    <w:p w:rsidR="00806F68" w:rsidRPr="00B94DF2" w:rsidRDefault="00806F68" w:rsidP="00B94DF2">
      <w:pPr>
        <w:numPr>
          <w:ilvl w:val="0"/>
          <w:numId w:val="10"/>
        </w:numPr>
        <w:tabs>
          <w:tab w:val="left" w:pos="0"/>
          <w:tab w:val="right" w:pos="4253"/>
        </w:tabs>
        <w:spacing w:before="120" w:after="120" w:line="288" w:lineRule="auto"/>
        <w:jc w:val="both"/>
        <w:rPr>
          <w:b/>
          <w:sz w:val="24"/>
          <w:szCs w:val="24"/>
        </w:rPr>
      </w:pPr>
      <w:r w:rsidRPr="00095FDB">
        <w:rPr>
          <w:bCs/>
          <w:sz w:val="24"/>
        </w:rPr>
        <w:t xml:space="preserve">Tato smlouva a práva a povinnosti z ní vzniklé </w:t>
      </w:r>
      <w:r w:rsidR="00BE3A33">
        <w:rPr>
          <w:bCs/>
          <w:sz w:val="24"/>
        </w:rPr>
        <w:t>se řídí</w:t>
      </w:r>
      <w:r w:rsidRPr="00095FDB">
        <w:rPr>
          <w:bCs/>
          <w:sz w:val="24"/>
        </w:rPr>
        <w:t xml:space="preserve"> zákonem č. 89/2012 Sb., občanský zákoník</w:t>
      </w:r>
      <w:r w:rsidR="00524874" w:rsidRPr="00095FDB">
        <w:rPr>
          <w:bCs/>
          <w:sz w:val="24"/>
        </w:rPr>
        <w:t xml:space="preserve"> v platném znění.</w:t>
      </w:r>
    </w:p>
    <w:p w:rsidR="00B94DF2" w:rsidRPr="00B94DF2" w:rsidRDefault="00B94DF2" w:rsidP="00B94DF2">
      <w:pPr>
        <w:pStyle w:val="Zkladntext3"/>
        <w:numPr>
          <w:ilvl w:val="0"/>
          <w:numId w:val="10"/>
        </w:numPr>
        <w:spacing w:before="0" w:after="120"/>
        <w:jc w:val="both"/>
      </w:pPr>
      <w:r w:rsidRPr="003C43B1">
        <w:t xml:space="preserve">Smlouva nabývá platnosti dnem podpisu oběma smluvními stranami a účinnosti dnem uveřejnění v registru smluv v souladu s § 6 odst. 1 zákona č. 340/2015 Sb., </w:t>
      </w:r>
      <w:r w:rsidRPr="003C43B1">
        <w:br/>
        <w:t>o registru smluv. Zhotovitel bere na vědomí, že uveřejnění v tomto registru zajistí objednatel.</w:t>
      </w:r>
    </w:p>
    <w:p w:rsidR="00806F68" w:rsidRPr="00095FDB" w:rsidRDefault="00806F68" w:rsidP="00806F68">
      <w:pPr>
        <w:pStyle w:val="Zkladntext3"/>
        <w:numPr>
          <w:ilvl w:val="0"/>
          <w:numId w:val="10"/>
        </w:numPr>
        <w:spacing w:before="0" w:after="120"/>
        <w:jc w:val="both"/>
        <w:rPr>
          <w:b/>
          <w:bCs/>
        </w:rPr>
      </w:pPr>
      <w:r w:rsidRPr="00095FDB">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806F68" w:rsidRPr="00095FDB" w:rsidRDefault="00806F68" w:rsidP="00806F68">
      <w:pPr>
        <w:pStyle w:val="Zkladntext3"/>
        <w:numPr>
          <w:ilvl w:val="0"/>
          <w:numId w:val="10"/>
        </w:numPr>
        <w:spacing w:before="0" w:after="120"/>
        <w:jc w:val="both"/>
        <w:rPr>
          <w:b/>
          <w:bCs/>
        </w:rPr>
      </w:pPr>
      <w:r w:rsidRPr="00095FDB">
        <w:t>Smlouvu lze měnit a doplňovat po dohodě smluvních stran formou písemných dodatků k této smlouvě, podepsaných oběma smluvními stranami. Za písemnou formu nebude pro tento účel považována výměna e-mailových či jiných elektronických zpráv.</w:t>
      </w:r>
    </w:p>
    <w:p w:rsidR="00806F68" w:rsidRPr="00095FDB" w:rsidRDefault="009C1202" w:rsidP="00806F68">
      <w:pPr>
        <w:pStyle w:val="Zkladntext3"/>
        <w:numPr>
          <w:ilvl w:val="0"/>
          <w:numId w:val="10"/>
        </w:numPr>
        <w:spacing w:before="0" w:after="120"/>
        <w:jc w:val="both"/>
      </w:pPr>
      <w:r>
        <w:lastRenderedPageBreak/>
        <w:t xml:space="preserve">Smlouva se vyhotovuje ve </w:t>
      </w:r>
      <w:r w:rsidR="00B94DF2">
        <w:t>dvou</w:t>
      </w:r>
      <w:r w:rsidR="00806F68" w:rsidRPr="00095FDB">
        <w:t xml:space="preserve"> stejnopisech, z ni</w:t>
      </w:r>
      <w:r w:rsidR="003A0942">
        <w:t xml:space="preserve">chž l paré obdrží zhotovitel a </w:t>
      </w:r>
      <w:r w:rsidR="00B94DF2">
        <w:t>1</w:t>
      </w:r>
      <w:r w:rsidR="00806F68" w:rsidRPr="00095FDB">
        <w:t xml:space="preserve"> paré objednatel.</w:t>
      </w:r>
    </w:p>
    <w:p w:rsidR="003C43B1" w:rsidRDefault="00B46B1D" w:rsidP="003C43B1">
      <w:pPr>
        <w:pStyle w:val="Zkladntext3"/>
        <w:numPr>
          <w:ilvl w:val="0"/>
          <w:numId w:val="10"/>
        </w:numPr>
        <w:spacing w:before="0" w:after="120"/>
        <w:jc w:val="both"/>
      </w:pPr>
      <w:r>
        <w:t>Smluvní strany prohlašují, že smlouvu pře</w:t>
      </w:r>
      <w:r w:rsidR="001A6F2A">
        <w:t>čet</w:t>
      </w:r>
      <w:r w:rsidR="00AE6295">
        <w:t>ly</w:t>
      </w:r>
      <w:r w:rsidR="00806F68" w:rsidRPr="00095FDB">
        <w:t xml:space="preserve">, s jejím obsahem souhlasí, což </w:t>
      </w:r>
      <w:r w:rsidR="00806F68" w:rsidRPr="003C43B1">
        <w:t>stvrzují svými podpisy.</w:t>
      </w:r>
    </w:p>
    <w:p w:rsidR="00FA62AA" w:rsidRDefault="00FA62AA" w:rsidP="00806F68">
      <w:pPr>
        <w:pStyle w:val="Zkladntext3"/>
        <w:spacing w:before="0" w:after="120"/>
        <w:ind w:left="851"/>
        <w:jc w:val="both"/>
      </w:pPr>
    </w:p>
    <w:p w:rsidR="001A6F2A" w:rsidRDefault="001A6F2A" w:rsidP="00806F68">
      <w:pPr>
        <w:pStyle w:val="Zkladntext3"/>
        <w:spacing w:before="0" w:after="120"/>
        <w:ind w:left="851"/>
        <w:jc w:val="both"/>
      </w:pPr>
    </w:p>
    <w:p w:rsidR="002354D1" w:rsidRPr="002354D1" w:rsidRDefault="002354D1" w:rsidP="002354D1">
      <w:pPr>
        <w:rPr>
          <w:b/>
          <w:sz w:val="24"/>
          <w:szCs w:val="24"/>
          <w:u w:val="single"/>
        </w:rPr>
      </w:pPr>
      <w:r w:rsidRPr="002354D1">
        <w:rPr>
          <w:b/>
          <w:sz w:val="24"/>
          <w:szCs w:val="24"/>
          <w:u w:val="single"/>
        </w:rPr>
        <w:t>Přílohy:</w:t>
      </w:r>
    </w:p>
    <w:p w:rsidR="002354D1" w:rsidRPr="00095FDB" w:rsidRDefault="002354D1" w:rsidP="002354D1">
      <w:pPr>
        <w:rPr>
          <w:sz w:val="24"/>
          <w:szCs w:val="24"/>
        </w:rPr>
      </w:pPr>
    </w:p>
    <w:p w:rsidR="007B268E" w:rsidRDefault="003A0942" w:rsidP="00EA3BE5">
      <w:pPr>
        <w:rPr>
          <w:sz w:val="24"/>
          <w:szCs w:val="24"/>
        </w:rPr>
      </w:pPr>
      <w:r w:rsidRPr="00F62C34">
        <w:rPr>
          <w:sz w:val="24"/>
          <w:szCs w:val="24"/>
        </w:rPr>
        <w:t>Příloha č. 1:</w:t>
      </w:r>
      <w:r w:rsidRPr="00F62C34">
        <w:rPr>
          <w:sz w:val="24"/>
          <w:szCs w:val="24"/>
        </w:rPr>
        <w:tab/>
        <w:t>Sankce za porušení BOZP, PO a OŽP</w:t>
      </w:r>
      <w:r w:rsidR="00286000">
        <w:rPr>
          <w:sz w:val="24"/>
          <w:szCs w:val="24"/>
        </w:rPr>
        <w:t xml:space="preserve"> (1 list)</w:t>
      </w:r>
    </w:p>
    <w:p w:rsidR="003B1246" w:rsidRDefault="00306955" w:rsidP="00EA3BE5">
      <w:pPr>
        <w:rPr>
          <w:sz w:val="24"/>
          <w:szCs w:val="24"/>
        </w:rPr>
      </w:pPr>
      <w:r>
        <w:rPr>
          <w:sz w:val="24"/>
          <w:szCs w:val="24"/>
        </w:rPr>
        <w:t>Příloha č. 2:</w:t>
      </w:r>
      <w:r>
        <w:rPr>
          <w:sz w:val="24"/>
          <w:szCs w:val="24"/>
        </w:rPr>
        <w:tab/>
      </w:r>
      <w:r w:rsidR="00377D38">
        <w:rPr>
          <w:sz w:val="24"/>
          <w:szCs w:val="24"/>
        </w:rPr>
        <w:t>Oceněný soupis stavebních prací a dodávek</w:t>
      </w:r>
    </w:p>
    <w:p w:rsidR="00DE3B2A" w:rsidRDefault="00DE3B2A" w:rsidP="00EA3BE5">
      <w:pPr>
        <w:rPr>
          <w:sz w:val="24"/>
          <w:szCs w:val="24"/>
        </w:rPr>
      </w:pPr>
      <w:r w:rsidRPr="00BB7E4D">
        <w:rPr>
          <w:sz w:val="24"/>
          <w:szCs w:val="24"/>
        </w:rPr>
        <w:t>Příloha č. 3:     Závazný časový a finanční harmonogram</w:t>
      </w:r>
    </w:p>
    <w:p w:rsidR="00C328DE" w:rsidRDefault="00C328DE" w:rsidP="00EA3BE5">
      <w:pPr>
        <w:rPr>
          <w:sz w:val="24"/>
          <w:szCs w:val="24"/>
        </w:rPr>
      </w:pPr>
    </w:p>
    <w:p w:rsidR="00EA3BE5" w:rsidRDefault="00EA3BE5" w:rsidP="00EA3BE5">
      <w:pPr>
        <w:rPr>
          <w:sz w:val="24"/>
          <w:szCs w:val="24"/>
        </w:rPr>
      </w:pPr>
    </w:p>
    <w:p w:rsidR="00EA3BE5" w:rsidRPr="00EA3BE5" w:rsidRDefault="00EA3BE5" w:rsidP="00EA3BE5">
      <w:pPr>
        <w:rPr>
          <w:sz w:val="24"/>
          <w:szCs w:val="24"/>
        </w:rPr>
      </w:pPr>
    </w:p>
    <w:p w:rsidR="00806F68" w:rsidRPr="00095FDB" w:rsidRDefault="00806F68" w:rsidP="00EA3BE5">
      <w:pPr>
        <w:pStyle w:val="Zkladntext3"/>
        <w:spacing w:before="0" w:after="120"/>
        <w:jc w:val="both"/>
      </w:pPr>
    </w:p>
    <w:p w:rsidR="00AE2642" w:rsidRPr="00095FDB" w:rsidRDefault="00AE2642" w:rsidP="006D6F14">
      <w:pPr>
        <w:tabs>
          <w:tab w:val="left" w:pos="5250"/>
        </w:tabs>
        <w:spacing w:beforeLines="20" w:before="48"/>
        <w:rPr>
          <w:sz w:val="24"/>
        </w:rPr>
      </w:pPr>
      <w:r w:rsidRPr="00095FDB">
        <w:rPr>
          <w:sz w:val="24"/>
        </w:rPr>
        <w:t>V Praze dne:</w:t>
      </w:r>
      <w:r w:rsidR="0012112F" w:rsidRPr="00095FDB">
        <w:rPr>
          <w:sz w:val="24"/>
        </w:rPr>
        <w:t xml:space="preserve"> </w:t>
      </w:r>
      <w:r w:rsidRPr="00095FDB">
        <w:rPr>
          <w:sz w:val="24"/>
        </w:rPr>
        <w:t xml:space="preserve">       </w:t>
      </w:r>
      <w:r w:rsidR="0012112F" w:rsidRPr="00095FDB">
        <w:rPr>
          <w:sz w:val="24"/>
        </w:rPr>
        <w:t xml:space="preserve">               </w:t>
      </w:r>
      <w:r w:rsidR="00B9303C" w:rsidRPr="00095FDB">
        <w:rPr>
          <w:sz w:val="24"/>
        </w:rPr>
        <w:tab/>
        <w:t xml:space="preserve">   </w:t>
      </w:r>
      <w:r w:rsidR="00B9303C" w:rsidRPr="00FE4A23">
        <w:rPr>
          <w:sz w:val="24"/>
        </w:rPr>
        <w:t>V</w:t>
      </w:r>
      <w:r w:rsidR="00AA759F">
        <w:rPr>
          <w:sz w:val="24"/>
        </w:rPr>
        <w:t xml:space="preserve"> Třebíči</w:t>
      </w:r>
      <w:r w:rsidR="009C1202" w:rsidRPr="00190F90">
        <w:rPr>
          <w:sz w:val="24"/>
        </w:rPr>
        <w:t xml:space="preserve"> </w:t>
      </w:r>
      <w:r w:rsidR="009C1202">
        <w:rPr>
          <w:sz w:val="24"/>
        </w:rPr>
        <w:t>d</w:t>
      </w:r>
      <w:r w:rsidR="006A2A29" w:rsidRPr="00FE4A23">
        <w:rPr>
          <w:sz w:val="24"/>
        </w:rPr>
        <w:t>ne</w:t>
      </w:r>
      <w:r w:rsidRPr="00095FDB">
        <w:rPr>
          <w:sz w:val="24"/>
        </w:rPr>
        <w:t>:</w:t>
      </w:r>
      <w:r w:rsidR="0012112F" w:rsidRPr="00095FDB">
        <w:rPr>
          <w:sz w:val="24"/>
        </w:rPr>
        <w:t xml:space="preserve">    </w:t>
      </w:r>
      <w:r w:rsidR="00636C4C" w:rsidRPr="00095FDB">
        <w:rPr>
          <w:sz w:val="24"/>
        </w:rPr>
        <w:t xml:space="preserve"> </w:t>
      </w: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Pr="009C5B53" w:rsidRDefault="009C5B53" w:rsidP="009C5B53">
      <w:pPr>
        <w:pStyle w:val="Odstavecseseznamem"/>
        <w:shd w:val="clear" w:color="auto" w:fill="FFFFFF"/>
        <w:spacing w:line="360" w:lineRule="auto"/>
        <w:ind w:left="0" w:hanging="284"/>
        <w:contextualSpacing/>
        <w:rPr>
          <w:rFonts w:ascii="Times New Roman" w:hAnsi="Times New Roman"/>
          <w:sz w:val="24"/>
        </w:rPr>
      </w:pPr>
      <w:r w:rsidRPr="009C5B53">
        <w:rPr>
          <w:rFonts w:ascii="Times New Roman" w:hAnsi="Times New Roman"/>
          <w:sz w:val="24"/>
        </w:rPr>
        <w:t>______________________________________</w:t>
      </w:r>
      <w:r w:rsidRPr="009C5B53">
        <w:rPr>
          <w:rFonts w:ascii="Times New Roman" w:hAnsi="Times New Roman"/>
          <w:sz w:val="24"/>
        </w:rPr>
        <w:tab/>
      </w:r>
      <w:r w:rsidR="003C567B">
        <w:rPr>
          <w:rFonts w:ascii="Times New Roman" w:hAnsi="Times New Roman"/>
          <w:sz w:val="24"/>
        </w:rPr>
        <w:t xml:space="preserve">         </w:t>
      </w:r>
      <w:r w:rsidRPr="009C5B53">
        <w:rPr>
          <w:rFonts w:ascii="Times New Roman" w:hAnsi="Times New Roman"/>
          <w:sz w:val="24"/>
        </w:rPr>
        <w:t>_____________________________</w:t>
      </w:r>
    </w:p>
    <w:p w:rsidR="00AA759F" w:rsidRPr="009C5B53" w:rsidRDefault="009C5B53" w:rsidP="00AA759F">
      <w:pPr>
        <w:spacing w:before="120"/>
        <w:rPr>
          <w:bCs/>
          <w:sz w:val="24"/>
          <w:highlight w:val="yellow"/>
        </w:rPr>
      </w:pPr>
      <w:r w:rsidRPr="009C5B53">
        <w:rPr>
          <w:sz w:val="24"/>
        </w:rPr>
        <w:t>ARMÁDNÍ SERVISNÍ, příspěvková organizace</w:t>
      </w:r>
      <w:r w:rsidRPr="009C5B53">
        <w:rPr>
          <w:sz w:val="24"/>
        </w:rPr>
        <w:tab/>
        <w:t xml:space="preserve">           </w:t>
      </w:r>
      <w:r w:rsidR="00AA759F" w:rsidRPr="000E2F2D">
        <w:rPr>
          <w:bCs/>
          <w:sz w:val="24"/>
        </w:rPr>
        <w:t>TOMIreko, s.r.o.</w:t>
      </w:r>
    </w:p>
    <w:p w:rsidR="009C5B53" w:rsidRPr="009C5B53" w:rsidRDefault="009C5B53" w:rsidP="003C567B">
      <w:pPr>
        <w:pStyle w:val="Odstavecseseznamem"/>
        <w:shd w:val="clear" w:color="auto" w:fill="FFFFFF"/>
        <w:spacing w:after="0" w:line="240" w:lineRule="auto"/>
        <w:rPr>
          <w:rFonts w:ascii="Times New Roman" w:hAnsi="Times New Roman"/>
          <w:sz w:val="24"/>
        </w:rPr>
      </w:pPr>
      <w:r w:rsidRPr="009C5B53">
        <w:rPr>
          <w:rFonts w:ascii="Times New Roman" w:hAnsi="Times New Roman"/>
          <w:sz w:val="24"/>
        </w:rPr>
        <w:t xml:space="preserve">       Ing. Martin Lehký</w:t>
      </w:r>
      <w:r w:rsidRPr="009C5B53">
        <w:rPr>
          <w:rFonts w:ascii="Times New Roman" w:hAnsi="Times New Roman"/>
          <w:sz w:val="24"/>
        </w:rPr>
        <w:tab/>
      </w:r>
      <w:r w:rsidRPr="009C5B53">
        <w:rPr>
          <w:rFonts w:ascii="Times New Roman" w:hAnsi="Times New Roman"/>
          <w:sz w:val="24"/>
        </w:rPr>
        <w:tab/>
      </w:r>
      <w:r w:rsidRPr="009C5B53">
        <w:rPr>
          <w:rFonts w:ascii="Times New Roman" w:hAnsi="Times New Roman"/>
          <w:sz w:val="24"/>
        </w:rPr>
        <w:tab/>
        <w:t xml:space="preserve">           </w:t>
      </w:r>
      <w:r w:rsidR="00AA759F">
        <w:rPr>
          <w:rFonts w:ascii="Times New Roman" w:hAnsi="Times New Roman"/>
          <w:sz w:val="24"/>
          <w:szCs w:val="24"/>
        </w:rPr>
        <w:t>Ing. Tomáš Kliner</w:t>
      </w:r>
    </w:p>
    <w:p w:rsidR="009C5B53" w:rsidRDefault="009C5B53" w:rsidP="003C567B">
      <w:pPr>
        <w:shd w:val="clear" w:color="auto" w:fill="FFFFFF"/>
        <w:ind w:left="720" w:firstLine="720"/>
        <w:rPr>
          <w:sz w:val="24"/>
        </w:rPr>
      </w:pPr>
      <w:r w:rsidRPr="009C5B53">
        <w:rPr>
          <w:sz w:val="24"/>
        </w:rPr>
        <w:t xml:space="preserve">   ředitel</w:t>
      </w:r>
      <w:r w:rsidR="00AA759F">
        <w:rPr>
          <w:sz w:val="24"/>
        </w:rPr>
        <w:t xml:space="preserve">     </w:t>
      </w:r>
      <w:r w:rsidR="00AA759F">
        <w:rPr>
          <w:sz w:val="24"/>
        </w:rPr>
        <w:tab/>
      </w:r>
      <w:r w:rsidR="00AA759F">
        <w:rPr>
          <w:sz w:val="24"/>
        </w:rPr>
        <w:tab/>
      </w:r>
      <w:r w:rsidR="00AA759F">
        <w:rPr>
          <w:sz w:val="24"/>
        </w:rPr>
        <w:tab/>
      </w:r>
      <w:r w:rsidR="00AA759F">
        <w:rPr>
          <w:sz w:val="24"/>
        </w:rPr>
        <w:tab/>
        <w:t xml:space="preserve">          </w:t>
      </w:r>
      <w:r w:rsidR="00AA759F">
        <w:rPr>
          <w:sz w:val="24"/>
          <w:szCs w:val="24"/>
        </w:rPr>
        <w:t>jednatel společnosti</w:t>
      </w:r>
    </w:p>
    <w:p w:rsidR="00806F68" w:rsidRPr="00560BF2" w:rsidRDefault="00FE4A23" w:rsidP="00560BF2">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ab/>
      </w:r>
      <w:r w:rsidR="00654A49">
        <w:rPr>
          <w:rFonts w:ascii="Times New Roman" w:hAnsi="Times New Roman"/>
          <w:sz w:val="24"/>
        </w:rPr>
        <w:t xml:space="preserve">                                                                        </w:t>
      </w:r>
      <w:r w:rsidR="00806F68" w:rsidRPr="00560BF2">
        <w:rPr>
          <w:rFonts w:ascii="Times New Roman" w:hAnsi="Times New Roman"/>
          <w:sz w:val="24"/>
        </w:rPr>
        <w:tab/>
      </w:r>
    </w:p>
    <w:p w:rsidR="00433932" w:rsidRPr="00A12374" w:rsidRDefault="00433932" w:rsidP="00433932">
      <w:pPr>
        <w:pageBreakBefore/>
        <w:autoSpaceDE w:val="0"/>
        <w:autoSpaceDN w:val="0"/>
        <w:adjustRightInd w:val="0"/>
        <w:spacing w:after="120"/>
        <w:rPr>
          <w:bCs/>
          <w:sz w:val="24"/>
        </w:rPr>
      </w:pPr>
      <w:r>
        <w:rPr>
          <w:bCs/>
          <w:sz w:val="24"/>
        </w:rPr>
        <w:lastRenderedPageBreak/>
        <w:t>P</w:t>
      </w:r>
      <w:r w:rsidRPr="00A12374">
        <w:rPr>
          <w:bCs/>
          <w:sz w:val="24"/>
        </w:rPr>
        <w:t xml:space="preserve">říloha č. </w:t>
      </w:r>
      <w:r>
        <w:rPr>
          <w:bCs/>
          <w:sz w:val="24"/>
        </w:rPr>
        <w:t>1</w:t>
      </w:r>
    </w:p>
    <w:p w:rsidR="00433932" w:rsidRPr="00595E50" w:rsidRDefault="00433932" w:rsidP="00433932">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rsidR="00433932" w:rsidRPr="009C4BA1" w:rsidRDefault="00433932" w:rsidP="00433932"/>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061"/>
        <w:gridCol w:w="2909"/>
        <w:gridCol w:w="1317"/>
      </w:tblGrid>
      <w:tr w:rsidR="00433932" w:rsidRPr="0036336D" w:rsidTr="008D60D5">
        <w:trPr>
          <w:trHeight w:val="426"/>
        </w:trPr>
        <w:tc>
          <w:tcPr>
            <w:tcW w:w="2725" w:type="pct"/>
            <w:tcBorders>
              <w:top w:val="single" w:sz="4" w:space="0" w:color="auto"/>
              <w:bottom w:val="single" w:sz="4" w:space="0" w:color="auto"/>
            </w:tcBorders>
            <w:vAlign w:val="center"/>
          </w:tcPr>
          <w:p w:rsidR="00433932" w:rsidRPr="00A12374" w:rsidRDefault="00433932" w:rsidP="008D60D5">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rsidR="00433932" w:rsidRPr="00A12374" w:rsidRDefault="00433932" w:rsidP="008D60D5">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rsidR="00433932" w:rsidRPr="00A12374" w:rsidRDefault="00433932" w:rsidP="008D60D5">
            <w:pPr>
              <w:jc w:val="center"/>
              <w:rPr>
                <w:rFonts w:ascii="Arial" w:hAnsi="Arial" w:cs="Arial"/>
                <w:b/>
              </w:rPr>
            </w:pPr>
            <w:r w:rsidRPr="00A12374">
              <w:rPr>
                <w:rFonts w:ascii="Arial" w:hAnsi="Arial" w:cs="Arial"/>
                <w:b/>
              </w:rPr>
              <w:t>Rozsah krácení [Kč]</w:t>
            </w:r>
          </w:p>
        </w:tc>
      </w:tr>
      <w:tr w:rsidR="00433932" w:rsidRPr="0036336D" w:rsidTr="008D60D5">
        <w:trPr>
          <w:trHeight w:val="340"/>
        </w:trPr>
        <w:tc>
          <w:tcPr>
            <w:tcW w:w="2725" w:type="pct"/>
            <w:tcBorders>
              <w:top w:val="single" w:sz="4" w:space="0" w:color="auto"/>
              <w:bottom w:val="single" w:sz="4" w:space="0" w:color="auto"/>
              <w:right w:val="dotted" w:sz="4" w:space="0" w:color="auto"/>
            </w:tcBorders>
            <w:vAlign w:val="center"/>
          </w:tcPr>
          <w:p w:rsidR="00433932" w:rsidRPr="0036336D" w:rsidRDefault="00433932" w:rsidP="00433932">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433932" w:rsidRPr="0036336D" w:rsidRDefault="00433932" w:rsidP="008D60D5">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433932" w:rsidRPr="0036336D" w:rsidRDefault="00433932" w:rsidP="008D60D5">
            <w:pPr>
              <w:jc w:val="center"/>
              <w:rPr>
                <w:rFonts w:ascii="Arial" w:hAnsi="Arial" w:cs="Arial"/>
                <w:sz w:val="18"/>
              </w:rPr>
            </w:pPr>
          </w:p>
        </w:tc>
      </w:tr>
      <w:tr w:rsidR="00433932" w:rsidRPr="0036336D" w:rsidTr="008D60D5">
        <w:trPr>
          <w:trHeight w:val="340"/>
        </w:trPr>
        <w:tc>
          <w:tcPr>
            <w:tcW w:w="2725" w:type="pct"/>
            <w:tcBorders>
              <w:top w:val="single"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433932" w:rsidRPr="0036336D" w:rsidTr="008D60D5">
        <w:trPr>
          <w:trHeight w:val="691"/>
        </w:trPr>
        <w:tc>
          <w:tcPr>
            <w:tcW w:w="2725" w:type="pct"/>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rsidR="00433932" w:rsidRPr="0036336D" w:rsidRDefault="00433932" w:rsidP="008D60D5">
            <w:pPr>
              <w:rPr>
                <w:rFonts w:ascii="Arial" w:hAnsi="Arial" w:cs="Arial"/>
                <w:sz w:val="18"/>
              </w:rPr>
            </w:pPr>
            <w:r w:rsidRPr="0036336D">
              <w:rPr>
                <w:rFonts w:ascii="Arial" w:hAnsi="Arial" w:cs="Arial"/>
                <w:sz w:val="18"/>
              </w:rPr>
              <w:t>Zák. 262/2006 Sb.</w:t>
            </w:r>
          </w:p>
        </w:tc>
        <w:tc>
          <w:tcPr>
            <w:tcW w:w="709" w:type="pct"/>
            <w:vAlign w:val="center"/>
          </w:tcPr>
          <w:p w:rsidR="00433932" w:rsidRPr="0036336D" w:rsidRDefault="00433932" w:rsidP="008D60D5">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433932" w:rsidRPr="0036336D" w:rsidTr="008D60D5">
        <w:trPr>
          <w:trHeight w:val="340"/>
        </w:trPr>
        <w:tc>
          <w:tcPr>
            <w:tcW w:w="2725" w:type="pct"/>
            <w:tcBorders>
              <w:top w:val="dotted" w:sz="4" w:space="0" w:color="auto"/>
              <w:bottom w:val="dotted" w:sz="4" w:space="0" w:color="auto"/>
            </w:tcBorders>
            <w:vAlign w:val="center"/>
          </w:tcPr>
          <w:p w:rsidR="00433932" w:rsidRPr="0036336D" w:rsidRDefault="00433932" w:rsidP="00433932">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500</w:t>
            </w:r>
          </w:p>
        </w:tc>
      </w:tr>
      <w:tr w:rsidR="00433932" w:rsidRPr="0036336D" w:rsidTr="008D60D5">
        <w:trPr>
          <w:trHeight w:val="340"/>
        </w:trPr>
        <w:tc>
          <w:tcPr>
            <w:tcW w:w="2725" w:type="pct"/>
            <w:tcBorders>
              <w:top w:val="dotted" w:sz="4" w:space="0" w:color="auto"/>
              <w:bottom w:val="dotted"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433932" w:rsidRPr="0036336D" w:rsidRDefault="00433932" w:rsidP="008D60D5">
            <w:pPr>
              <w:jc w:val="center"/>
              <w:rPr>
                <w:rFonts w:ascii="Arial" w:hAnsi="Arial" w:cs="Arial"/>
                <w:color w:val="FF0000"/>
                <w:sz w:val="18"/>
              </w:rPr>
            </w:pPr>
            <w:r w:rsidRPr="0036336D">
              <w:rPr>
                <w:rFonts w:ascii="Arial" w:hAnsi="Arial" w:cs="Arial"/>
                <w:sz w:val="18"/>
              </w:rPr>
              <w:t>300 – 800</w:t>
            </w:r>
          </w:p>
        </w:tc>
      </w:tr>
      <w:tr w:rsidR="00433932" w:rsidRPr="0036336D" w:rsidTr="008D60D5">
        <w:trPr>
          <w:trHeight w:val="340"/>
        </w:trPr>
        <w:tc>
          <w:tcPr>
            <w:tcW w:w="2725" w:type="pct"/>
            <w:tcBorders>
              <w:top w:val="dotted" w:sz="4" w:space="0" w:color="auto"/>
              <w:bottom w:val="dotted"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433932" w:rsidRPr="0036336D" w:rsidTr="008D60D5">
        <w:trPr>
          <w:trHeight w:val="340"/>
        </w:trPr>
        <w:tc>
          <w:tcPr>
            <w:tcW w:w="2725" w:type="pct"/>
            <w:tcBorders>
              <w:top w:val="dotted" w:sz="4" w:space="0" w:color="auto"/>
              <w:bottom w:val="dotted" w:sz="4" w:space="0" w:color="auto"/>
            </w:tcBorders>
            <w:vAlign w:val="center"/>
          </w:tcPr>
          <w:p w:rsidR="00433932" w:rsidRPr="0036336D" w:rsidRDefault="00433932" w:rsidP="00433932">
            <w:pPr>
              <w:pStyle w:val="13Stupovit"/>
              <w:numPr>
                <w:ilvl w:val="1"/>
                <w:numId w:val="24"/>
              </w:numPr>
              <w:rPr>
                <w:rFonts w:ascii="Arial" w:hAnsi="Arial" w:cs="Arial"/>
                <w:sz w:val="18"/>
              </w:rPr>
            </w:pPr>
            <w:r w:rsidRPr="0036336D">
              <w:rPr>
                <w:rFonts w:ascii="Arial" w:hAnsi="Arial" w:cs="Arial"/>
                <w:sz w:val="18"/>
              </w:rPr>
              <w:t>Nepřevzetí / nepředání rizik od podzhotovitele</w:t>
            </w:r>
          </w:p>
        </w:tc>
        <w:tc>
          <w:tcPr>
            <w:tcW w:w="1566" w:type="pct"/>
            <w:tcBorders>
              <w:top w:val="dotted" w:sz="4" w:space="0" w:color="auto"/>
              <w:bottom w:val="dotted"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rsidR="00433932" w:rsidRPr="0036336D" w:rsidRDefault="00433932" w:rsidP="008D60D5">
            <w:pPr>
              <w:jc w:val="center"/>
              <w:rPr>
                <w:rFonts w:ascii="Arial" w:hAnsi="Arial" w:cs="Arial"/>
                <w:spacing w:val="-4"/>
                <w:sz w:val="18"/>
              </w:rPr>
            </w:pPr>
            <w:r>
              <w:rPr>
                <w:rFonts w:ascii="Arial" w:hAnsi="Arial" w:cs="Arial"/>
                <w:spacing w:val="-4"/>
                <w:sz w:val="18"/>
              </w:rPr>
              <w:t>500</w:t>
            </w:r>
          </w:p>
        </w:tc>
      </w:tr>
      <w:tr w:rsidR="00433932" w:rsidRPr="0036336D" w:rsidTr="008D60D5">
        <w:trPr>
          <w:trHeight w:val="549"/>
        </w:trPr>
        <w:tc>
          <w:tcPr>
            <w:tcW w:w="2725" w:type="pct"/>
            <w:tcBorders>
              <w:top w:val="dotted" w:sz="4" w:space="0" w:color="auto"/>
              <w:left w:val="single" w:sz="4" w:space="0" w:color="auto"/>
              <w:bottom w:val="single" w:sz="4" w:space="0" w:color="auto"/>
              <w:right w:val="dotted" w:sz="4" w:space="0" w:color="auto"/>
            </w:tcBorders>
            <w:vAlign w:val="center"/>
          </w:tcPr>
          <w:p w:rsidR="00433932" w:rsidRPr="0036336D" w:rsidRDefault="00433932" w:rsidP="00433932">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500 – 5000</w:t>
            </w:r>
          </w:p>
        </w:tc>
      </w:tr>
      <w:tr w:rsidR="00433932" w:rsidRPr="0036336D" w:rsidTr="008D60D5">
        <w:trPr>
          <w:trHeight w:val="340"/>
        </w:trPr>
        <w:tc>
          <w:tcPr>
            <w:tcW w:w="2725" w:type="pct"/>
            <w:tcBorders>
              <w:top w:val="single" w:sz="4" w:space="0" w:color="auto"/>
              <w:bottom w:val="single" w:sz="4" w:space="0" w:color="auto"/>
              <w:right w:val="dotted" w:sz="4" w:space="0" w:color="auto"/>
            </w:tcBorders>
            <w:vAlign w:val="center"/>
          </w:tcPr>
          <w:p w:rsidR="00433932" w:rsidRPr="0036336D" w:rsidRDefault="00433932" w:rsidP="00433932">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433932" w:rsidRPr="0036336D" w:rsidRDefault="00433932" w:rsidP="008D60D5">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433932" w:rsidRPr="0036336D" w:rsidRDefault="00433932" w:rsidP="008D60D5">
            <w:pPr>
              <w:jc w:val="center"/>
              <w:rPr>
                <w:rFonts w:ascii="Arial" w:hAnsi="Arial" w:cs="Arial"/>
                <w:sz w:val="18"/>
              </w:rPr>
            </w:pPr>
          </w:p>
        </w:tc>
      </w:tr>
      <w:tr w:rsidR="00433932" w:rsidRPr="0036336D" w:rsidTr="008D60D5">
        <w:trPr>
          <w:trHeight w:val="521"/>
        </w:trPr>
        <w:tc>
          <w:tcPr>
            <w:tcW w:w="2725" w:type="pct"/>
            <w:tcBorders>
              <w:bottom w:val="dotted" w:sz="4" w:space="0" w:color="auto"/>
            </w:tcBorders>
            <w:vAlign w:val="center"/>
          </w:tcPr>
          <w:p w:rsidR="00433932" w:rsidRPr="0036336D" w:rsidRDefault="00433932" w:rsidP="00433932">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rsidR="00433932" w:rsidRPr="0036336D" w:rsidRDefault="00433932" w:rsidP="008D60D5">
            <w:pPr>
              <w:rPr>
                <w:rFonts w:ascii="Arial" w:hAnsi="Arial" w:cs="Arial"/>
                <w:sz w:val="18"/>
              </w:rPr>
            </w:pPr>
            <w:r>
              <w:rPr>
                <w:rFonts w:ascii="Arial" w:hAnsi="Arial" w:cs="Arial"/>
                <w:sz w:val="18"/>
              </w:rPr>
              <w:t>Čl. 4.14 a 4.15</w:t>
            </w:r>
          </w:p>
        </w:tc>
        <w:tc>
          <w:tcPr>
            <w:tcW w:w="709" w:type="pct"/>
            <w:tcBorders>
              <w:bottom w:val="dotted"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433932" w:rsidRPr="0036336D" w:rsidTr="008D60D5">
        <w:trPr>
          <w:trHeight w:val="479"/>
        </w:trPr>
        <w:tc>
          <w:tcPr>
            <w:tcW w:w="2725" w:type="pct"/>
            <w:tcBorders>
              <w:top w:val="dotted" w:sz="4" w:space="0" w:color="auto"/>
              <w:bottom w:val="dotted"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rsidR="00433932" w:rsidRPr="0036336D" w:rsidRDefault="00433932" w:rsidP="008D60D5">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rsidR="00433932" w:rsidRPr="0036336D" w:rsidRDefault="00433932" w:rsidP="008D60D5">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433932" w:rsidRPr="0036336D" w:rsidTr="008D60D5">
        <w:trPr>
          <w:trHeight w:val="340"/>
        </w:trPr>
        <w:tc>
          <w:tcPr>
            <w:tcW w:w="2725" w:type="pct"/>
            <w:tcBorders>
              <w:top w:val="dotted" w:sz="4" w:space="0" w:color="auto"/>
              <w:bottom w:val="single"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Provozní dokumentace</w:t>
            </w:r>
            <w:r>
              <w:rPr>
                <w:rFonts w:ascii="Arial" w:hAnsi="Arial" w:cs="Arial"/>
                <w:sz w:val="18"/>
              </w:rPr>
              <w:t>, čl. 4.9 a 4.10</w:t>
            </w:r>
          </w:p>
        </w:tc>
        <w:tc>
          <w:tcPr>
            <w:tcW w:w="709" w:type="pct"/>
            <w:tcBorders>
              <w:top w:val="dotted" w:sz="4" w:space="0" w:color="auto"/>
              <w:bottom w:val="single"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500 – 1000</w:t>
            </w:r>
          </w:p>
        </w:tc>
      </w:tr>
      <w:tr w:rsidR="00433932" w:rsidRPr="0036336D" w:rsidTr="008D60D5">
        <w:trPr>
          <w:trHeight w:val="340"/>
        </w:trPr>
        <w:tc>
          <w:tcPr>
            <w:tcW w:w="2725" w:type="pct"/>
            <w:tcBorders>
              <w:top w:val="single" w:sz="4" w:space="0" w:color="auto"/>
              <w:bottom w:val="single" w:sz="4" w:space="0" w:color="auto"/>
              <w:right w:val="dotted" w:sz="4" w:space="0" w:color="auto"/>
            </w:tcBorders>
            <w:vAlign w:val="center"/>
          </w:tcPr>
          <w:p w:rsidR="00433932" w:rsidRPr="0036336D" w:rsidRDefault="00433932" w:rsidP="00433932">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433932" w:rsidRPr="0036336D" w:rsidRDefault="00433932" w:rsidP="008D60D5">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433932" w:rsidRPr="0036336D" w:rsidRDefault="00433932" w:rsidP="008D60D5">
            <w:pPr>
              <w:jc w:val="center"/>
              <w:rPr>
                <w:rFonts w:ascii="Arial" w:hAnsi="Arial" w:cs="Arial"/>
                <w:sz w:val="18"/>
              </w:rPr>
            </w:pPr>
          </w:p>
        </w:tc>
      </w:tr>
      <w:tr w:rsidR="00433932" w:rsidRPr="0036336D" w:rsidTr="008D60D5">
        <w:trPr>
          <w:trHeight w:val="701"/>
        </w:trPr>
        <w:tc>
          <w:tcPr>
            <w:tcW w:w="2725" w:type="pct"/>
            <w:tcBorders>
              <w:top w:val="single"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rsidR="00433932" w:rsidRDefault="00433932" w:rsidP="008D60D5">
            <w:pPr>
              <w:rPr>
                <w:rFonts w:ascii="Arial" w:hAnsi="Arial" w:cs="Arial"/>
                <w:sz w:val="18"/>
              </w:rPr>
            </w:pPr>
            <w:r w:rsidRPr="0036336D">
              <w:rPr>
                <w:rFonts w:ascii="Arial" w:hAnsi="Arial" w:cs="Arial"/>
                <w:sz w:val="18"/>
              </w:rPr>
              <w:t xml:space="preserve">Zák. 133/1985 Sb., </w:t>
            </w:r>
          </w:p>
          <w:p w:rsidR="00433932" w:rsidRPr="0036336D" w:rsidRDefault="00433932" w:rsidP="008D60D5">
            <w:pPr>
              <w:rPr>
                <w:rFonts w:ascii="Arial" w:hAnsi="Arial" w:cs="Arial"/>
                <w:sz w:val="18"/>
              </w:rPr>
            </w:pPr>
            <w:r>
              <w:rPr>
                <w:rFonts w:ascii="Arial" w:hAnsi="Arial" w:cs="Arial"/>
                <w:sz w:val="18"/>
              </w:rPr>
              <w:t>V</w:t>
            </w:r>
            <w:r w:rsidRPr="0036336D">
              <w:rPr>
                <w:rFonts w:ascii="Arial" w:hAnsi="Arial" w:cs="Arial"/>
                <w:sz w:val="18"/>
              </w:rPr>
              <w:t>yhl. 246/2001 Sb.</w:t>
            </w:r>
          </w:p>
        </w:tc>
        <w:tc>
          <w:tcPr>
            <w:tcW w:w="709" w:type="pct"/>
            <w:tcBorders>
              <w:top w:val="single"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500 – 1000</w:t>
            </w:r>
          </w:p>
        </w:tc>
      </w:tr>
      <w:tr w:rsidR="00433932" w:rsidRPr="0036336D" w:rsidTr="008D60D5">
        <w:trPr>
          <w:trHeight w:val="340"/>
        </w:trPr>
        <w:tc>
          <w:tcPr>
            <w:tcW w:w="2725" w:type="pct"/>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rsidR="00433932" w:rsidRDefault="00433932" w:rsidP="008D60D5">
            <w:pPr>
              <w:rPr>
                <w:rFonts w:ascii="Arial" w:hAnsi="Arial" w:cs="Arial"/>
                <w:sz w:val="18"/>
              </w:rPr>
            </w:pPr>
            <w:r w:rsidRPr="0036336D">
              <w:rPr>
                <w:rFonts w:ascii="Arial" w:hAnsi="Arial" w:cs="Arial"/>
                <w:sz w:val="18"/>
              </w:rPr>
              <w:t xml:space="preserve">Zák. 262/2006 Sb., </w:t>
            </w:r>
          </w:p>
          <w:p w:rsidR="00433932" w:rsidRPr="0036336D" w:rsidRDefault="00433932" w:rsidP="008D60D5">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rsidR="00433932" w:rsidRPr="0036336D" w:rsidRDefault="00433932" w:rsidP="008D60D5">
            <w:pPr>
              <w:jc w:val="center"/>
              <w:rPr>
                <w:rFonts w:ascii="Arial" w:hAnsi="Arial" w:cs="Arial"/>
                <w:sz w:val="18"/>
              </w:rPr>
            </w:pPr>
            <w:r w:rsidRPr="0036336D">
              <w:rPr>
                <w:rFonts w:ascii="Arial" w:hAnsi="Arial" w:cs="Arial"/>
                <w:sz w:val="18"/>
              </w:rPr>
              <w:t>300</w:t>
            </w:r>
          </w:p>
        </w:tc>
      </w:tr>
      <w:tr w:rsidR="00433932" w:rsidRPr="0036336D" w:rsidTr="008D60D5">
        <w:trPr>
          <w:trHeight w:val="340"/>
        </w:trPr>
        <w:tc>
          <w:tcPr>
            <w:tcW w:w="2725" w:type="pct"/>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rsidR="00433932" w:rsidRPr="0036336D" w:rsidRDefault="00433932" w:rsidP="008D60D5">
            <w:pPr>
              <w:rPr>
                <w:rFonts w:ascii="Arial" w:hAnsi="Arial" w:cs="Arial"/>
                <w:sz w:val="18"/>
              </w:rPr>
            </w:pPr>
            <w:r>
              <w:rPr>
                <w:rFonts w:ascii="Arial" w:hAnsi="Arial" w:cs="Arial"/>
                <w:sz w:val="18"/>
              </w:rPr>
              <w:t xml:space="preserve">Čl. 4.15 a 4.20 </w:t>
            </w:r>
          </w:p>
        </w:tc>
        <w:tc>
          <w:tcPr>
            <w:tcW w:w="709" w:type="pct"/>
            <w:vAlign w:val="center"/>
          </w:tcPr>
          <w:p w:rsidR="00433932" w:rsidRPr="0036336D" w:rsidRDefault="00433932" w:rsidP="008D60D5">
            <w:pPr>
              <w:jc w:val="center"/>
              <w:rPr>
                <w:rFonts w:ascii="Arial" w:hAnsi="Arial" w:cs="Arial"/>
                <w:sz w:val="18"/>
              </w:rPr>
            </w:pPr>
            <w:r>
              <w:rPr>
                <w:rFonts w:ascii="Arial" w:hAnsi="Arial" w:cs="Arial"/>
                <w:sz w:val="18"/>
              </w:rPr>
              <w:t>100</w:t>
            </w:r>
            <w:r w:rsidRPr="0036336D">
              <w:rPr>
                <w:rFonts w:ascii="Arial" w:hAnsi="Arial" w:cs="Arial"/>
                <w:sz w:val="18"/>
              </w:rPr>
              <w:t>00</w:t>
            </w:r>
          </w:p>
        </w:tc>
      </w:tr>
      <w:tr w:rsidR="00433932" w:rsidRPr="0036336D" w:rsidTr="008D60D5">
        <w:trPr>
          <w:trHeight w:val="340"/>
        </w:trPr>
        <w:tc>
          <w:tcPr>
            <w:tcW w:w="2725" w:type="pct"/>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rsidR="00433932" w:rsidRPr="0036336D" w:rsidRDefault="00433932" w:rsidP="008D60D5">
            <w:pPr>
              <w:rPr>
                <w:rFonts w:ascii="Arial" w:hAnsi="Arial" w:cs="Arial"/>
                <w:sz w:val="18"/>
              </w:rPr>
            </w:pPr>
            <w:r w:rsidRPr="0036336D">
              <w:rPr>
                <w:rFonts w:ascii="Arial" w:hAnsi="Arial" w:cs="Arial"/>
                <w:sz w:val="18"/>
              </w:rPr>
              <w:t xml:space="preserve">Vyhl. 87/2000 Sb., </w:t>
            </w:r>
            <w:r>
              <w:rPr>
                <w:rFonts w:ascii="Arial" w:hAnsi="Arial" w:cs="Arial"/>
                <w:sz w:val="18"/>
              </w:rPr>
              <w:t>čl. 4.8</w:t>
            </w:r>
          </w:p>
        </w:tc>
        <w:tc>
          <w:tcPr>
            <w:tcW w:w="709" w:type="pct"/>
            <w:vAlign w:val="center"/>
          </w:tcPr>
          <w:p w:rsidR="00433932" w:rsidRPr="0036336D" w:rsidRDefault="00433932" w:rsidP="008D60D5">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433932" w:rsidRPr="0036336D" w:rsidTr="008D60D5">
        <w:trPr>
          <w:trHeight w:val="340"/>
        </w:trPr>
        <w:tc>
          <w:tcPr>
            <w:tcW w:w="2725" w:type="pct"/>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rsidR="00433932" w:rsidRPr="0036336D" w:rsidRDefault="00433932" w:rsidP="008D60D5">
            <w:pPr>
              <w:rPr>
                <w:rFonts w:ascii="Arial" w:hAnsi="Arial" w:cs="Arial"/>
                <w:sz w:val="18"/>
              </w:rPr>
            </w:pPr>
            <w:r w:rsidRPr="0036336D">
              <w:rPr>
                <w:rFonts w:ascii="Arial" w:hAnsi="Arial" w:cs="Arial"/>
                <w:sz w:val="18"/>
              </w:rPr>
              <w:t xml:space="preserve">Zák. 133/1985 Sb. </w:t>
            </w:r>
          </w:p>
        </w:tc>
        <w:tc>
          <w:tcPr>
            <w:tcW w:w="709" w:type="pct"/>
            <w:vAlign w:val="center"/>
          </w:tcPr>
          <w:p w:rsidR="00433932" w:rsidRPr="0036336D" w:rsidRDefault="00433932" w:rsidP="008D60D5">
            <w:pPr>
              <w:jc w:val="center"/>
              <w:rPr>
                <w:rFonts w:ascii="Arial" w:hAnsi="Arial" w:cs="Arial"/>
                <w:sz w:val="18"/>
              </w:rPr>
            </w:pPr>
            <w:r w:rsidRPr="0036336D">
              <w:rPr>
                <w:rFonts w:ascii="Arial" w:hAnsi="Arial" w:cs="Arial"/>
                <w:sz w:val="18"/>
              </w:rPr>
              <w:t>200 – 500</w:t>
            </w:r>
          </w:p>
        </w:tc>
      </w:tr>
      <w:tr w:rsidR="00433932" w:rsidRPr="0036336D" w:rsidTr="008D60D5">
        <w:trPr>
          <w:trHeight w:val="340"/>
        </w:trPr>
        <w:tc>
          <w:tcPr>
            <w:tcW w:w="2725" w:type="pct"/>
            <w:tcBorders>
              <w:top w:val="single" w:sz="4" w:space="0" w:color="auto"/>
              <w:bottom w:val="single" w:sz="4" w:space="0" w:color="auto"/>
            </w:tcBorders>
            <w:vAlign w:val="center"/>
          </w:tcPr>
          <w:p w:rsidR="00433932" w:rsidRPr="0036336D" w:rsidRDefault="00433932" w:rsidP="00433932">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rsidR="00433932" w:rsidRPr="0036336D" w:rsidRDefault="00433932" w:rsidP="008D60D5">
            <w:pPr>
              <w:rPr>
                <w:rFonts w:ascii="Arial" w:hAnsi="Arial" w:cs="Arial"/>
                <w:sz w:val="18"/>
              </w:rPr>
            </w:pPr>
          </w:p>
        </w:tc>
        <w:tc>
          <w:tcPr>
            <w:tcW w:w="709" w:type="pct"/>
            <w:tcBorders>
              <w:top w:val="single" w:sz="4" w:space="0" w:color="auto"/>
              <w:bottom w:val="single" w:sz="4" w:space="0" w:color="auto"/>
            </w:tcBorders>
            <w:vAlign w:val="center"/>
          </w:tcPr>
          <w:p w:rsidR="00433932" w:rsidRPr="0036336D" w:rsidRDefault="00433932" w:rsidP="008D60D5">
            <w:pPr>
              <w:jc w:val="center"/>
              <w:rPr>
                <w:rFonts w:ascii="Arial" w:hAnsi="Arial" w:cs="Arial"/>
                <w:sz w:val="18"/>
              </w:rPr>
            </w:pPr>
          </w:p>
        </w:tc>
      </w:tr>
      <w:tr w:rsidR="00433932" w:rsidRPr="0036336D" w:rsidTr="008D60D5">
        <w:trPr>
          <w:trHeight w:val="340"/>
        </w:trPr>
        <w:tc>
          <w:tcPr>
            <w:tcW w:w="2725" w:type="pct"/>
            <w:tcBorders>
              <w:top w:val="single" w:sz="4" w:space="0" w:color="auto"/>
              <w:bottom w:val="dotted"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rsidR="00433932" w:rsidRPr="0036336D" w:rsidRDefault="00433932" w:rsidP="008D60D5">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500 – 5000</w:t>
            </w:r>
          </w:p>
        </w:tc>
      </w:tr>
      <w:tr w:rsidR="00433932" w:rsidRPr="0036336D" w:rsidTr="008D60D5">
        <w:trPr>
          <w:trHeight w:val="340"/>
        </w:trPr>
        <w:tc>
          <w:tcPr>
            <w:tcW w:w="2725" w:type="pct"/>
            <w:tcBorders>
              <w:top w:val="dotted" w:sz="4" w:space="0" w:color="auto"/>
              <w:bottom w:val="single" w:sz="4" w:space="0" w:color="auto"/>
            </w:tcBorders>
            <w:vAlign w:val="center"/>
          </w:tcPr>
          <w:p w:rsidR="00433932" w:rsidRPr="0036336D" w:rsidRDefault="00433932" w:rsidP="00433932">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rsidR="00433932" w:rsidRPr="0036336D" w:rsidRDefault="00433932" w:rsidP="008D60D5">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300 / závada</w:t>
            </w:r>
          </w:p>
        </w:tc>
      </w:tr>
    </w:tbl>
    <w:p w:rsidR="00433932" w:rsidRDefault="00433932" w:rsidP="00433932">
      <w:pPr>
        <w:jc w:val="both"/>
        <w:rPr>
          <w:b/>
          <w:sz w:val="24"/>
          <w:szCs w:val="24"/>
        </w:rPr>
      </w:pPr>
    </w:p>
    <w:p w:rsidR="00433932" w:rsidRDefault="00433932" w:rsidP="00433932">
      <w:pPr>
        <w:autoSpaceDE w:val="0"/>
        <w:autoSpaceDN w:val="0"/>
        <w:adjustRightInd w:val="0"/>
        <w:rPr>
          <w:bCs/>
          <w:sz w:val="24"/>
        </w:rPr>
      </w:pPr>
    </w:p>
    <w:p w:rsidR="00D0464B" w:rsidRDefault="00D0464B" w:rsidP="00595E50">
      <w:pPr>
        <w:autoSpaceDE w:val="0"/>
        <w:autoSpaceDN w:val="0"/>
        <w:adjustRightInd w:val="0"/>
        <w:rPr>
          <w:bCs/>
          <w:sz w:val="24"/>
        </w:rPr>
      </w:pPr>
    </w:p>
    <w:sectPr w:rsidR="00D0464B" w:rsidSect="00F76CCA">
      <w:headerReference w:type="even" r:id="rId8"/>
      <w:headerReference w:type="default" r:id="rId9"/>
      <w:footerReference w:type="even" r:id="rId10"/>
      <w:footerReference w:type="default" r:id="rId11"/>
      <w:pgSz w:w="11907" w:h="16840"/>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AA1" w:rsidRDefault="00AB7AA1">
      <w:r>
        <w:separator/>
      </w:r>
    </w:p>
  </w:endnote>
  <w:endnote w:type="continuationSeparator" w:id="0">
    <w:p w:rsidR="00AB7AA1" w:rsidRDefault="00AB7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DF412A">
      <w:rPr>
        <w:rStyle w:val="slostrnky"/>
        <w:noProof/>
      </w:rPr>
      <w:t>1</w:t>
    </w:r>
    <w:r>
      <w:rPr>
        <w:rStyle w:val="slostrnky"/>
      </w:rPr>
      <w:fldChar w:fldCharType="end"/>
    </w:r>
  </w:p>
  <w:p w:rsidR="00126A9A" w:rsidRDefault="00126A9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AA1" w:rsidRDefault="00AB7AA1">
      <w:r>
        <w:separator/>
      </w:r>
    </w:p>
  </w:footnote>
  <w:footnote w:type="continuationSeparator" w:id="0">
    <w:p w:rsidR="00AB7AA1" w:rsidRDefault="00AB7A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CCA" w:rsidRPr="00722094" w:rsidRDefault="000E2F2D" w:rsidP="009C5B53">
    <w:pPr>
      <w:pStyle w:val="Zhlav"/>
      <w:rPr>
        <w:b/>
        <w:color w:val="000000" w:themeColor="text1"/>
        <w:sz w:val="24"/>
        <w:szCs w:val="24"/>
      </w:rPr>
    </w:pPr>
    <w:r>
      <w:rPr>
        <w:b/>
        <w:sz w:val="24"/>
        <w:szCs w:val="24"/>
      </w:rPr>
      <w:tab/>
    </w:r>
    <w:r>
      <w:rPr>
        <w:b/>
        <w:sz w:val="24"/>
        <w:szCs w:val="24"/>
      </w:rPr>
      <w:tab/>
    </w:r>
    <w:r w:rsidR="009C5B53">
      <w:rPr>
        <w:b/>
        <w:sz w:val="24"/>
        <w:szCs w:val="24"/>
      </w:rPr>
      <w:t xml:space="preserve">Smlouva č. </w:t>
    </w:r>
    <w:r>
      <w:rPr>
        <w:b/>
        <w:sz w:val="24"/>
        <w:szCs w:val="24"/>
      </w:rPr>
      <w:t>T</w:t>
    </w:r>
    <w:r w:rsidR="009C5B53">
      <w:rPr>
        <w:b/>
        <w:sz w:val="24"/>
        <w:szCs w:val="24"/>
      </w:rPr>
      <w:t>-</w:t>
    </w:r>
    <w:r w:rsidR="00DF412A">
      <w:rPr>
        <w:b/>
        <w:sz w:val="24"/>
        <w:szCs w:val="24"/>
      </w:rPr>
      <w:t>120</w:t>
    </w:r>
    <w:r w:rsidR="00722094" w:rsidRPr="00722094">
      <w:rPr>
        <w:b/>
        <w:sz w:val="24"/>
        <w:szCs w:val="24"/>
      </w:rPr>
      <w:t>-00/1</w:t>
    </w:r>
    <w:r w:rsidR="009C5B53">
      <w:rPr>
        <w:b/>
        <w:sz w:val="24"/>
        <w:szCs w:val="24"/>
      </w:rPr>
      <w:t>6</w:t>
    </w:r>
  </w:p>
  <w:p w:rsidR="00303658" w:rsidRPr="003B5832" w:rsidRDefault="00303658" w:rsidP="00D56DF2">
    <w:pPr>
      <w:pStyle w:val="Zhlav"/>
      <w:jc w:val="center"/>
      <w:rPr>
        <w:b/>
        <w:color w:val="000000" w:themeColor="text1"/>
        <w:sz w:val="24"/>
        <w:szCs w:val="24"/>
      </w:rPr>
    </w:pPr>
  </w:p>
  <w:p w:rsidR="00731325" w:rsidRPr="00F76CCA" w:rsidRDefault="00D56DF2" w:rsidP="00F76CCA">
    <w:pPr>
      <w:pStyle w:val="Zhlav"/>
    </w:pPr>
    <w:r w:rsidRPr="00D56DF2">
      <w:rPr>
        <w:b/>
        <w:sz w:val="24"/>
        <w:szCs w:val="24"/>
      </w:rPr>
      <w:object w:dxaOrig="9808" w:dyaOrig="13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680.25pt" o:ole="">
          <v:imagedata r:id="rId1" o:title=""/>
        </v:shape>
        <o:OLEObject Type="Embed" ProgID="Word.Document.12" ShapeID="_x0000_i1025" DrawAspect="Content" ObjectID="_1535200145"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9EB3FCB"/>
    <w:multiLevelType w:val="hybridMultilevel"/>
    <w:tmpl w:val="28F6B200"/>
    <w:lvl w:ilvl="0" w:tplc="5110299C">
      <w:start w:val="1"/>
      <w:numFmt w:val="decimal"/>
      <w:lvlText w:val="10.%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15:restartNumberingAfterBreak="0">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02555D"/>
    <w:multiLevelType w:val="hybridMultilevel"/>
    <w:tmpl w:val="16924D9E"/>
    <w:lvl w:ilvl="0" w:tplc="1E948F62">
      <w:start w:val="1"/>
      <w:numFmt w:val="decimal"/>
      <w:lvlText w:val="6.%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0" w15:restartNumberingAfterBreak="0">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1" w15:restartNumberingAfterBreak="0">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F14EFB"/>
    <w:multiLevelType w:val="hybridMultilevel"/>
    <w:tmpl w:val="7F7AD6B6"/>
    <w:lvl w:ilvl="0" w:tplc="04050001">
      <w:start w:val="1"/>
      <w:numFmt w:val="bullet"/>
      <w:lvlText w:val=""/>
      <w:lvlJc w:val="left"/>
      <w:pPr>
        <w:ind w:left="720" w:hanging="360"/>
      </w:pPr>
      <w:rPr>
        <w:rFonts w:ascii="Symbol" w:hAnsi="Symbol" w:hint="default"/>
      </w:rPr>
    </w:lvl>
    <w:lvl w:ilvl="1" w:tplc="9F4EFBE2">
      <w:numFmt w:val="bullet"/>
      <w:lvlText w:val="•"/>
      <w:lvlJc w:val="left"/>
      <w:pPr>
        <w:ind w:left="1800" w:hanging="720"/>
      </w:pPr>
      <w:rPr>
        <w:rFonts w:ascii="Times New Roman" w:eastAsia="Times New Roman" w:hAnsi="Times New Roman" w:cs="Times New Roman" w:hint="default"/>
        <w:b/>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5" w15:restartNumberingAfterBreak="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4B65EEE"/>
    <w:multiLevelType w:val="singleLevel"/>
    <w:tmpl w:val="DFE6FA50"/>
    <w:lvl w:ilvl="0">
      <w:start w:val="1"/>
      <w:numFmt w:val="decimal"/>
      <w:lvlText w:val="4.%1"/>
      <w:lvlJc w:val="left"/>
      <w:pPr>
        <w:tabs>
          <w:tab w:val="num" w:pos="851"/>
        </w:tabs>
        <w:ind w:left="851" w:hanging="851"/>
      </w:pPr>
      <w:rPr>
        <w:rFonts w:ascii="Times New Roman" w:hAnsi="Times New Roman" w:cs="Times New Roman" w:hint="default"/>
        <w:b/>
        <w:i w:val="0"/>
        <w:color w:val="auto"/>
        <w:sz w:val="22"/>
        <w:u w:val="none"/>
      </w:rPr>
    </w:lvl>
  </w:abstractNum>
  <w:abstractNum w:abstractNumId="17" w15:restartNumberingAfterBreak="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19"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FA4842"/>
    <w:multiLevelType w:val="hybridMultilevel"/>
    <w:tmpl w:val="5A9C9D66"/>
    <w:lvl w:ilvl="0" w:tplc="01D8F308">
      <w:start w:val="1"/>
      <w:numFmt w:val="decimal"/>
      <w:lvlText w:val="9.%1"/>
      <w:lvlJc w:val="left"/>
      <w:pPr>
        <w:tabs>
          <w:tab w:val="num" w:pos="851"/>
        </w:tabs>
        <w:ind w:left="851" w:hanging="851"/>
      </w:pPr>
      <w:rPr>
        <w:rFonts w:ascii="Times New Roman" w:hAnsi="Times New Roman" w:cs="Times New Roman" w:hint="default"/>
        <w:b/>
        <w:i w:val="0"/>
        <w:color w:val="000000" w:themeColor="text1"/>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88673A7"/>
    <w:multiLevelType w:val="singleLevel"/>
    <w:tmpl w:val="236C543A"/>
    <w:lvl w:ilvl="0">
      <w:start w:val="1"/>
      <w:numFmt w:val="decimal"/>
      <w:lvlText w:val="7.%1"/>
      <w:lvlJc w:val="left"/>
      <w:pPr>
        <w:tabs>
          <w:tab w:val="num" w:pos="851"/>
        </w:tabs>
        <w:ind w:left="851" w:hanging="851"/>
      </w:pPr>
      <w:rPr>
        <w:rFonts w:ascii="Times New Roman" w:hAnsi="Times New Roman" w:cs="Times New Roman" w:hint="default"/>
        <w:b/>
        <w:i w:val="0"/>
        <w:sz w:val="22"/>
        <w:u w:val="none"/>
      </w:rPr>
    </w:lvl>
  </w:abstractNum>
  <w:abstractNum w:abstractNumId="24" w15:restartNumberingAfterBreak="0">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5" w15:restartNumberingAfterBreak="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F94334E"/>
    <w:multiLevelType w:val="hybridMultilevel"/>
    <w:tmpl w:val="2054A096"/>
    <w:lvl w:ilvl="0" w:tplc="47D081D2">
      <w:start w:val="1"/>
      <w:numFmt w:val="decimal"/>
      <w:lvlText w:val="5.%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4"/>
  </w:num>
  <w:num w:numId="2">
    <w:abstractNumId w:val="16"/>
  </w:num>
  <w:num w:numId="3">
    <w:abstractNumId w:val="12"/>
  </w:num>
  <w:num w:numId="4">
    <w:abstractNumId w:val="24"/>
  </w:num>
  <w:num w:numId="5">
    <w:abstractNumId w:val="26"/>
  </w:num>
  <w:num w:numId="6">
    <w:abstractNumId w:val="7"/>
  </w:num>
  <w:num w:numId="7">
    <w:abstractNumId w:val="5"/>
  </w:num>
  <w:num w:numId="8">
    <w:abstractNumId w:val="21"/>
  </w:num>
  <w:num w:numId="9">
    <w:abstractNumId w:val="2"/>
  </w:num>
  <w:num w:numId="10">
    <w:abstractNumId w:val="22"/>
  </w:num>
  <w:num w:numId="11">
    <w:abstractNumId w:val="20"/>
  </w:num>
  <w:num w:numId="12">
    <w:abstractNumId w:val="8"/>
  </w:num>
  <w:num w:numId="13">
    <w:abstractNumId w:val="0"/>
  </w:num>
  <w:num w:numId="14">
    <w:abstractNumId w:val="19"/>
  </w:num>
  <w:num w:numId="15">
    <w:abstractNumId w:val="9"/>
  </w:num>
  <w:num w:numId="16">
    <w:abstractNumId w:val="18"/>
  </w:num>
  <w:num w:numId="17">
    <w:abstractNumId w:val="23"/>
  </w:num>
  <w:num w:numId="18">
    <w:abstractNumId w:val="17"/>
  </w:num>
  <w:num w:numId="19">
    <w:abstractNumId w:val="25"/>
  </w:num>
  <w:num w:numId="20">
    <w:abstractNumId w:val="1"/>
  </w:num>
  <w:num w:numId="21">
    <w:abstractNumId w:val="15"/>
  </w:num>
  <w:num w:numId="22">
    <w:abstractNumId w:val="6"/>
  </w:num>
  <w:num w:numId="23">
    <w:abstractNumId w:val="11"/>
  </w:num>
  <w:num w:numId="24">
    <w:abstractNumId w:val="4"/>
  </w:num>
  <w:num w:numId="25">
    <w:abstractNumId w:val="3"/>
  </w:num>
  <w:num w:numId="26">
    <w:abstractNumId w:val="10"/>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02B6"/>
    <w:rsid w:val="00005418"/>
    <w:rsid w:val="00011CED"/>
    <w:rsid w:val="00013221"/>
    <w:rsid w:val="000132A7"/>
    <w:rsid w:val="00020757"/>
    <w:rsid w:val="00020971"/>
    <w:rsid w:val="00027C2C"/>
    <w:rsid w:val="00033899"/>
    <w:rsid w:val="000344C5"/>
    <w:rsid w:val="00036744"/>
    <w:rsid w:val="00040516"/>
    <w:rsid w:val="00043A55"/>
    <w:rsid w:val="0004438B"/>
    <w:rsid w:val="00053D8D"/>
    <w:rsid w:val="000572A3"/>
    <w:rsid w:val="00063B67"/>
    <w:rsid w:val="00064B1D"/>
    <w:rsid w:val="0006644B"/>
    <w:rsid w:val="0007119C"/>
    <w:rsid w:val="00074944"/>
    <w:rsid w:val="00082EE7"/>
    <w:rsid w:val="00085ACD"/>
    <w:rsid w:val="00095FDB"/>
    <w:rsid w:val="00097193"/>
    <w:rsid w:val="000A0A64"/>
    <w:rsid w:val="000A171F"/>
    <w:rsid w:val="000A2E21"/>
    <w:rsid w:val="000A3F7C"/>
    <w:rsid w:val="000A5304"/>
    <w:rsid w:val="000A76C4"/>
    <w:rsid w:val="000B4217"/>
    <w:rsid w:val="000C4430"/>
    <w:rsid w:val="000D63FC"/>
    <w:rsid w:val="000E12C3"/>
    <w:rsid w:val="000E2F2D"/>
    <w:rsid w:val="00102CFB"/>
    <w:rsid w:val="001128D2"/>
    <w:rsid w:val="00116331"/>
    <w:rsid w:val="0012112F"/>
    <w:rsid w:val="00124E54"/>
    <w:rsid w:val="00126A9A"/>
    <w:rsid w:val="0012740D"/>
    <w:rsid w:val="00133CA3"/>
    <w:rsid w:val="00134292"/>
    <w:rsid w:val="00143F3E"/>
    <w:rsid w:val="00150F3F"/>
    <w:rsid w:val="0015333A"/>
    <w:rsid w:val="0016110C"/>
    <w:rsid w:val="00167E17"/>
    <w:rsid w:val="001715FE"/>
    <w:rsid w:val="00172B03"/>
    <w:rsid w:val="00175106"/>
    <w:rsid w:val="0019238A"/>
    <w:rsid w:val="001962E3"/>
    <w:rsid w:val="00197CB7"/>
    <w:rsid w:val="001A5AF0"/>
    <w:rsid w:val="001A6F2A"/>
    <w:rsid w:val="001B51E2"/>
    <w:rsid w:val="001D3AFC"/>
    <w:rsid w:val="001D4ACE"/>
    <w:rsid w:val="00203EBD"/>
    <w:rsid w:val="00214F18"/>
    <w:rsid w:val="002179A8"/>
    <w:rsid w:val="002354D1"/>
    <w:rsid w:val="0024417C"/>
    <w:rsid w:val="00246940"/>
    <w:rsid w:val="00251A87"/>
    <w:rsid w:val="002658A9"/>
    <w:rsid w:val="00265D44"/>
    <w:rsid w:val="002821D9"/>
    <w:rsid w:val="00286000"/>
    <w:rsid w:val="002B2A1D"/>
    <w:rsid w:val="002B65DD"/>
    <w:rsid w:val="002C458F"/>
    <w:rsid w:val="002D2786"/>
    <w:rsid w:val="002D52B0"/>
    <w:rsid w:val="002E7917"/>
    <w:rsid w:val="002F0F50"/>
    <w:rsid w:val="002F762B"/>
    <w:rsid w:val="00300511"/>
    <w:rsid w:val="0030254C"/>
    <w:rsid w:val="00302F96"/>
    <w:rsid w:val="003033C6"/>
    <w:rsid w:val="00303658"/>
    <w:rsid w:val="00306955"/>
    <w:rsid w:val="0032040C"/>
    <w:rsid w:val="003212B3"/>
    <w:rsid w:val="003231F1"/>
    <w:rsid w:val="00335789"/>
    <w:rsid w:val="00346428"/>
    <w:rsid w:val="00351647"/>
    <w:rsid w:val="00352D92"/>
    <w:rsid w:val="00353802"/>
    <w:rsid w:val="00360296"/>
    <w:rsid w:val="0036195A"/>
    <w:rsid w:val="0036638E"/>
    <w:rsid w:val="003704D5"/>
    <w:rsid w:val="00377D38"/>
    <w:rsid w:val="003851F5"/>
    <w:rsid w:val="0039725D"/>
    <w:rsid w:val="003972B8"/>
    <w:rsid w:val="003A0942"/>
    <w:rsid w:val="003B007B"/>
    <w:rsid w:val="003B0799"/>
    <w:rsid w:val="003B1246"/>
    <w:rsid w:val="003B4566"/>
    <w:rsid w:val="003B4CC3"/>
    <w:rsid w:val="003B5832"/>
    <w:rsid w:val="003B70C8"/>
    <w:rsid w:val="003C35A8"/>
    <w:rsid w:val="003C43B1"/>
    <w:rsid w:val="003C567B"/>
    <w:rsid w:val="003C7384"/>
    <w:rsid w:val="003D0288"/>
    <w:rsid w:val="003D09C1"/>
    <w:rsid w:val="003D29D6"/>
    <w:rsid w:val="003D5A9B"/>
    <w:rsid w:val="003E47D3"/>
    <w:rsid w:val="003F4000"/>
    <w:rsid w:val="004023C0"/>
    <w:rsid w:val="0040457F"/>
    <w:rsid w:val="00406998"/>
    <w:rsid w:val="00410840"/>
    <w:rsid w:val="004162E0"/>
    <w:rsid w:val="004331C0"/>
    <w:rsid w:val="00433729"/>
    <w:rsid w:val="00433932"/>
    <w:rsid w:val="004357B7"/>
    <w:rsid w:val="0044413B"/>
    <w:rsid w:val="0044446E"/>
    <w:rsid w:val="0044671A"/>
    <w:rsid w:val="004540F1"/>
    <w:rsid w:val="00454767"/>
    <w:rsid w:val="00455900"/>
    <w:rsid w:val="00457DD3"/>
    <w:rsid w:val="0046156D"/>
    <w:rsid w:val="004638A8"/>
    <w:rsid w:val="00465589"/>
    <w:rsid w:val="00465C84"/>
    <w:rsid w:val="00473AE3"/>
    <w:rsid w:val="00481EBB"/>
    <w:rsid w:val="00482F7A"/>
    <w:rsid w:val="0048318A"/>
    <w:rsid w:val="004934DE"/>
    <w:rsid w:val="00495DE3"/>
    <w:rsid w:val="004B3E4F"/>
    <w:rsid w:val="004D7E6C"/>
    <w:rsid w:val="004E0703"/>
    <w:rsid w:val="004E0FAE"/>
    <w:rsid w:val="004F49F6"/>
    <w:rsid w:val="004F66C0"/>
    <w:rsid w:val="004F699B"/>
    <w:rsid w:val="004F6AA0"/>
    <w:rsid w:val="00502E1D"/>
    <w:rsid w:val="005138E7"/>
    <w:rsid w:val="00515086"/>
    <w:rsid w:val="00524874"/>
    <w:rsid w:val="005346CC"/>
    <w:rsid w:val="00557C70"/>
    <w:rsid w:val="00560BF2"/>
    <w:rsid w:val="00561A21"/>
    <w:rsid w:val="005629D6"/>
    <w:rsid w:val="00565B67"/>
    <w:rsid w:val="00566299"/>
    <w:rsid w:val="00566F27"/>
    <w:rsid w:val="0057338B"/>
    <w:rsid w:val="00592BD8"/>
    <w:rsid w:val="00595E50"/>
    <w:rsid w:val="005963A8"/>
    <w:rsid w:val="00596B25"/>
    <w:rsid w:val="00597A31"/>
    <w:rsid w:val="005A3596"/>
    <w:rsid w:val="005A4411"/>
    <w:rsid w:val="005A5731"/>
    <w:rsid w:val="005A6283"/>
    <w:rsid w:val="005B58C5"/>
    <w:rsid w:val="005B71B8"/>
    <w:rsid w:val="005C5662"/>
    <w:rsid w:val="005D1585"/>
    <w:rsid w:val="005E3302"/>
    <w:rsid w:val="005E7139"/>
    <w:rsid w:val="005E7D3D"/>
    <w:rsid w:val="005F7EDB"/>
    <w:rsid w:val="00601843"/>
    <w:rsid w:val="00602BDB"/>
    <w:rsid w:val="00606C15"/>
    <w:rsid w:val="00615570"/>
    <w:rsid w:val="00621E02"/>
    <w:rsid w:val="006344C1"/>
    <w:rsid w:val="00634780"/>
    <w:rsid w:val="0063584C"/>
    <w:rsid w:val="00636C4C"/>
    <w:rsid w:val="006375DA"/>
    <w:rsid w:val="00643F76"/>
    <w:rsid w:val="00654A49"/>
    <w:rsid w:val="00660182"/>
    <w:rsid w:val="00663602"/>
    <w:rsid w:val="00672836"/>
    <w:rsid w:val="00681A23"/>
    <w:rsid w:val="006904F9"/>
    <w:rsid w:val="00690BCB"/>
    <w:rsid w:val="006A1AA4"/>
    <w:rsid w:val="006A2A29"/>
    <w:rsid w:val="006A5382"/>
    <w:rsid w:val="006B45DB"/>
    <w:rsid w:val="006D2154"/>
    <w:rsid w:val="006D6F14"/>
    <w:rsid w:val="006E1773"/>
    <w:rsid w:val="006E3756"/>
    <w:rsid w:val="006E4FC5"/>
    <w:rsid w:val="006E5948"/>
    <w:rsid w:val="006F3DE9"/>
    <w:rsid w:val="00703DB1"/>
    <w:rsid w:val="007047B6"/>
    <w:rsid w:val="00705208"/>
    <w:rsid w:val="007168C2"/>
    <w:rsid w:val="00722094"/>
    <w:rsid w:val="00723AB4"/>
    <w:rsid w:val="00731325"/>
    <w:rsid w:val="00732F72"/>
    <w:rsid w:val="007416C3"/>
    <w:rsid w:val="0074567D"/>
    <w:rsid w:val="00746F82"/>
    <w:rsid w:val="0074794D"/>
    <w:rsid w:val="0075034C"/>
    <w:rsid w:val="00750A54"/>
    <w:rsid w:val="00753CAB"/>
    <w:rsid w:val="00767CA6"/>
    <w:rsid w:val="00770224"/>
    <w:rsid w:val="00770577"/>
    <w:rsid w:val="00773F23"/>
    <w:rsid w:val="00776A70"/>
    <w:rsid w:val="00783D5E"/>
    <w:rsid w:val="007853A6"/>
    <w:rsid w:val="00791998"/>
    <w:rsid w:val="00793B5A"/>
    <w:rsid w:val="007947EA"/>
    <w:rsid w:val="007A11CD"/>
    <w:rsid w:val="007B0E9D"/>
    <w:rsid w:val="007B245C"/>
    <w:rsid w:val="007B268E"/>
    <w:rsid w:val="007B6975"/>
    <w:rsid w:val="007C4B3B"/>
    <w:rsid w:val="007C4DEA"/>
    <w:rsid w:val="007D362F"/>
    <w:rsid w:val="007D4A64"/>
    <w:rsid w:val="007E1065"/>
    <w:rsid w:val="007E7EE1"/>
    <w:rsid w:val="007F0D06"/>
    <w:rsid w:val="007F2AA2"/>
    <w:rsid w:val="007F4974"/>
    <w:rsid w:val="008021F4"/>
    <w:rsid w:val="00803355"/>
    <w:rsid w:val="00806F68"/>
    <w:rsid w:val="008249D7"/>
    <w:rsid w:val="00831002"/>
    <w:rsid w:val="00831C13"/>
    <w:rsid w:val="008374CD"/>
    <w:rsid w:val="00842029"/>
    <w:rsid w:val="0084231E"/>
    <w:rsid w:val="00847843"/>
    <w:rsid w:val="00852970"/>
    <w:rsid w:val="00857513"/>
    <w:rsid w:val="00867CAD"/>
    <w:rsid w:val="00874BE4"/>
    <w:rsid w:val="00880A54"/>
    <w:rsid w:val="00880B99"/>
    <w:rsid w:val="008A1017"/>
    <w:rsid w:val="008A383B"/>
    <w:rsid w:val="008A3DED"/>
    <w:rsid w:val="008A7577"/>
    <w:rsid w:val="008A7B7E"/>
    <w:rsid w:val="008C12D8"/>
    <w:rsid w:val="008C5622"/>
    <w:rsid w:val="008C7C04"/>
    <w:rsid w:val="008D5767"/>
    <w:rsid w:val="008E02C8"/>
    <w:rsid w:val="008E069F"/>
    <w:rsid w:val="008F5951"/>
    <w:rsid w:val="008F59AC"/>
    <w:rsid w:val="008F6F60"/>
    <w:rsid w:val="00914F75"/>
    <w:rsid w:val="0092646A"/>
    <w:rsid w:val="009301F2"/>
    <w:rsid w:val="00933172"/>
    <w:rsid w:val="00934FCA"/>
    <w:rsid w:val="00941F5F"/>
    <w:rsid w:val="009460F6"/>
    <w:rsid w:val="00946C23"/>
    <w:rsid w:val="00954081"/>
    <w:rsid w:val="00957072"/>
    <w:rsid w:val="00963BCA"/>
    <w:rsid w:val="00985BA2"/>
    <w:rsid w:val="0099006C"/>
    <w:rsid w:val="0099589C"/>
    <w:rsid w:val="00995EB3"/>
    <w:rsid w:val="00995FEB"/>
    <w:rsid w:val="009A3F58"/>
    <w:rsid w:val="009A71AC"/>
    <w:rsid w:val="009C1202"/>
    <w:rsid w:val="009C5B53"/>
    <w:rsid w:val="009D0FFD"/>
    <w:rsid w:val="009E0D49"/>
    <w:rsid w:val="009E6DFB"/>
    <w:rsid w:val="009E79F6"/>
    <w:rsid w:val="009F1F6D"/>
    <w:rsid w:val="00A02706"/>
    <w:rsid w:val="00A06F0C"/>
    <w:rsid w:val="00A12DBD"/>
    <w:rsid w:val="00A256C9"/>
    <w:rsid w:val="00A3017A"/>
    <w:rsid w:val="00A333A0"/>
    <w:rsid w:val="00A37116"/>
    <w:rsid w:val="00A37F9B"/>
    <w:rsid w:val="00A52985"/>
    <w:rsid w:val="00A5326B"/>
    <w:rsid w:val="00A54045"/>
    <w:rsid w:val="00A57703"/>
    <w:rsid w:val="00A77B67"/>
    <w:rsid w:val="00A82DEA"/>
    <w:rsid w:val="00A8687A"/>
    <w:rsid w:val="00A87620"/>
    <w:rsid w:val="00A90406"/>
    <w:rsid w:val="00AA74B8"/>
    <w:rsid w:val="00AA759F"/>
    <w:rsid w:val="00AB10C1"/>
    <w:rsid w:val="00AB4D65"/>
    <w:rsid w:val="00AB62F1"/>
    <w:rsid w:val="00AB695B"/>
    <w:rsid w:val="00AB7AA1"/>
    <w:rsid w:val="00AC1195"/>
    <w:rsid w:val="00AC384A"/>
    <w:rsid w:val="00AD3584"/>
    <w:rsid w:val="00AD470B"/>
    <w:rsid w:val="00AD5071"/>
    <w:rsid w:val="00AE2642"/>
    <w:rsid w:val="00AE3EFB"/>
    <w:rsid w:val="00AE6295"/>
    <w:rsid w:val="00AE745D"/>
    <w:rsid w:val="00B0365A"/>
    <w:rsid w:val="00B11DAB"/>
    <w:rsid w:val="00B30054"/>
    <w:rsid w:val="00B46B1D"/>
    <w:rsid w:val="00B612D5"/>
    <w:rsid w:val="00B65427"/>
    <w:rsid w:val="00B74405"/>
    <w:rsid w:val="00B753A2"/>
    <w:rsid w:val="00B82357"/>
    <w:rsid w:val="00B90640"/>
    <w:rsid w:val="00B90B47"/>
    <w:rsid w:val="00B9228B"/>
    <w:rsid w:val="00B9303C"/>
    <w:rsid w:val="00B93824"/>
    <w:rsid w:val="00B94DF2"/>
    <w:rsid w:val="00BB2180"/>
    <w:rsid w:val="00BB7E4D"/>
    <w:rsid w:val="00BD463F"/>
    <w:rsid w:val="00BE3A33"/>
    <w:rsid w:val="00BE4FA6"/>
    <w:rsid w:val="00BF2F1E"/>
    <w:rsid w:val="00BF3255"/>
    <w:rsid w:val="00C0025F"/>
    <w:rsid w:val="00C042BD"/>
    <w:rsid w:val="00C067BB"/>
    <w:rsid w:val="00C12C0B"/>
    <w:rsid w:val="00C13571"/>
    <w:rsid w:val="00C21BF4"/>
    <w:rsid w:val="00C27B95"/>
    <w:rsid w:val="00C328DE"/>
    <w:rsid w:val="00C32D88"/>
    <w:rsid w:val="00C35332"/>
    <w:rsid w:val="00C456CC"/>
    <w:rsid w:val="00C45E22"/>
    <w:rsid w:val="00C515C9"/>
    <w:rsid w:val="00C51BA5"/>
    <w:rsid w:val="00C56DD3"/>
    <w:rsid w:val="00C73640"/>
    <w:rsid w:val="00C77854"/>
    <w:rsid w:val="00C84727"/>
    <w:rsid w:val="00C84C3A"/>
    <w:rsid w:val="00C85501"/>
    <w:rsid w:val="00C85579"/>
    <w:rsid w:val="00C9449D"/>
    <w:rsid w:val="00CA2F02"/>
    <w:rsid w:val="00CA6AD5"/>
    <w:rsid w:val="00CB029C"/>
    <w:rsid w:val="00CB7FCF"/>
    <w:rsid w:val="00CC1D62"/>
    <w:rsid w:val="00CC73A2"/>
    <w:rsid w:val="00CD15A7"/>
    <w:rsid w:val="00CE1C55"/>
    <w:rsid w:val="00CE3433"/>
    <w:rsid w:val="00CE5FEE"/>
    <w:rsid w:val="00D01650"/>
    <w:rsid w:val="00D0464B"/>
    <w:rsid w:val="00D13D50"/>
    <w:rsid w:val="00D1698C"/>
    <w:rsid w:val="00D16F68"/>
    <w:rsid w:val="00D207A9"/>
    <w:rsid w:val="00D244C2"/>
    <w:rsid w:val="00D416A1"/>
    <w:rsid w:val="00D4436A"/>
    <w:rsid w:val="00D461C5"/>
    <w:rsid w:val="00D5235C"/>
    <w:rsid w:val="00D52A7C"/>
    <w:rsid w:val="00D548C3"/>
    <w:rsid w:val="00D56AEB"/>
    <w:rsid w:val="00D56DF2"/>
    <w:rsid w:val="00D6063B"/>
    <w:rsid w:val="00D6364B"/>
    <w:rsid w:val="00D711E4"/>
    <w:rsid w:val="00D749E5"/>
    <w:rsid w:val="00D77061"/>
    <w:rsid w:val="00D864CA"/>
    <w:rsid w:val="00D931D9"/>
    <w:rsid w:val="00D93480"/>
    <w:rsid w:val="00DA05F4"/>
    <w:rsid w:val="00DA3C03"/>
    <w:rsid w:val="00DB0147"/>
    <w:rsid w:val="00DC1B06"/>
    <w:rsid w:val="00DC26F4"/>
    <w:rsid w:val="00DC5D3B"/>
    <w:rsid w:val="00DD1AF4"/>
    <w:rsid w:val="00DD1FCA"/>
    <w:rsid w:val="00DE3B2A"/>
    <w:rsid w:val="00DE5981"/>
    <w:rsid w:val="00DF0C95"/>
    <w:rsid w:val="00DF1831"/>
    <w:rsid w:val="00DF412A"/>
    <w:rsid w:val="00E147D4"/>
    <w:rsid w:val="00E15102"/>
    <w:rsid w:val="00E152A7"/>
    <w:rsid w:val="00E3179B"/>
    <w:rsid w:val="00E34397"/>
    <w:rsid w:val="00E43D89"/>
    <w:rsid w:val="00E50BEB"/>
    <w:rsid w:val="00E51409"/>
    <w:rsid w:val="00E5417F"/>
    <w:rsid w:val="00E71354"/>
    <w:rsid w:val="00E72798"/>
    <w:rsid w:val="00E75237"/>
    <w:rsid w:val="00E7635E"/>
    <w:rsid w:val="00E76541"/>
    <w:rsid w:val="00E85099"/>
    <w:rsid w:val="00E869EB"/>
    <w:rsid w:val="00E873B3"/>
    <w:rsid w:val="00EA3503"/>
    <w:rsid w:val="00EA3BE5"/>
    <w:rsid w:val="00EB1CB6"/>
    <w:rsid w:val="00EB2847"/>
    <w:rsid w:val="00EB7238"/>
    <w:rsid w:val="00EE5368"/>
    <w:rsid w:val="00EF2358"/>
    <w:rsid w:val="00EF3C51"/>
    <w:rsid w:val="00EF5E3C"/>
    <w:rsid w:val="00F001D3"/>
    <w:rsid w:val="00F150A3"/>
    <w:rsid w:val="00F36D29"/>
    <w:rsid w:val="00F371C8"/>
    <w:rsid w:val="00F4646A"/>
    <w:rsid w:val="00F50AAE"/>
    <w:rsid w:val="00F51364"/>
    <w:rsid w:val="00F514B1"/>
    <w:rsid w:val="00F60396"/>
    <w:rsid w:val="00F634A8"/>
    <w:rsid w:val="00F76CCA"/>
    <w:rsid w:val="00F866AD"/>
    <w:rsid w:val="00F87849"/>
    <w:rsid w:val="00F90426"/>
    <w:rsid w:val="00F92749"/>
    <w:rsid w:val="00FA5036"/>
    <w:rsid w:val="00FA5C88"/>
    <w:rsid w:val="00FA62AA"/>
    <w:rsid w:val="00FB0035"/>
    <w:rsid w:val="00FB1FB9"/>
    <w:rsid w:val="00FB289A"/>
    <w:rsid w:val="00FB6DF5"/>
    <w:rsid w:val="00FC0202"/>
    <w:rsid w:val="00FC4BE0"/>
    <w:rsid w:val="00FD4896"/>
    <w:rsid w:val="00FD7CE6"/>
    <w:rsid w:val="00FE14D9"/>
    <w:rsid w:val="00FE4A23"/>
    <w:rsid w:val="00FF15B2"/>
    <w:rsid w:val="00FF4C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414E644-A7B8-4BB4-9BF7-F06E20C2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71796507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package" Target="embeddings/Dokument_aplikace_Microsoft_Word1.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82B47-E006-4945-8398-C548E0A31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9</Pages>
  <Words>2638</Words>
  <Characters>15566</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18168</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BURDOVA Marketa</cp:lastModifiedBy>
  <cp:revision>10</cp:revision>
  <cp:lastPrinted>2016-09-12T13:43:00Z</cp:lastPrinted>
  <dcterms:created xsi:type="dcterms:W3CDTF">2016-08-11T09:30:00Z</dcterms:created>
  <dcterms:modified xsi:type="dcterms:W3CDTF">2016-09-12T13:43:00Z</dcterms:modified>
</cp:coreProperties>
</file>