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2" w:after="534" w:line="224" w:lineRule="exact"/>
        <w:ind w:right="0" w:left="0" w:firstLine="0"/>
        <w:jc w:val="left"/>
        <w:textAlignment w:val="baseline"/>
        <w:rPr>
          <w:rFonts w:ascii="Arial" w:hAnsi="Arial" w:eastAsia="Arial"/>
          <w:b w:val="true"/>
          <w:color w:val="000000"/>
          <w:spacing w:val="0"/>
          <w:w w:val="100"/>
          <w:sz w:val="19"/>
          <w:vertAlign w:val="baseline"/>
          <w:lang w:val="cs-CZ"/>
        </w:rPr>
      </w:pPr>
      <w:r>
        <w:rPr>
          <w:rFonts w:ascii="Arial" w:hAnsi="Arial" w:eastAsia="Arial"/>
          <w:b w:val="true"/>
          <w:color w:val="000000"/>
          <w:spacing w:val="0"/>
          <w:w w:val="100"/>
          <w:sz w:val="19"/>
          <w:vertAlign w:val="baseline"/>
          <w:lang w:val="cs-CZ"/>
        </w:rPr>
        <w:t xml:space="preserve">VŠEOBECNÉ OBCHODNÍ A DODACÍ PODMÍNKY</w:t>
      </w:r>
    </w:p>
    <w:p>
      <w:pPr>
        <w:spacing w:before="12" w:after="534" w:line="224" w:lineRule="exact"/>
        <w:sectPr>
          <w:type w:val="nextPage"/>
          <w:pgSz w:w="11520" w:h="16488" w:orient="portrait"/>
          <w:pgMar w:bottom="683" w:top="180" w:right="418" w:left="922" w:header="720" w:footer="720"/>
          <w:titlePg w:val="false"/>
          <w:textDirection w:val="lrTb"/>
        </w:sectPr>
      </w:pPr>
    </w:p>
    <w:p>
      <w:pPr>
        <w:spacing w:before="80" w:after="0" w:line="173" w:lineRule="exact"/>
        <w:ind w:right="0" w:left="0" w:firstLine="0"/>
        <w:jc w:val="both"/>
        <w:textAlignment w:val="baseline"/>
        <w:rPr>
          <w:rFonts w:ascii="Arial" w:hAnsi="Arial" w:eastAsia="Arial"/>
          <w:b w:val="true"/>
          <w:color w:val="000000"/>
          <w:spacing w:val="0"/>
          <w:w w:val="100"/>
          <w:sz w:val="19"/>
          <w:vertAlign w:val="baseline"/>
          <w:lang w:val="cs-CZ"/>
        </w:rPr>
      </w:pPr>
      <w:r>
        <w:rPr>
          <w:rFonts w:ascii="Arial" w:hAnsi="Arial" w:eastAsia="Arial"/>
          <w:b w:val="true"/>
          <w:color w:val="000000"/>
          <w:spacing w:val="0"/>
          <w:w w:val="100"/>
          <w:sz w:val="19"/>
          <w:vertAlign w:val="baseline"/>
          <w:lang w:val="cs-CZ"/>
        </w:rPr>
        <w:t xml:space="preserve">1 </w:t>
      </w:r>
      <w:r>
        <w:rPr>
          <w:rFonts w:ascii="Arial" w:hAnsi="Arial" w:eastAsia="Arial"/>
          <w:color w:val="000000"/>
          <w:spacing w:val="0"/>
          <w:w w:val="100"/>
          <w:sz w:val="12"/>
          <w:vertAlign w:val="baseline"/>
          <w:lang w:val="cs-CZ"/>
        </w:rPr>
        <w:t xml:space="preserve">. Úvodní ustanoveni</w:t>
      </w:r>
    </w:p>
    <w:p>
      <w:pPr>
        <w:spacing w:before="0" w:after="0" w:line="170" w:lineRule="exact"/>
        <w:ind w:right="0" w:left="0" w:firstLine="0"/>
        <w:jc w:val="both"/>
        <w:textAlignment w:val="baseline"/>
        <w:rPr>
          <w:rFonts w:ascii="Arial" w:hAnsi="Arial" w:eastAsia="Arial"/>
          <w:color w:val="000000"/>
          <w:spacing w:val="1"/>
          <w:w w:val="100"/>
          <w:sz w:val="12"/>
          <w:vertAlign w:val="baseline"/>
          <w:lang w:val="cs-CZ"/>
        </w:rPr>
      </w:pPr>
      <w:r>
        <w:rPr>
          <w:rFonts w:ascii="Arial" w:hAnsi="Arial" w:eastAsia="Arial"/>
          <w:color w:val="000000"/>
          <w:spacing w:val="1"/>
          <w:w w:val="100"/>
          <w:sz w:val="12"/>
          <w:vertAlign w:val="baseline"/>
          <w:lang w:val="cs-CZ"/>
        </w:rPr>
        <w:t xml:space="preserve">Těmito všeobecnými obchodními a dodacími podmínkami (dále jen .podmínky`) vyhotovenými v souladu s ust. § 1751 odst. 1 zákona Č. 89/2012 Sb., občanského zákoníku (dále jen ..občanský </w:t>
      </w:r>
      <w:r>
        <w:rPr>
          <w:rFonts w:ascii="Arial" w:hAnsi="Arial" w:eastAsia="Arial"/>
          <w:b w:val="true"/>
          <w:color w:val="000000"/>
          <w:spacing w:val="1"/>
          <w:w w:val="100"/>
          <w:sz w:val="12"/>
          <w:vertAlign w:val="baseline"/>
          <w:lang w:val="cs-CZ"/>
        </w:rPr>
        <w:t xml:space="preserve">zákoník') </w:t>
      </w:r>
      <w:r>
        <w:rPr>
          <w:rFonts w:ascii="Arial" w:hAnsi="Arial" w:eastAsia="Arial"/>
          <w:color w:val="000000"/>
          <w:spacing w:val="1"/>
          <w:w w:val="100"/>
          <w:sz w:val="12"/>
          <w:vertAlign w:val="baseline"/>
          <w:lang w:val="cs-CZ"/>
        </w:rPr>
        <w:t xml:space="preserve">se </w:t>
      </w:r>
      <w:r>
        <w:rPr>
          <w:rFonts w:ascii="Arial" w:hAnsi="Arial" w:eastAsia="Arial"/>
          <w:i w:val="true"/>
          <w:color w:val="000000"/>
          <w:spacing w:val="1"/>
          <w:w w:val="100"/>
          <w:sz w:val="11"/>
          <w:vertAlign w:val="baseline"/>
          <w:lang w:val="cs-CZ"/>
        </w:rPr>
        <w:t xml:space="preserve">řídí </w:t>
      </w:r>
      <w:r>
        <w:rPr>
          <w:rFonts w:ascii="Arial" w:hAnsi="Arial" w:eastAsia="Arial"/>
          <w:color w:val="000000"/>
          <w:spacing w:val="1"/>
          <w:w w:val="100"/>
          <w:sz w:val="12"/>
          <w:vertAlign w:val="baseline"/>
          <w:lang w:val="cs-CZ"/>
        </w:rPr>
        <w:t xml:space="preserve">prodej výrobků a služeb (dále jen </w:t>
      </w:r>
      <w:r>
        <w:rPr>
          <w:rFonts w:ascii="Arial" w:hAnsi="Arial" w:eastAsia="Arial"/>
          <w:b w:val="true"/>
          <w:color w:val="000000"/>
          <w:spacing w:val="1"/>
          <w:w w:val="100"/>
          <w:sz w:val="12"/>
          <w:vertAlign w:val="baseline"/>
          <w:lang w:val="cs-CZ"/>
        </w:rPr>
        <w:t xml:space="preserve">_zboží') </w:t>
      </w:r>
      <w:r>
        <w:rPr>
          <w:rFonts w:ascii="Arial" w:hAnsi="Arial" w:eastAsia="Arial"/>
          <w:color w:val="000000"/>
          <w:spacing w:val="1"/>
          <w:w w:val="100"/>
          <w:sz w:val="12"/>
          <w:vertAlign w:val="baseline"/>
          <w:lang w:val="cs-CZ"/>
        </w:rPr>
        <w:t xml:space="preserve">prodávajícího. Všeobecné obchodní podmínky kupujícího se nepoužijí, Ustanovení těchto podmínek tvoří nedílnou součást kupní smlouvy uzavírané mezi prodávajícím a kupujícím. V připadá rozporu mezi podmínkami a textem kupní smlouvy rná přednost ujednáni obsažená v kupní smlouvě.</w:t>
      </w:r>
    </w:p>
    <w:p>
      <w:pPr>
        <w:numPr>
          <w:ilvl w:val="0"/>
          <w:numId w:val="1"/>
        </w:numPr>
        <w:tabs>
          <w:tab w:val="clear" w:pos="360"/>
          <w:tab w:val="left" w:pos="360"/>
        </w:tabs>
        <w:spacing w:before="272" w:after="0" w:line="136" w:lineRule="exact"/>
        <w:ind w:right="0" w:left="0" w:firstLine="0"/>
        <w:jc w:val="left"/>
        <w:textAlignment w:val="baseline"/>
        <w:rPr>
          <w:rFonts w:ascii="Arial" w:hAnsi="Arial" w:eastAsia="Arial"/>
          <w:b w:val="true"/>
          <w:color w:val="000000"/>
          <w:spacing w:val="-2"/>
          <w:w w:val="100"/>
          <w:sz w:val="12"/>
          <w:vertAlign w:val="baseline"/>
          <w:lang w:val="cs-CZ"/>
        </w:rPr>
      </w:pPr>
      <w:r>
        <w:rPr>
          <w:rFonts w:ascii="Arial" w:hAnsi="Arial" w:eastAsia="Arial"/>
          <w:b w:val="true"/>
          <w:color w:val="000000"/>
          <w:spacing w:val="-2"/>
          <w:w w:val="100"/>
          <w:sz w:val="12"/>
          <w:vertAlign w:val="baseline"/>
          <w:lang w:val="cs-CZ"/>
        </w:rPr>
        <w:t xml:space="preserve">Předmět piněni</w:t>
      </w:r>
    </w:p>
    <w:p>
      <w:pPr>
        <w:spacing w:before="46" w:after="0" w:line="136" w:lineRule="exact"/>
        <w:ind w:right="0" w:left="0" w:firstLine="0"/>
        <w:jc w:val="left"/>
        <w:textAlignment w:val="baseline"/>
        <w:rPr>
          <w:rFonts w:ascii="Arial" w:hAnsi="Arial" w:eastAsia="Arial"/>
          <w:color w:val="000000"/>
          <w:spacing w:val="0"/>
          <w:w w:val="100"/>
          <w:sz w:val="12"/>
          <w:vertAlign w:val="baseline"/>
          <w:lang w:val="cs-CZ"/>
        </w:rPr>
      </w:pPr>
      <w:r>
        <w:rPr>
          <w:rFonts w:ascii="Arial" w:hAnsi="Arial" w:eastAsia="Arial"/>
          <w:color w:val="000000"/>
          <w:spacing w:val="0"/>
          <w:w w:val="100"/>
          <w:sz w:val="12"/>
          <w:vertAlign w:val="baseline"/>
          <w:lang w:val="cs-CZ"/>
        </w:rPr>
        <w:t xml:space="preserve">Předmětem pinění je povinnost prodávajicího odevzdat kupujícímu zboží specifikované</w:t>
      </w:r>
    </w:p>
    <w:p>
      <w:pPr>
        <w:spacing w:before="0" w:after="0" w:line="172" w:lineRule="exact"/>
        <w:ind w:right="0" w:left="0" w:firstLine="0"/>
        <w:jc w:val="both"/>
        <w:textAlignment w:val="baseline"/>
        <w:rPr>
          <w:rFonts w:ascii="Arial" w:hAnsi="Arial" w:eastAsia="Arial"/>
          <w:color w:val="000000"/>
          <w:spacing w:val="1"/>
          <w:w w:val="100"/>
          <w:sz w:val="12"/>
          <w:vertAlign w:val="baseline"/>
          <w:lang w:val="cs-CZ"/>
        </w:rPr>
      </w:pPr>
      <w:r>
        <w:rPr>
          <w:rFonts w:ascii="Arial" w:hAnsi="Arial" w:eastAsia="Arial"/>
          <w:color w:val="000000"/>
          <w:spacing w:val="1"/>
          <w:w w:val="100"/>
          <w:sz w:val="12"/>
          <w:vertAlign w:val="baseline"/>
          <w:lang w:val="cs-CZ"/>
        </w:rPr>
        <w:t xml:space="preserve">v kupní smlouvě a umožnit mu nabýt k tomuto zbo₹í vlastnické právo a tornu odpovídající povinnost kupujícího zboží převzít a zaplatit za něj dohodnutou kupní cenu. Prodejem zboží se rozumí zejména prodej čerstvého betonu, písků a kameniva a souvisejících služeb jako je doprava, čerpání a vykládka zboží, přičemž přesná specifikace a množství zboží je předmětem ujednání v kupní smlouvě. Konečná specifikace zboží a vhodnost jeho použití pro zamýšlený účel je vždy odpovědností kupujicího (kupující je tzv. specifikátorem zboží), prodávající neodpovídá za vhodnost zboží k účelu, pro který je zboží dodáváno. Smluvní vztah se uskutečňuje na základě kupní smlouvy, přičemž za uzavření smlouvy se povaluje i prodej zboží na základě prokazatelné objednávky a dodávky zboží, doložené dodacím listem potvrzeným kupujícím, případně osobou, jel za kupujiciho v místě dodávky vystupuje a jedná.</w:t>
      </w:r>
    </w:p>
    <w:p>
      <w:pPr>
        <w:spacing w:before="5" w:after="0" w:line="173" w:lineRule="exact"/>
        <w:ind w:right="0" w:left="0" w:firstLine="0"/>
        <w:jc w:val="both"/>
        <w:textAlignment w:val="baseline"/>
        <w:rPr>
          <w:rFonts w:ascii="Arial" w:hAnsi="Arial" w:eastAsia="Arial"/>
          <w:color w:val="000000"/>
          <w:spacing w:val="1"/>
          <w:w w:val="100"/>
          <w:sz w:val="12"/>
          <w:vertAlign w:val="baseline"/>
          <w:lang w:val="cs-CZ"/>
        </w:rPr>
      </w:pPr>
      <w:r>
        <w:rPr>
          <w:rFonts w:ascii="Arial" w:hAnsi="Arial" w:eastAsia="Arial"/>
          <w:color w:val="000000"/>
          <w:spacing w:val="1"/>
          <w:w w:val="100"/>
          <w:sz w:val="12"/>
          <w:vertAlign w:val="baseline"/>
          <w:lang w:val="cs-CZ"/>
        </w:rPr>
        <w:t xml:space="preserve">V případě pochybností se má vždy za to, že osoba jednající za kupujícího je k tomu kupujícím oprávněna a zmocněna. Přijme-li kupující nabídku prodávajícího s jakýmkoli dodatkem či odchylkou, nejedná se o přijetí nabídky ze strany prodávajícího. Ustanovení § 1740 odst. 3 občanského zákoníku se nepoužije. V případě jednorázového prodeje a platbě kupní ceny v hotovosti je dokladem o ['Zavřené kupní smlouvě příslušný daňový doklad — faktura za hotové, na němí kupující potvrdí převzetí zboží. Prodávající si vyhrazuje právo odmítnout uzavřeni kupní smlouvy s kupujícím z jakéhokoli důvodu či bez udání důvodu.</w:t>
      </w:r>
    </w:p>
    <w:p>
      <w:pPr>
        <w:numPr>
          <w:ilvl w:val="0"/>
          <w:numId w:val="1"/>
        </w:numPr>
        <w:tabs>
          <w:tab w:val="clear" w:pos="360"/>
          <w:tab w:val="left" w:pos="360"/>
        </w:tabs>
        <w:spacing w:before="276" w:after="0" w:line="136" w:lineRule="exact"/>
        <w:ind w:right="0" w:left="0" w:firstLine="0"/>
        <w:jc w:val="left"/>
        <w:textAlignment w:val="baseline"/>
        <w:rPr>
          <w:rFonts w:ascii="Arial" w:hAnsi="Arial" w:eastAsia="Arial"/>
          <w:b w:val="true"/>
          <w:color w:val="000000"/>
          <w:spacing w:val="-2"/>
          <w:w w:val="100"/>
          <w:sz w:val="12"/>
          <w:vertAlign w:val="baseline"/>
          <w:lang w:val="cs-CZ"/>
        </w:rPr>
      </w:pPr>
      <w:r>
        <w:rPr>
          <w:rFonts w:ascii="Arial" w:hAnsi="Arial" w:eastAsia="Arial"/>
          <w:b w:val="true"/>
          <w:color w:val="000000"/>
          <w:spacing w:val="-2"/>
          <w:w w:val="100"/>
          <w:sz w:val="12"/>
          <w:vertAlign w:val="baseline"/>
          <w:lang w:val="cs-CZ"/>
        </w:rPr>
        <w:t xml:space="preserve">Dodaci podmínky</w:t>
      </w:r>
    </w:p>
    <w:p>
      <w:pPr>
        <w:spacing w:before="2" w:after="0" w:line="173" w:lineRule="exact"/>
        <w:ind w:right="0" w:left="0" w:firstLine="0"/>
        <w:jc w:val="both"/>
        <w:textAlignment w:val="baseline"/>
        <w:rPr>
          <w:rFonts w:ascii="Arial" w:hAnsi="Arial" w:eastAsia="Arial"/>
          <w:color w:val="000000"/>
          <w:spacing w:val="2"/>
          <w:w w:val="100"/>
          <w:sz w:val="12"/>
          <w:vertAlign w:val="baseline"/>
          <w:lang w:val="cs-CZ"/>
        </w:rPr>
      </w:pPr>
      <w:r>
        <w:rPr>
          <w:rFonts w:ascii="Arial" w:hAnsi="Arial" w:eastAsia="Arial"/>
          <w:color w:val="000000"/>
          <w:spacing w:val="2"/>
          <w:w w:val="100"/>
          <w:sz w:val="12"/>
          <w:vertAlign w:val="baseline"/>
          <w:lang w:val="cs-CZ"/>
        </w:rPr>
        <w:t xml:space="preserve">Požadavek na dodávku zboží je kupující povinen oznámit prodávajícimu nejpozději dva dny před uskutečněním dodávky, a to buďto písemně, elektronicky nebo telefonicky. Kupující bere na vědomi, že v případě objednávky souvisejících služeb (např. doprava, čerpáni, apod.) jsou sjednané časy orientační a závisí na aktuálním vytíženi vozidel, dopravní situaci, povětrnostních podmínkách, apod. Místem pinění je příslušná provozovna prodávajícího, pokud není sjednáno jinak. V případě objednávky zbo₹í mimo běžnou pracovní dobu prodávajicího jsou uskutečňovány dodávky zboží po vzájemné dohodě a kupujícímu jsou účtovány příplatky dle aktuálního ceníku prodávajiciho. Ke každé dodávce zboží vystaví prodávající dodací list obsahující náležitosti dle příslušných právních předpisů. Dodací list je kupující nebo osoba za kupujicího v místě piněni vystupující povinna podepsat a potvrdit tak uskutečněni dodávky objednaného zbo₹i a tim zboží převzít. Převzetím zboží přechází na kupujiciho nebezpečí vzniku škody na zboží. Odmítne-li kupujici dodací list podepsat a zboží převzít, případně neni-li v místě pinění osoba vystupující za kupujicího přítomna, je prodávající oprávněn odmítnou předáni zboží. Kupující je odpovědný za škodu tim prodávajícímu vzniklou. Odmítne-li kupující převzít zboží v místě pinění z důvodu vady zboží. je kupující povinen na dodací list specifikovat konkrétní charakter vad a způsob, jakým je zjistil. V případě odmítnutí převzetí zboží z důvodu vadných technických vlastnosti (hodnota konzistence, obsah vzduchu apod.) je kupující povinen uvést na dodací list hodnoty vlastnosti lišících se od deklarovaných a způsob, jakým byly zjištěny. Kupujici je oprávněn zrušit objednávku zboží nejpozději do konce pracovní doby dne předcházejícího dni, ve kterém má být dodávka uskutečněna. V případě pozdějšího zrušeni objednávky či v případě nepřevzetí objednaného zboží je kupující povinen uhradit prodávajícímu smluvní pokutu ve výši hodnoty dodávaného zboží, náklady na likvidaci neodebraného zboží a každé další náklady, které tím prodávajicímu vzniknou (např. náklady na převoz čerpadla apod.). V případě. že místem piněni je provozovna prodávajiciho, ₹e kupující povinen pfistavit k přepravě zboží vhodný a čistý dopravní prostředek. V opačném případě je prodávající oprávněn odmítnout dodávku zboží. Řidiči kupujícího jsou povinni dodržovat pravidla BOZP a pravidla fungování provozu prodávajícího a respektovat pokyny zaměstnanců prodávajiciho. V připadá, že místem pinění je místo odlišné od provozovny prodávajícího, je kupující povinen zajistit případná povolení a souhlasy k dopravě a vykládce zboží </w:t>
      </w:r>
      <w:r>
        <w:rPr>
          <w:rFonts w:ascii="Arial" w:hAnsi="Arial" w:eastAsia="Arial"/>
          <w:b w:val="true"/>
          <w:color w:val="000000"/>
          <w:spacing w:val="2"/>
          <w:w w:val="100"/>
          <w:sz w:val="12"/>
          <w:vertAlign w:val="baseline"/>
          <w:lang w:val="cs-CZ"/>
        </w:rPr>
        <w:t xml:space="preserve">ff</w:t>
      </w:r>
      <w:r>
        <w:rPr>
          <w:rFonts w:ascii="Arial" w:hAnsi="Arial" w:eastAsia="Arial"/>
          <w:b w:val="true"/>
          <w:color w:val="000000"/>
          <w:spacing w:val="2"/>
          <w:w w:val="100"/>
          <w:sz w:val="12"/>
          <w:vertAlign w:val="superscript"/>
          <w:lang w:val="cs-CZ"/>
        </w:rPr>
        <w:t xml:space="preserve">.</w:t>
      </w:r>
      <w:r>
        <w:rPr>
          <w:rFonts w:ascii="Arial" w:hAnsi="Arial" w:eastAsia="Arial"/>
          <w:color w:val="000000"/>
          <w:spacing w:val="2"/>
          <w:w w:val="100"/>
          <w:sz w:val="12"/>
          <w:vertAlign w:val="baseline"/>
          <w:lang w:val="cs-CZ"/>
        </w:rPr>
        <w:t xml:space="preserve"> současně lje povinen technicky zabezpečit místo vykládky tak, aby bylo možné vykládku provést (např. zajistit vhodnou přístupovou komunikaci, prostor pro manipulaci a otáčeni vozidla, místo pro očištění vozidla po vykládce. apod.). Kupujici prohlašuje, že převzal od prodávajiciho písemné instrukce o nebezpečí a rizicich ve vztahu k bezpečnosti a ochraně osob při pinění na základě kupní smlouvy a zavazuje se s těmito seznámit i seznámit své zaměstnance a zásadami BOZP se řídit.</w:t>
      </w:r>
    </w:p>
    <w:p>
      <w:pPr>
        <w:numPr>
          <w:ilvl w:val="0"/>
          <w:numId w:val="1"/>
        </w:numPr>
        <w:tabs>
          <w:tab w:val="clear" w:pos="360"/>
          <w:tab w:val="left" w:pos="360"/>
        </w:tabs>
        <w:spacing w:before="343" w:after="0" w:line="136" w:lineRule="exact"/>
        <w:ind w:right="0" w:left="0" w:firstLine="0"/>
        <w:jc w:val="left"/>
        <w:textAlignment w:val="baseline"/>
        <w:rPr>
          <w:rFonts w:ascii="Arial" w:hAnsi="Arial" w:eastAsia="Arial"/>
          <w:b w:val="true"/>
          <w:color w:val="000000"/>
          <w:spacing w:val="-1"/>
          <w:w w:val="100"/>
          <w:sz w:val="12"/>
          <w:vertAlign w:val="baseline"/>
          <w:lang w:val="cs-CZ"/>
        </w:rPr>
      </w:pPr>
      <w:r>
        <w:rPr>
          <w:rFonts w:ascii="Arial" w:hAnsi="Arial" w:eastAsia="Arial"/>
          <w:b w:val="true"/>
          <w:color w:val="000000"/>
          <w:spacing w:val="-1"/>
          <w:w w:val="100"/>
          <w:sz w:val="12"/>
          <w:vertAlign w:val="baseline"/>
          <w:lang w:val="cs-CZ"/>
        </w:rPr>
        <w:t xml:space="preserve">Jakost zboží, odpovědnost za vady, reklamace</w:t>
      </w:r>
    </w:p>
    <w:p>
      <w:pPr>
        <w:spacing w:before="0" w:after="0" w:line="171" w:lineRule="exact"/>
        <w:ind w:right="0" w:left="0" w:firstLine="0"/>
        <w:jc w:val="both"/>
        <w:textAlignment w:val="baseline"/>
        <w:rPr>
          <w:rFonts w:ascii="Arial" w:hAnsi="Arial" w:eastAsia="Arial"/>
          <w:color w:val="000000"/>
          <w:spacing w:val="0"/>
          <w:w w:val="100"/>
          <w:sz w:val="12"/>
          <w:vertAlign w:val="baseline"/>
          <w:lang w:val="cs-CZ"/>
        </w:rPr>
      </w:pPr>
      <w:r>
        <w:rPr>
          <w:rFonts w:ascii="Arial" w:hAnsi="Arial" w:eastAsia="Arial"/>
          <w:color w:val="000000"/>
          <w:spacing w:val="0"/>
          <w:w w:val="100"/>
          <w:sz w:val="12"/>
          <w:vertAlign w:val="baseline"/>
          <w:lang w:val="cs-CZ"/>
        </w:rPr>
        <w:t xml:space="preserve">Prodávající prohlašuje, že zboží má vlastnosti požadované příslušnými normami. Prodávající upozorňuje kupujícího, že zboží může obsahovat dráždivé látky ve smyslu zákona č, 350/2011 Sb. Prodávající dále prohlašuje, že na zbo₹í provádí kontrolu shody a jakosti v souladu s ustanoveními příslušných technických norem. Kontrolu na stavbě si zajišťuje kupující. Vzorky sloužící ke kontrole shody musí být prokazatelné odebrány, ošetřovány a zkoušeny v souladu s platnými ustanoveními příslušných ČSN nebo jiných platných technických norem. Odpovědnost prodávajícího za vady zboží a příslušná práva kupujícího z vadného pinění se řídí příslušnými právními předpisy. Prodávající </w:t>
      </w:r>
    </w:p>
    <w:p>
      <w:pPr>
        <w:spacing w:before="3" w:after="0" w:line="173" w:lineRule="exact"/>
        <w:ind w:right="0" w:left="0" w:firstLine="0"/>
        <w:jc w:val="both"/>
        <w:textAlignment w:val="baseline"/>
        <w:rPr>
          <w:rFonts w:ascii="Arial" w:hAnsi="Arial" w:eastAsia="Arial"/>
          <w:color w:val="000000"/>
          <w:spacing w:val="1"/>
          <w:w w:val="100"/>
          <w:sz w:val="12"/>
          <w:vertAlign w:val="baseline"/>
          <w:lang w:val="cs-CZ"/>
        </w:rPr>
      </w:pPr>
      <w:r>
        <w:br w:type="column"/>
      </w:r>
      <w:r>
        <w:rPr>
          <w:rFonts w:ascii="Arial" w:hAnsi="Arial" w:eastAsia="Arial"/>
          <w:color w:val="000000"/>
          <w:spacing w:val="1"/>
          <w:w w:val="100"/>
          <w:sz w:val="12"/>
          <w:vertAlign w:val="baseline"/>
          <w:lang w:val="cs-CZ"/>
        </w:rPr>
        <w:t xml:space="preserve">výslovně upozorňuje kupujicího, ₹e přimíchání jakékoli příměsi či přísady do dodávaného zboží (např. drátky, vlákna, pigmenty, apod.) mají zásadní vliv na vlastnosti zboží. V případě, ₹e na žádost kupujícího hude do zboží přidána jakákoli přísada </w:t>
      </w:r>
      <w:r>
        <w:rPr>
          <w:rFonts w:ascii="Arial" w:hAnsi="Arial" w:eastAsia="Arial"/>
          <w:color w:val="000000"/>
          <w:spacing w:val="1"/>
          <w:w w:val="100"/>
          <w:sz w:val="11"/>
          <w:vertAlign w:val="baseline"/>
          <w:lang w:val="cs-CZ"/>
        </w:rPr>
        <w:t xml:space="preserve">či </w:t>
      </w:r>
      <w:r>
        <w:rPr>
          <w:rFonts w:ascii="Arial" w:hAnsi="Arial" w:eastAsia="Arial"/>
          <w:color w:val="000000"/>
          <w:spacing w:val="1"/>
          <w:w w:val="100"/>
          <w:sz w:val="12"/>
          <w:vertAlign w:val="baseline"/>
          <w:lang w:val="cs-CZ"/>
        </w:rPr>
        <w:t xml:space="preserve">příměs na rámec původní receptury, kupujícímu nevznikají práva z vad zboží, ledaže kupující prokáže, ₹e vady byly způsobeny výlučně porušením povinnosti prodávajícího při výrobě zbo₹f. Kupujícímu práva z vadného pinění nevznikají dále v následujících případech: (i) kupující nezajisti v místě pinění řádné a včasné převzetí zboží; (ii) kupující nezajisti bezprostřední a kvalitní uložení, zpracováni a ošetřeni zboží; (iii) kupujici nesprávně manipuluje se zbožím při jeho ukládáni či zpracováni; (ty) kupujici či třetí osoba jakkoli zasáhne do zboží vyrobeného prodávajícím např. přidánim vody, přísad, příměsí, vláken nebo jakéhokoliv materiálu, který změní složeni a tím i vlastnosti vyrobeného zboží; (v) zboží bylo vyrobeno na žádost kupujícího dle jím dodané receptury; (vi) kupujícím bylo objednáno nevhodné či v rozporu s podmínkami pro jeho užití; (vii) prodávající nezajišťuje přepravu zboží na místo jeho bezprostředního uloženi; (viii) dojde v místě uložení ke smísení dodávek zboží od různých dodavatelů nebo různé kvality nebo různého složení; (ix) kupující nezajisti správné uložení a ošetřování zboží po dobu nezbytně nutnou v souladu s požadavky platných technických norem. Kupujici musí bez odkladu prověřit bezvadnost dodávky. Ust. § 2119 odst. 1 občanského zákoníku se neužije. Zjevné vady, nesprávnosti v počtu či záměny zbo₹í je kupující povinen bez odkladu dokumentovatelně ohlásit, v každém případě však ještě před zabudováním, smícháním nebo zpracováním zboží. Veškeré reklamace musí být uplatňovány písemné, a to neprodleně poté, kdy byly kupujícím zjištěny. Kupujici je povinen pňzvat prodávajícího k zjišťování rozsahu reklamace nebo k případnému odběru vzorků. Kupující nesmí reklamované nebo zjevně vadné zboží použit. Uplatněni reklamace nezbavuje kupujicího povinnost k zaplaceni celé kupní ceny dodaného zboží. Ustanoveni § 2108 občanského zákoníku se neužije. Vznikne-li dodáním vadného zboží kupujícímu škoda, kterou kupující řádně prokáže a prokáže-li se i porušení povinnosti prodávajícího a příčinná souvislost, má kupující nárok pouze na náhradu skutečné škody a nikoliv další případné nároky (např. ušlý zisk, úroky z prodlení, majetkové sankce jako penále, smluvní pokuty apod.), kterých se kupující uzavřením kupní smlouvy neodvolatelně vzdává. Vzniknou-li kupujícímu vůči prodávajícímu jakékoliv pohledávky z titulu uplatněné odpovědnosti za vady či z jiného důvodu, kupující není oprávněn tyto pohledávky postoupit třetí osobě ani započíst vůči kupni ceně bez předchozího písemného souhlasu prodávajicího.</w:t>
      </w:r>
    </w:p>
    <w:p>
      <w:pPr>
        <w:numPr>
          <w:ilvl w:val="0"/>
          <w:numId w:val="1"/>
        </w:numPr>
        <w:tabs>
          <w:tab w:val="clear" w:pos="288"/>
          <w:tab w:val="left" w:pos="288"/>
        </w:tabs>
        <w:spacing w:before="272" w:after="0" w:line="136" w:lineRule="exact"/>
        <w:ind w:right="0" w:left="0" w:firstLine="0"/>
        <w:jc w:val="left"/>
        <w:textAlignment w:val="baseline"/>
        <w:rPr>
          <w:rFonts w:ascii="Arial" w:hAnsi="Arial" w:eastAsia="Arial"/>
          <w:b w:val="true"/>
          <w:color w:val="000000"/>
          <w:spacing w:val="0"/>
          <w:w w:val="100"/>
          <w:sz w:val="12"/>
          <w:vertAlign w:val="baseline"/>
          <w:lang w:val="cs-CZ"/>
        </w:rPr>
      </w:pPr>
      <w:r>
        <w:rPr>
          <w:rFonts w:ascii="Arial" w:hAnsi="Arial" w:eastAsia="Arial"/>
          <w:b w:val="true"/>
          <w:color w:val="000000"/>
          <w:spacing w:val="0"/>
          <w:w w:val="100"/>
          <w:sz w:val="12"/>
          <w:vertAlign w:val="baseline"/>
          <w:lang w:val="cs-CZ"/>
        </w:rPr>
        <w:t xml:space="preserve">Kupní cena a platební podmínky</w:t>
      </w:r>
    </w:p>
    <w:p>
      <w:pPr>
        <w:spacing w:before="4" w:after="0" w:line="173" w:lineRule="exact"/>
        <w:ind w:right="0" w:left="0" w:firstLine="0"/>
        <w:jc w:val="both"/>
        <w:textAlignment w:val="baseline"/>
        <w:rPr>
          <w:rFonts w:ascii="Arial" w:hAnsi="Arial" w:eastAsia="Arial"/>
          <w:color w:val="000000"/>
          <w:spacing w:val="1"/>
          <w:w w:val="100"/>
          <w:sz w:val="12"/>
          <w:vertAlign w:val="baseline"/>
          <w:lang w:val="cs-CZ"/>
        </w:rPr>
      </w:pPr>
      <w:r>
        <w:rPr>
          <w:rFonts w:ascii="Arial" w:hAnsi="Arial" w:eastAsia="Arial"/>
          <w:color w:val="000000"/>
          <w:spacing w:val="1"/>
          <w:w w:val="100"/>
          <w:sz w:val="12"/>
          <w:vertAlign w:val="baseline"/>
          <w:lang w:val="cs-CZ"/>
        </w:rPr>
        <w:t xml:space="preserve">Kupní cena je smluvní. Pokud není v kupní smlouvě stanoveno jinak, rozumí se kupní cenou cena uvedená v aktuálním ceníku prodávajicího. Ke kupni ceně je účtována zákonné DPH. Kupní cena je hrazena v hotovosti pň převzetí zboží, případně na základě faktury vystavené prodávajícím. Prodávající je oprávněn vystavovat faktury průběžně v průběhu jednotlivých dodávek. Faktury jsou splatné ve lhůtě uvedené na příslušné faktuře. V případě prodlení kupujícího se zaplacením kupní ceny či jiné úplaty je prodávající oprávněn po kupujícím požadovat zaplacení úroků z prodlení ve sjednané výši 18 % z dlužné částky ročně. Řádným a včasným zaplacením se rozumí připsání příslušné částky ve prospěch účtu prodávajícího. V případě prodleni kupujicího s úhradou kupní ceny je prodávající oprávněn požadovat zaplacení smluvní pokuty ve výši 0,3% z dlužné částky za každý den prodlení. V případě prodlení kupujícího s platbou kupní ceny delší než 10 dnů je prodávající oprávněn od kupní smlouvy odstoupit. Neuplatni se ust. § 1978 odst. 2 občanského zákoniku. Kupující je povinen nahradit prodávajícímu veškeré náklady spojené s vymáháním a uplatněním pohledávky prodávajícího na zaplacení dlužné kupní ceny, včetně nákladů na odměnu třetí osoby, která na základě smluvniho vztahu bude pohledávku pro prodávajicího vymáhat, nákladů soudních řízení, nákladů na právní zastoupení apod. Prodávající je v jednotlivých případech oprávněn dodávky uskutečňovat pouze proti platbě v hotovosti popřípadě na základě zálohové platby. Nezapiati-li kupující kupní cenu v termínu její splatnosti a tím vznikne splatná pohledávka prodávajicího za kupujícím, může prodávající s touto pohledávkou volné nakládat, zejména ji postoupit jiné osobě, započíst, zastavit ji apod. Vlastnické právo k prodávanému zboží kupující nabývá až úpiným zaplacením celé kupní ceny. Vstoupl-ii kupující do likvidace, bude-!i na jeho majetek zahájena exekuce nebo bude-li ohledně kupujícího zahájeno insolvenční řízení, má prodávající právo odmítnout dodávku zboží, požadovat zálohové platby. případně od kupní smlouvy odstoupit.</w:t>
      </w:r>
    </w:p>
    <w:p>
      <w:pPr>
        <w:numPr>
          <w:ilvl w:val="0"/>
          <w:numId w:val="1"/>
        </w:numPr>
        <w:tabs>
          <w:tab w:val="clear" w:pos="288"/>
          <w:tab w:val="left" w:pos="288"/>
        </w:tabs>
        <w:spacing w:before="272" w:after="0" w:line="136" w:lineRule="exact"/>
        <w:ind w:right="0" w:left="0" w:firstLine="0"/>
        <w:jc w:val="left"/>
        <w:textAlignment w:val="baseline"/>
        <w:rPr>
          <w:rFonts w:ascii="Arial" w:hAnsi="Arial" w:eastAsia="Arial"/>
          <w:b w:val="true"/>
          <w:color w:val="000000"/>
          <w:spacing w:val="0"/>
          <w:w w:val="100"/>
          <w:sz w:val="12"/>
          <w:vertAlign w:val="baseline"/>
          <w:lang w:val="cs-CZ"/>
        </w:rPr>
      </w:pPr>
      <w:r>
        <w:rPr>
          <w:rFonts w:ascii="Arial" w:hAnsi="Arial" w:eastAsia="Arial"/>
          <w:b w:val="true"/>
          <w:color w:val="000000"/>
          <w:spacing w:val="0"/>
          <w:w w:val="100"/>
          <w:sz w:val="12"/>
          <w:vertAlign w:val="baseline"/>
          <w:lang w:val="cs-CZ"/>
        </w:rPr>
        <w:t xml:space="preserve">Ostatní ustanovení</w:t>
      </w:r>
    </w:p>
    <w:p>
      <w:pPr>
        <w:spacing w:before="8" w:after="0" w:line="173" w:lineRule="exact"/>
        <w:ind w:right="0" w:left="0" w:firstLine="0"/>
        <w:jc w:val="both"/>
        <w:textAlignment w:val="baseline"/>
        <w:rPr>
          <w:rFonts w:ascii="Arial" w:hAnsi="Arial" w:eastAsia="Arial"/>
          <w:color w:val="000000"/>
          <w:spacing w:val="0"/>
          <w:w w:val="100"/>
          <w:sz w:val="12"/>
          <w:vertAlign w:val="baseline"/>
          <w:lang w:val="cs-CZ"/>
        </w:rPr>
      </w:pPr>
      <w:r>
        <w:rPr>
          <w:rFonts w:ascii="Arial" w:hAnsi="Arial" w:eastAsia="Arial"/>
          <w:color w:val="000000"/>
          <w:spacing w:val="0"/>
          <w:w w:val="100"/>
          <w:sz w:val="12"/>
          <w:vertAlign w:val="baseline"/>
          <w:lang w:val="cs-CZ"/>
        </w:rPr>
        <w:t xml:space="preserve">Pokud by se stala jednotlivá ustanovení těchto podmínek neúčinnými či neplatnými, nedotýká se toto účinnosti či platnosti případné smlouvy či ostatních platných a účinných ustanovení těchto podmínek. Je-li kupujícím spotřebitel, má právo na mimosoudní řešení spotřebitelského sporu z kupní smlouvy v souladu se zákonem č. 634/1992 Sb.. o ochraně spotřebitele. Subjektem mimosoudního řešení takovéhoto spotřebitelského sporu Je česká obchodní inspekce </w:t>
      </w:r>
      <w:r>
        <w:rPr>
          <w:rFonts w:ascii="Arial" w:hAnsi="Arial" w:eastAsia="Arial"/>
          <w:color w:val="000000"/>
          <w:spacing w:val="0"/>
          <w:w w:val="100"/>
          <w:sz w:val="12"/>
          <w:u w:val="single"/>
          <w:vertAlign w:val="baseline"/>
          <w:lang w:val="cs-CZ"/>
        </w:rPr>
        <w:t xml:space="preserve">(</w:t>
      </w:r>
      <w:hyperlink r:id="dhId1">
        <w:r>
          <w:rPr>
            <w:rFonts w:ascii="Arial" w:hAnsi="Arial" w:eastAsia="Arial"/>
            <w:color w:val="0000FF"/>
            <w:spacing w:val="0"/>
            <w:w w:val="100"/>
            <w:sz w:val="12"/>
            <w:u w:val="single"/>
            <w:vertAlign w:val="baseline"/>
            <w:lang w:val="cs-CZ"/>
          </w:rPr>
          <w:t xml:space="preserve">www.coi.cz</w:t>
        </w:r>
      </w:hyperlink>
      <w:r>
        <w:rPr>
          <w:rFonts w:ascii="Arial" w:hAnsi="Arial" w:eastAsia="Arial"/>
          <w:color w:val="000000"/>
          <w:spacing w:val="0"/>
          <w:w w:val="100"/>
          <w:sz w:val="12"/>
          <w:u w:val="single"/>
          <w:vertAlign w:val="baseline"/>
          <w:lang w:val="cs-CZ"/>
        </w:rPr>
        <w:t xml:space="preserve">).</w:t>
      </w:r>
      <w:r>
        <w:rPr>
          <w:rFonts w:ascii="Arial" w:hAnsi="Arial" w:eastAsia="Arial"/>
          <w:color w:val="000000"/>
          <w:spacing w:val="0"/>
          <w:w w:val="100"/>
          <w:sz w:val="12"/>
          <w:vertAlign w:val="baseline"/>
          <w:lang w:val="cs-CZ"/>
        </w:rPr>
        <w:t xml:space="preserve"> Kupující souhlasí se zpracováním osobních údajů prodávajícím za účelem vzájemného obchodního vztahu a nabízení služeb prodávajícího a výslovné souhlasí s tím, že bude-li kupujici v prodleni s jakoukoli platbou, je prodávající oprávněn tyto údaje předat třetí osobě za účelem vymáháni pohledávky a dáte souhlasí s tim, že v případě, že bude zboží dodáváno pomoci subdodavatele, je prodávající oprávněn tyto údaje předat subdodavateli</w:t>
      </w:r>
    </w:p>
    <w:p>
      <w:pPr>
        <w:numPr>
          <w:ilvl w:val="0"/>
          <w:numId w:val="1"/>
        </w:numPr>
        <w:tabs>
          <w:tab w:val="clear" w:pos="288"/>
          <w:tab w:val="left" w:pos="288"/>
        </w:tabs>
        <w:spacing w:before="272" w:after="0" w:line="136" w:lineRule="exact"/>
        <w:ind w:right="0" w:left="0" w:firstLine="0"/>
        <w:jc w:val="left"/>
        <w:textAlignment w:val="baseline"/>
        <w:rPr>
          <w:rFonts w:ascii="Arial" w:hAnsi="Arial" w:eastAsia="Arial"/>
          <w:b w:val="true"/>
          <w:color w:val="000000"/>
          <w:spacing w:val="0"/>
          <w:w w:val="100"/>
          <w:sz w:val="12"/>
          <w:vertAlign w:val="baseline"/>
          <w:lang w:val="cs-CZ"/>
        </w:rPr>
      </w:pPr>
      <w:r>
        <w:rPr>
          <w:rFonts w:ascii="Arial" w:hAnsi="Arial" w:eastAsia="Arial"/>
          <w:b w:val="true"/>
          <w:color w:val="000000"/>
          <w:spacing w:val="0"/>
          <w:w w:val="100"/>
          <w:sz w:val="12"/>
          <w:vertAlign w:val="baseline"/>
          <w:lang w:val="cs-CZ"/>
        </w:rPr>
        <w:t xml:space="preserve">Závěrečná ustanoveni</w:t>
      </w:r>
    </w:p>
    <w:p>
      <w:pPr>
        <w:spacing w:before="0" w:after="0" w:line="172" w:lineRule="exact"/>
        <w:ind w:right="0" w:left="0" w:firstLine="0"/>
        <w:jc w:val="both"/>
        <w:textAlignment w:val="baseline"/>
        <w:rPr>
          <w:rFonts w:ascii="Arial" w:hAnsi="Arial" w:eastAsia="Arial"/>
          <w:color w:val="000000"/>
          <w:spacing w:val="2"/>
          <w:w w:val="100"/>
          <w:sz w:val="12"/>
          <w:vertAlign w:val="baseline"/>
          <w:lang w:val="cs-CZ"/>
        </w:rPr>
      </w:pPr>
      <w:r>
        <w:rPr>
          <w:rFonts w:ascii="Arial" w:hAnsi="Arial" w:eastAsia="Arial"/>
          <w:color w:val="000000"/>
          <w:spacing w:val="2"/>
          <w:w w:val="100"/>
          <w:sz w:val="12"/>
          <w:vertAlign w:val="baseline"/>
          <w:lang w:val="cs-CZ"/>
        </w:rPr>
        <w:t xml:space="preserve">Tyto podmínky jsou platné a účinné od 1. ledna 2019 a platí do data, ve kterém vstoupí v platnost nové podmínky tyto podmínky nahrazující. Účastnici prohlašuji, že kupní smlouvu uzavřeli svobodně, vážně a bez nátlaku, a že jeji obsah odpovídá jejich svobodné a pravé vůli. Na důkaz toho pňpo' 0› sv</w:t>
      </w:r>
    </w:p>
    <w:p>
      <w:pPr>
        <w:spacing w:before="154" w:after="0" w:line="82" w:lineRule="exact"/>
        <w:ind w:right="0" w:left="0" w:firstLine="0"/>
        <w:jc w:val="center"/>
        <w:textAlignment w:val="baseline"/>
        <w:rPr>
          <w:rFonts w:ascii="Arial" w:hAnsi="Arial" w:eastAsia="Arial"/>
          <w:color w:val="000000"/>
          <w:spacing w:val="0"/>
          <w:w w:val="100"/>
          <w:sz w:val="6"/>
          <w:vertAlign w:val="baseline"/>
          <w:lang w:val="cs-CZ"/>
        </w:rPr>
      </w:pPr>
      <w:r>
        <w:rPr>
          <w:rFonts w:ascii="Arial" w:hAnsi="Arial" w:eastAsia="Arial"/>
          <w:color w:val="000000"/>
          <w:spacing w:val="0"/>
          <w:w w:val="100"/>
          <w:sz w:val="6"/>
          <w:vertAlign w:val="baseline"/>
          <w:lang w:val="cs-CZ"/>
        </w:rPr>
        <w:t xml:space="preserve">,</w:t>
      </w:r>
    </w:p>
    <w:sectPr>
      <w:type w:val="continuous"/>
      <w:pgSz w:w="11520" w:h="16488" w:orient="portrait"/>
      <w:pgMar w:bottom="683" w:top="180" w:right="418" w:left="922" w:header="720" w:footer="720"/>
      <w:cols w:sep="0" w:num="2" w:space="0" w:equalWidth="0">
        <w:col w:w="4752" w:space="676"/>
        <w:col w:w="4752"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2"/>
      <w:numFmt w:val="decimal"/>
      <w:lvlText w:val="%1."/>
      <w:pPr>
        <w:tabs>
          <w:tab w:val="left" w:pos="360"/>
        </w:tabs>
      </w:pPr>
      <w:rPr>
        <w:rFonts w:ascii="Arial" w:hAnsi="Arial" w:eastAsia="Arial"/>
        <w:b w:val="true"/>
        <w:color w:val="000000"/>
        <w:spacing w:val="-2"/>
        <w:w w:val="100"/>
        <w:sz w:val="12"/>
        <w:vertAlign w:val="baseline"/>
        <w:lang w:val="cs-CZ"/>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coi.cz"/><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2024-04-04T09:30:12Z</dcterms:created>
  <dcterms:modified xsi:type="dcterms:W3CDTF">2024-04-04T09:30:12Z</dcterms:modified>
</cp:coreProperties>
</file>