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7221300416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Sobůlky</w:t>
      </w:r>
    </w:p>
    <w:p>
      <w:pPr>
        <w:pStyle w:val="BodyText"/>
        <w:tabs>
          <w:tab w:pos="2982" w:val="left" w:leader="none"/>
        </w:tabs>
        <w:ind w:left="102" w:right="1772"/>
      </w:pPr>
      <w:r>
        <w:rPr/>
        <w:t>kontaktní adresa:</w:t>
        <w:tab/>
        <w:t>Obecní</w:t>
      </w:r>
      <w:r>
        <w:rPr>
          <w:spacing w:val="-6"/>
        </w:rPr>
        <w:t> </w:t>
      </w:r>
      <w:r>
        <w:rPr/>
        <w:t>úřad</w:t>
      </w:r>
      <w:r>
        <w:rPr>
          <w:spacing w:val="-6"/>
        </w:rPr>
        <w:t> </w:t>
      </w:r>
      <w:r>
        <w:rPr/>
        <w:t>Sobůlky,</w:t>
      </w:r>
      <w:r>
        <w:rPr>
          <w:spacing w:val="-6"/>
        </w:rPr>
        <w:t> </w:t>
      </w:r>
      <w:r>
        <w:rPr/>
        <w:t>Sobůlky</w:t>
      </w:r>
      <w:r>
        <w:rPr>
          <w:spacing w:val="-4"/>
        </w:rPr>
        <w:t> </w:t>
      </w:r>
      <w:r>
        <w:rPr/>
        <w:t>č.</w:t>
      </w:r>
      <w:r>
        <w:rPr>
          <w:spacing w:val="-5"/>
        </w:rPr>
        <w:t> </w:t>
      </w:r>
      <w:r>
        <w:rPr/>
        <w:t>p.</w:t>
      </w:r>
      <w:r>
        <w:rPr>
          <w:spacing w:val="-5"/>
        </w:rPr>
        <w:t> </w:t>
      </w:r>
      <w:r>
        <w:rPr/>
        <w:t>105,</w:t>
      </w:r>
      <w:r>
        <w:rPr>
          <w:spacing w:val="-6"/>
        </w:rPr>
        <w:t> </w:t>
      </w:r>
      <w:r>
        <w:rPr/>
        <w:t>696</w:t>
      </w:r>
      <w:r>
        <w:rPr>
          <w:spacing w:val="-4"/>
        </w:rPr>
        <w:t> </w:t>
      </w:r>
      <w:r>
        <w:rPr/>
        <w:t>40</w:t>
      </w:r>
      <w:r>
        <w:rPr>
          <w:spacing w:val="-4"/>
        </w:rPr>
        <w:t> </w:t>
      </w:r>
      <w:r>
        <w:rPr/>
        <w:t>Sobůlky </w:t>
      </w:r>
      <w:r>
        <w:rPr>
          <w:spacing w:val="-4"/>
        </w:rPr>
        <w:t>IČO:</w:t>
      </w:r>
      <w:r>
        <w:rPr/>
        <w:tab/>
      </w:r>
      <w:r>
        <w:rPr>
          <w:spacing w:val="-2"/>
        </w:rPr>
        <w:t>00285285</w:t>
      </w:r>
    </w:p>
    <w:p>
      <w:pPr>
        <w:pStyle w:val="BodyText"/>
        <w:tabs>
          <w:tab w:pos="2982" w:val="left" w:leader="none"/>
        </w:tabs>
        <w:spacing w:line="265" w:lineRule="exact"/>
        <w:ind w:left="102"/>
      </w:pPr>
      <w:r>
        <w:rPr>
          <w:spacing w:val="-2"/>
        </w:rPr>
        <w:t>zastoupená:</w:t>
      </w:r>
      <w:r>
        <w:rPr/>
        <w:tab/>
        <w:t>Františkem</w:t>
      </w:r>
      <w:r>
        <w:rPr>
          <w:spacing w:val="-4"/>
        </w:rPr>
        <w:t> </w:t>
      </w:r>
      <w:r>
        <w:rPr/>
        <w:t>S</w:t>
      </w:r>
      <w:r>
        <w:rPr>
          <w:spacing w:val="-2"/>
        </w:rPr>
        <w:t> </w:t>
      </w:r>
      <w:r>
        <w:rPr/>
        <w:t>v</w:t>
      </w:r>
      <w:r>
        <w:rPr>
          <w:spacing w:val="-1"/>
        </w:rPr>
        <w:t> </w:t>
      </w:r>
      <w:r>
        <w:rPr/>
        <w:t>o</w:t>
      </w:r>
      <w:r>
        <w:rPr>
          <w:spacing w:val="-1"/>
        </w:rPr>
        <w:t> </w:t>
      </w:r>
      <w:r>
        <w:rPr/>
        <w:t>b</w:t>
      </w:r>
      <w:r>
        <w:rPr>
          <w:spacing w:val="-2"/>
        </w:rPr>
        <w:t> </w:t>
      </w:r>
      <w:r>
        <w:rPr/>
        <w:t>o</w:t>
      </w:r>
      <w:r>
        <w:rPr>
          <w:spacing w:val="-1"/>
        </w:rPr>
        <w:t> </w:t>
      </w:r>
      <w:r>
        <w:rPr/>
        <w:t>d</w:t>
      </w:r>
      <w:r>
        <w:rPr>
          <w:spacing w:val="-2"/>
        </w:rPr>
        <w:t> </w:t>
      </w:r>
      <w:r>
        <w:rPr/>
        <w:t>o</w:t>
      </w:r>
      <w:r>
        <w:rPr>
          <w:spacing w:val="-3"/>
        </w:rPr>
        <w:t> </w:t>
      </w:r>
      <w:r>
        <w:rPr/>
        <w:t>u,</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94-4812671/0710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7221300416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22"/>
        <w:jc w:val="both"/>
      </w:pPr>
      <w:r>
        <w:rPr/>
        <w:t>„FVE</w:t>
      </w:r>
      <w:r>
        <w:rPr>
          <w:spacing w:val="-5"/>
        </w:rPr>
        <w:t> </w:t>
      </w:r>
      <w:r>
        <w:rPr/>
        <w:t>na</w:t>
      </w:r>
      <w:r>
        <w:rPr>
          <w:spacing w:val="-7"/>
        </w:rPr>
        <w:t> </w:t>
      </w:r>
      <w:r>
        <w:rPr/>
        <w:t>střeše</w:t>
      </w:r>
      <w:r>
        <w:rPr>
          <w:spacing w:val="-6"/>
        </w:rPr>
        <w:t> </w:t>
      </w:r>
      <w:r>
        <w:rPr/>
        <w:t>obecního</w:t>
      </w:r>
      <w:r>
        <w:rPr>
          <w:spacing w:val="-6"/>
        </w:rPr>
        <w:t> </w:t>
      </w:r>
      <w:r>
        <w:rPr/>
        <w:t>úřadu,</w:t>
      </w:r>
      <w:r>
        <w:rPr>
          <w:spacing w:val="-8"/>
        </w:rPr>
        <w:t> </w:t>
      </w:r>
      <w:r>
        <w:rPr/>
        <w:t>Obec</w:t>
      </w:r>
      <w:r>
        <w:rPr>
          <w:spacing w:val="-5"/>
        </w:rPr>
        <w:t> </w:t>
      </w:r>
      <w:r>
        <w:rPr>
          <w:spacing w:val="-2"/>
        </w:rPr>
        <w:t>Sobůlky“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298</w:t>
      </w:r>
      <w:r>
        <w:rPr>
          <w:b/>
          <w:spacing w:val="-1"/>
          <w:sz w:val="20"/>
        </w:rPr>
        <w:t> </w:t>
      </w:r>
      <w:r>
        <w:rPr>
          <w:b/>
          <w:sz w:val="20"/>
        </w:rPr>
        <w:t>998,92 Kč </w:t>
      </w:r>
      <w:r>
        <w:rPr>
          <w:sz w:val="20"/>
        </w:rPr>
        <w:t>(slovy: jeden milion dvě stě devadesát osm tisíc devět set devadesát osm korun českých a devadesát dva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2 447 144,40 Kč.</w:t>
      </w:r>
    </w:p>
    <w:p>
      <w:pPr>
        <w:pStyle w:val="ListParagraph"/>
        <w:numPr>
          <w:ilvl w:val="0"/>
          <w:numId w:val="2"/>
        </w:numPr>
        <w:tabs>
          <w:tab w:pos="386" w:val="left" w:leader="none"/>
        </w:tabs>
        <w:spacing w:line="240" w:lineRule="auto" w:before="122" w:after="0"/>
        <w:ind w:left="385" w:right="112" w:hanging="284"/>
        <w:jc w:val="both"/>
        <w:rPr>
          <w:sz w:val="20"/>
        </w:rPr>
      </w:pPr>
      <w:r>
        <w:rPr>
          <w:sz w:val="20"/>
        </w:rPr>
        <w:t>Skutečná výše</w:t>
      </w:r>
      <w:r>
        <w:rPr>
          <w:spacing w:val="-1"/>
          <w:sz w:val="20"/>
        </w:rPr>
        <w:t> </w:t>
      </w:r>
      <w:r>
        <w:rPr>
          <w:sz w:val="20"/>
        </w:rPr>
        <w:t>podpory je</w:t>
      </w:r>
      <w:r>
        <w:rPr>
          <w:spacing w:val="-1"/>
          <w:sz w:val="20"/>
        </w:rPr>
        <w:t> </w:t>
      </w:r>
      <w:r>
        <w:rPr>
          <w:sz w:val="20"/>
        </w:rPr>
        <w:t>limitována částkou uvedenou v bodu 1. Pokud skutečné výdaje</w:t>
      </w:r>
      <w:r>
        <w:rPr>
          <w:spacing w:val="-1"/>
          <w:sz w:val="20"/>
        </w:rPr>
        <w:t> </w:t>
      </w:r>
      <w:r>
        <w:rPr>
          <w:sz w:val="20"/>
        </w:rPr>
        <w:t>akce</w:t>
      </w:r>
      <w:r>
        <w:rPr>
          <w:spacing w:val="-1"/>
          <w:sz w:val="20"/>
        </w:rPr>
        <w:t> </w:t>
      </w:r>
      <w:r>
        <w:rPr>
          <w:sz w:val="20"/>
        </w:rPr>
        <w:t>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V případě, že došlo k zápočtu pohledávek/závazků mezi příjemcem podpory a zhotovitelem (úhrada faktury</w:t>
      </w:r>
      <w:r>
        <w:rPr>
          <w:spacing w:val="79"/>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9"/>
          <w:w w:val="150"/>
          <w:sz w:val="20"/>
        </w:rPr>
        <w:t> </w:t>
      </w:r>
      <w:r>
        <w:rPr>
          <w:sz w:val="20"/>
        </w:rPr>
        <w:t>výši</w:t>
      </w:r>
      <w:r>
        <w:rPr>
          <w:spacing w:val="80"/>
          <w:w w:val="150"/>
          <w:sz w:val="20"/>
        </w:rPr>
        <w:t> </w:t>
      </w:r>
      <w:r>
        <w:rPr>
          <w:sz w:val="20"/>
        </w:rPr>
        <w:t>doložena</w:t>
      </w:r>
      <w:r>
        <w:rPr>
          <w:spacing w:val="79"/>
          <w:w w:val="150"/>
          <w:sz w:val="20"/>
        </w:rPr>
        <w:t> </w:t>
      </w:r>
      <w:r>
        <w:rPr>
          <w:sz w:val="20"/>
        </w:rPr>
        <w:t>bankovním</w:t>
      </w:r>
      <w:r>
        <w:rPr>
          <w:spacing w:val="78"/>
          <w:w w:val="150"/>
          <w:sz w:val="20"/>
        </w:rPr>
        <w:t> </w:t>
      </w:r>
      <w:r>
        <w:rPr>
          <w:sz w:val="20"/>
        </w:rPr>
        <w:t>výpisem),</w:t>
      </w:r>
      <w:r>
        <w:rPr>
          <w:spacing w:val="79"/>
          <w:w w:val="150"/>
          <w:sz w:val="20"/>
        </w:rPr>
        <w:t> </w:t>
      </w:r>
      <w:r>
        <w:rPr>
          <w:sz w:val="20"/>
        </w:rPr>
        <w:t>je</w:t>
      </w:r>
      <w:r>
        <w:rPr>
          <w:spacing w:val="79"/>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9"/>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13"/>
          <w:sz w:val="20"/>
        </w:rPr>
        <w:t> </w:t>
      </w:r>
      <w:r>
        <w:rPr>
          <w:sz w:val="20"/>
        </w:rPr>
        <w:t>účel</w:t>
      </w:r>
      <w:r>
        <w:rPr>
          <w:spacing w:val="-13"/>
          <w:sz w:val="20"/>
        </w:rPr>
        <w:t> </w:t>
      </w:r>
      <w:r>
        <w:rPr>
          <w:sz w:val="20"/>
        </w:rPr>
        <w:t>akce</w:t>
      </w:r>
      <w:r>
        <w:rPr>
          <w:spacing w:val="-14"/>
          <w:sz w:val="20"/>
        </w:rPr>
        <w:t> </w:t>
      </w:r>
      <w:r>
        <w:rPr>
          <w:sz w:val="20"/>
        </w:rPr>
        <w:t>„FVE</w:t>
      </w:r>
      <w:r>
        <w:rPr>
          <w:spacing w:val="-12"/>
          <w:sz w:val="20"/>
        </w:rPr>
        <w:t> </w:t>
      </w:r>
      <w:r>
        <w:rPr>
          <w:sz w:val="20"/>
        </w:rPr>
        <w:t>na</w:t>
      </w:r>
      <w:r>
        <w:rPr>
          <w:spacing w:val="-13"/>
          <w:sz w:val="20"/>
        </w:rPr>
        <w:t> </w:t>
      </w:r>
      <w:r>
        <w:rPr>
          <w:sz w:val="20"/>
        </w:rPr>
        <w:t>střeše</w:t>
      </w:r>
      <w:r>
        <w:rPr>
          <w:spacing w:val="-14"/>
          <w:sz w:val="20"/>
        </w:rPr>
        <w:t> </w:t>
      </w:r>
      <w:r>
        <w:rPr>
          <w:sz w:val="20"/>
        </w:rPr>
        <w:t>obecního</w:t>
      </w:r>
      <w:r>
        <w:rPr>
          <w:spacing w:val="-12"/>
          <w:sz w:val="20"/>
        </w:rPr>
        <w:t> </w:t>
      </w:r>
      <w:r>
        <w:rPr>
          <w:sz w:val="20"/>
        </w:rPr>
        <w:t>úřadu,</w:t>
      </w:r>
      <w:r>
        <w:rPr>
          <w:spacing w:val="-13"/>
          <w:sz w:val="20"/>
        </w:rPr>
        <w:t> </w:t>
      </w:r>
      <w:r>
        <w:rPr>
          <w:sz w:val="20"/>
        </w:rPr>
        <w:t>Obec</w:t>
      </w:r>
      <w:r>
        <w:rPr>
          <w:spacing w:val="-13"/>
          <w:sz w:val="20"/>
        </w:rPr>
        <w:t> </w:t>
      </w:r>
      <w:r>
        <w:rPr>
          <w:sz w:val="20"/>
        </w:rPr>
        <w:t>Sobůlky“</w:t>
      </w:r>
      <w:r>
        <w:rPr>
          <w:spacing w:val="-13"/>
          <w:sz w:val="20"/>
        </w:rPr>
        <w:t> </w:t>
      </w:r>
      <w:r>
        <w:rPr>
          <w:sz w:val="20"/>
        </w:rPr>
        <w:t>tím,</w:t>
      </w:r>
      <w:r>
        <w:rPr>
          <w:spacing w:val="-13"/>
          <w:sz w:val="20"/>
        </w:rPr>
        <w:t> </w:t>
      </w:r>
      <w:r>
        <w:rPr>
          <w:sz w:val="20"/>
        </w:rPr>
        <w:t>že</w:t>
      </w:r>
      <w:r>
        <w:rPr>
          <w:spacing w:val="-11"/>
          <w:sz w:val="20"/>
        </w:rPr>
        <w:t> </w:t>
      </w:r>
      <w:r>
        <w:rPr>
          <w:sz w:val="20"/>
        </w:rPr>
        <w:t>akce</w:t>
      </w:r>
      <w:r>
        <w:rPr>
          <w:spacing w:val="-14"/>
          <w:sz w:val="20"/>
        </w:rPr>
        <w:t> </w:t>
      </w:r>
      <w:r>
        <w:rPr>
          <w:sz w:val="20"/>
        </w:rPr>
        <w:t>bude</w:t>
      </w:r>
      <w:r>
        <w:rPr>
          <w:spacing w:val="-13"/>
          <w:sz w:val="20"/>
        </w:rPr>
        <w:t> </w:t>
      </w:r>
      <w:r>
        <w:rPr>
          <w:sz w:val="20"/>
        </w:rPr>
        <w:t>provedena</w:t>
      </w:r>
      <w:r>
        <w:rPr>
          <w:spacing w:val="-13"/>
          <w:sz w:val="20"/>
        </w:rPr>
        <w:t> </w:t>
      </w:r>
      <w:r>
        <w:rPr>
          <w:sz w:val="20"/>
        </w:rPr>
        <w:t>v</w:t>
      </w:r>
      <w:r>
        <w:rPr>
          <w:spacing w:val="-1"/>
          <w:sz w:val="20"/>
        </w:rPr>
        <w:t> </w:t>
      </w:r>
      <w:r>
        <w:rPr>
          <w:sz w:val="20"/>
        </w:rPr>
        <w:t>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34,65 kWp a instalací akumulace o kapacitě 34,65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15"/>
          <w:sz w:val="20"/>
        </w:rPr>
        <w:t> </w:t>
      </w:r>
      <w:r>
        <w:rPr>
          <w:w w:val="95"/>
          <w:sz w:val="20"/>
        </w:rPr>
        <w:t>písmene</w:t>
      </w:r>
      <w:r>
        <w:rPr>
          <w:spacing w:val="10"/>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34,65</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34,65</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21"/>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30,39</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91,89</w:t>
            </w:r>
          </w:p>
        </w:tc>
      </w:tr>
      <w:tr>
        <w:trPr>
          <w:trHeight w:val="508"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35,34</w:t>
            </w:r>
          </w:p>
        </w:tc>
      </w:tr>
    </w:tbl>
    <w:p>
      <w:pPr>
        <w:pStyle w:val="BodyText"/>
        <w:spacing w:before="11"/>
        <w:rPr>
          <w:sz w:val="37"/>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2"/>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0"/>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pPr>
      <w:r>
        <w:rPr>
          <w:spacing w:val="-5"/>
        </w:rPr>
        <w:t>V.</w:t>
      </w:r>
    </w:p>
    <w:p>
      <w:pPr>
        <w:pStyle w:val="Heading2"/>
        <w:spacing w:line="265" w:lineRule="exact"/>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8"/>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37"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3"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40"/>
          <w:sz w:val="20"/>
        </w:rPr>
        <w:t> </w:t>
      </w:r>
      <w:r>
        <w:rPr>
          <w:sz w:val="20"/>
        </w:rPr>
        <w:t>do</w:t>
      </w:r>
      <w:r>
        <w:rPr>
          <w:spacing w:val="35"/>
          <w:sz w:val="20"/>
        </w:rPr>
        <w:t> </w:t>
      </w:r>
      <w:r>
        <w:rPr>
          <w:sz w:val="20"/>
        </w:rPr>
        <w:t>120</w:t>
      </w:r>
      <w:r>
        <w:rPr>
          <w:spacing w:val="35"/>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35"/>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4"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w:t>
      </w:r>
      <w:r>
        <w:rPr>
          <w:spacing w:val="-2"/>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3"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5"/>
          <w:sz w:val="20"/>
        </w:rPr>
        <w:t> </w:t>
      </w:r>
      <w:r>
        <w:rPr>
          <w:sz w:val="20"/>
        </w:rPr>
        <w:t>účely</w:t>
      </w:r>
      <w:r>
        <w:rPr>
          <w:spacing w:val="-7"/>
          <w:sz w:val="20"/>
        </w:rPr>
        <w:t> </w:t>
      </w:r>
      <w:r>
        <w:rPr>
          <w:sz w:val="20"/>
        </w:rPr>
        <w:t>této</w:t>
      </w:r>
      <w:r>
        <w:rPr>
          <w:spacing w:val="-6"/>
          <w:sz w:val="20"/>
        </w:rPr>
        <w:t> </w:t>
      </w:r>
      <w:r>
        <w:rPr>
          <w:sz w:val="20"/>
        </w:rPr>
        <w:t>Smlouvy</w:t>
      </w:r>
      <w:r>
        <w:rPr>
          <w:spacing w:val="-4"/>
          <w:sz w:val="20"/>
        </w:rPr>
        <w:t> </w:t>
      </w:r>
      <w:r>
        <w:rPr>
          <w:sz w:val="20"/>
        </w:rPr>
        <w:t>má</w:t>
      </w:r>
      <w:r>
        <w:rPr>
          <w:spacing w:val="-4"/>
          <w:sz w:val="20"/>
        </w:rPr>
        <w:t> </w:t>
      </w:r>
      <w:r>
        <w:rPr>
          <w:sz w:val="20"/>
        </w:rPr>
        <w:t>povinnost</w:t>
      </w:r>
      <w:r>
        <w:rPr>
          <w:spacing w:val="-7"/>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7"/>
          <w:sz w:val="20"/>
        </w:rPr>
        <w:t> </w:t>
      </w:r>
      <w:r>
        <w:rPr>
          <w:sz w:val="20"/>
        </w:rPr>
        <w:t>jako</w:t>
      </w:r>
      <w:r>
        <w:rPr>
          <w:spacing w:val="-6"/>
          <w:sz w:val="20"/>
        </w:rPr>
        <w:t> </w:t>
      </w:r>
      <w:r>
        <w:rPr>
          <w:sz w:val="20"/>
        </w:rPr>
        <w:t>závazek</w:t>
      </w:r>
      <w:r>
        <w:rPr>
          <w:spacing w:val="-7"/>
          <w:sz w:val="20"/>
        </w:rPr>
        <w:t> </w:t>
      </w:r>
      <w:r>
        <w:rPr>
          <w:sz w:val="20"/>
        </w:rPr>
        <w:t>příjemce</w:t>
      </w:r>
      <w:r>
        <w:rPr>
          <w:spacing w:val="-7"/>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7"/>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2024-02-19T12:13:26Z</dcterms:created>
  <dcterms:modified xsi:type="dcterms:W3CDTF">2024-02-19T12:13:26Z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2024-02-19T00:00:00Z</vt:filetime>
  </property>
</Properties>
</file>