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273" w:line="190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O DÍLO č. 01/2014</w:t>
      </w:r>
    </w:p>
    <w:p>
      <w:pPr>
        <w:pStyle w:val="Style4"/>
        <w:widowControl w:val="0"/>
        <w:keepNext/>
        <w:keepLines/>
        <w:shd w:val="clear" w:color="auto" w:fill="auto"/>
        <w:bidi w:val="0"/>
        <w:spacing w:before="0" w:after="43" w:line="190" w:lineRule="exact"/>
        <w:ind w:left="0" w:right="20" w:firstLine="0"/>
      </w:pPr>
      <w:bookmarkStart w:id="0" w:name="bookmark0"/>
      <w:r>
        <w:rPr>
          <w:rStyle w:val="CharStyle5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I.</w:t>
      </w:r>
      <w:bookmarkEnd w:id="0"/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210" w:line="190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</w:t>
      </w:r>
    </w:p>
    <w:p>
      <w:pPr>
        <w:pStyle w:val="Style2"/>
        <w:numPr>
          <w:ilvl w:val="1"/>
          <w:numId w:val="1"/>
        </w:numPr>
        <w:tabs>
          <w:tab w:leader="none" w:pos="28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20" w:right="34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OBJEDNATEL</w:t>
        <w:br/>
        <w:t>HORTUS správa zeleně s.r.o.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34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Praha 9, Rubeška 389/5, PSČ 190 00</w:t>
        <w:br/>
        <w:t>IČ: 604 86 791</w:t>
        <w:br/>
        <w:t>DIČ: CZ60486791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" w:right="34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bankovní spojení: Komerční banka, a.s.</w:t>
        <w:br/>
        <w:t>č. účtu 1-^MMWM,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32" w:line="259" w:lineRule="exact"/>
        <w:ind w:left="20" w:right="34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 v obchodním rejstříku vedeném Městským soudem v Praze, oddíl C, vložka 27110</w:t>
        <w:br/>
        <w:t>zastoupena Petrem Lipským a Janem Poupě, jednateli</w:t>
      </w:r>
    </w:p>
    <w:p>
      <w:pPr>
        <w:pStyle w:val="Style2"/>
        <w:numPr>
          <w:ilvl w:val="1"/>
          <w:numId w:val="1"/>
        </w:numPr>
        <w:tabs>
          <w:tab w:leader="none" w:pos="28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9" w:lineRule="exact"/>
        <w:ind w:left="20" w:right="34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</w:t>
        <w:br/>
        <w:t>RUBÍN M-M, s.r.o.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20" w:right="34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sídlo: Praha 2, Vinohrady, Chopinova 6</w:t>
        <w:br/>
        <w:t>IČ: 257 43 236</w:t>
        <w:br/>
        <w:t>DIČ: CZ25743236</w:t>
        <w:br/>
        <w:t>bankovní spojení: ČSOB, a.s. Praha</w:t>
        <w:br/>
      </w:r>
      <w:r>
        <w:rPr>
          <w:rStyle w:val="CharStyle8"/>
          <w:u w:val="none"/>
          <w:sz w:val="19"/>
          <w:szCs w:val="19"/>
        </w:rPr>
        <w:t>č. účtu:</w:t>
      </w:r>
      <w:r>
        <w:rPr>
          <w:rStyle w:val="CharStyle9"/>
          <w:u w:val="none"/>
          <w:sz w:val="19"/>
          <w:szCs w:val="19"/>
        </w:rPr>
        <w:t xml:space="preserve"> lflHÍIiW9M»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95" w:line="259" w:lineRule="exact"/>
        <w:ind w:left="20" w:right="34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zapsaná v obchodním rejstříku vedeném Městským soudem v Praze, oddíl C, vložka 66194</w:t>
        <w:br/>
        <w:t>zastoupena Vasilyem Medulichem, jednatelem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33" w:line="190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II.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228" w:line="190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Předmět plnění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95" w:line="259" w:lineRule="exact"/>
        <w:ind w:left="20" w:right="2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Předmětem této smlouvy je provedení zemních prací, terénních úprav a výkopových prací,</w:t>
        <w:br/>
        <w:t>jakož i pomocných prací zhotovitelem pro objednatele.</w:t>
      </w:r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0" w:line="190" w:lineRule="exact"/>
        <w:ind w:left="0" w:right="20" w:firstLine="0"/>
      </w:pPr>
      <w:bookmarkStart w:id="1" w:name="bookmark1"/>
      <w:r>
        <w:rPr>
          <w:rStyle w:val="CharStyle11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III.</w:t>
      </w:r>
      <w:bookmarkEnd w:id="1"/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0" w:line="518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Termín plnění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518" w:lineRule="exact"/>
        <w:ind w:left="20" w:right="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Tato smlouvaje uzavřena na dobu neurčitou, s tím, že termín zahájení prací jc 02.01.2014.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spacing w:before="0" w:after="0"/>
        <w:ind w:left="0" w:right="20" w:firstLine="0"/>
      </w:pPr>
      <w:r>
        <w:rPr>
          <w:rStyle w:val="CharStyle1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IV.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237" w:line="190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Cenové ujednání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95" w:line="259" w:lineRule="exact"/>
        <w:ind w:left="20" w:right="2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uzavírají tuto smlouvu ve smyslu § 2586 odst. 2 a § 1785 a násl. zákona č.</w:t>
        <w:br/>
        <w:t>89/2012 Sb., občanského zákoníku, i bez určení ceny, s tím, že cena prací bude stanovena</w:t>
        <w:br/>
        <w:t>dohodou smluvních stran ve smyslu zákona o cenách č. 526/1990 Sb., jinak jako cena</w:t>
        <w:br/>
        <w:t>obvyklá; v případě, že nedojde k dohodě o ceně, resp. k dohodě o ceně obvyklé, určí cenu třetí</w:t>
        <w:br/>
        <w:t>osoba sjednaná dohodou smluvních stran.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center"/>
        <w:spacing w:before="0" w:after="33" w:line="190" w:lineRule="exact"/>
        <w:ind w:left="0" w:right="2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spacing w:before="0" w:after="220" w:line="190" w:lineRule="exact"/>
        <w:ind w:left="0" w:right="20" w:firstLine="0"/>
      </w:pPr>
      <w:r>
        <w:rPr>
          <w:rStyle w:val="CharStyle3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Fakturace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720" w:right="2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1. Provedené práce bude zhotovitel fakturovat jedenkrát za kalendářní měsíc na základě</w:t>
        <w:br/>
        <w:t>měsíčního výkazu soupisu výkonů, schváleného zástupcem objednatele.</w:t>
      </w:r>
      <w:r>
        <w:br w:type="page"/>
      </w:r>
    </w:p>
    <w:p>
      <w:pPr>
        <w:pStyle w:val="Style6"/>
        <w:numPr>
          <w:ilvl w:val="0"/>
          <w:numId w:val="3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je povinen vystavit a doručit objednateli faktum po uplynutí kalendářního</w:t>
        <w:br/>
        <w:t>měsíce následujícího po provedení prací a po schváleni soupisu výkonů zástupcem</w:t>
        <w:br/>
        <w:t>objednatele. Faktury jsou splatné do 14 dnů od jejich doručení objednateli.</w:t>
      </w:r>
    </w:p>
    <w:p>
      <w:pPr>
        <w:pStyle w:val="Style6"/>
        <w:numPr>
          <w:ilvl w:val="0"/>
          <w:numId w:val="3"/>
        </w:numPr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3"/>
        <w:ind w:left="720" w:right="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Faktura musí obsahovat náležitosti dle platných daňových předpisů.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33" w:line="190" w:lineRule="exact"/>
        <w:ind w:left="40" w:right="0" w:firstLine="0"/>
      </w:pPr>
      <w:bookmarkStart w:id="2" w:name="bookmark2"/>
      <w:r>
        <w:rPr>
          <w:rStyle w:val="CharStyle16"/>
          <w:u w:val="none"/>
          <w:sz w:val="19"/>
          <w:szCs w:val="19"/>
        </w:rPr>
        <w:t>VI.</w:t>
      </w:r>
      <w:bookmarkEnd w:id="2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28" w:line="190" w:lineRule="exact"/>
        <w:ind w:left="40" w:right="0" w:firstLine="0"/>
      </w:pPr>
      <w:bookmarkStart w:id="3" w:name="bookmark3"/>
      <w:r>
        <w:rPr>
          <w:rStyle w:val="CharStyle16"/>
          <w:u w:val="none"/>
          <w:sz w:val="19"/>
          <w:szCs w:val="19"/>
        </w:rPr>
        <w:t>Povinnosti objednatele</w:t>
      </w:r>
      <w:bookmarkEnd w:id="3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both"/>
        <w:spacing w:before="0" w:after="295" w:line="259" w:lineRule="exact"/>
        <w:ind w:left="0" w:right="60" w:firstLine="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Objednatel se zavazuje poskytnout zhotoviteli veškerou součinnost pro zhotovení díla a řádně</w:t>
        <w:br/>
        <w:t>a včas uhradit zhotoviteli sjednanou odměnu.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33" w:line="190" w:lineRule="exact"/>
        <w:ind w:left="40" w:right="0" w:firstLine="0"/>
      </w:pPr>
      <w:bookmarkStart w:id="4" w:name="bookmark4"/>
      <w:r>
        <w:rPr>
          <w:rStyle w:val="CharStyle16"/>
          <w:u w:val="none"/>
          <w:sz w:val="19"/>
          <w:szCs w:val="19"/>
        </w:rPr>
        <w:t>VII.</w:t>
      </w:r>
      <w:bookmarkEnd w:id="4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18" w:line="190" w:lineRule="exact"/>
        <w:ind w:left="40" w:right="0" w:firstLine="0"/>
      </w:pPr>
      <w:bookmarkStart w:id="5" w:name="bookmark5"/>
      <w:r>
        <w:rPr>
          <w:rStyle w:val="CharStyle16"/>
          <w:u w:val="none"/>
          <w:sz w:val="19"/>
          <w:szCs w:val="19"/>
        </w:rPr>
        <w:t>Povinnosti zhotovitele</w:t>
      </w:r>
      <w:bookmarkEnd w:id="5"/>
    </w:p>
    <w:p>
      <w:pPr>
        <w:pStyle w:val="Style6"/>
        <w:numPr>
          <w:ilvl w:val="2"/>
          <w:numId w:val="3"/>
        </w:numPr>
        <w:tabs>
          <w:tab w:leader="none" w:pos="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bude provádět práce vlastním jménem, na vlastní účet a samostatně;</w:t>
        <w:br/>
        <w:t>v případě konkrétních pokynů objednatele ohledně prováděni prací je povinen se</w:t>
        <w:br/>
        <w:t>těmito pokyny řídit.</w:t>
      </w:r>
    </w:p>
    <w:p>
      <w:pPr>
        <w:pStyle w:val="Style6"/>
        <w:numPr>
          <w:ilvl w:val="2"/>
          <w:numId w:val="3"/>
        </w:numPr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se zavazuje zabezpečit realizaci objemu prací dle objednatelem předem</w:t>
        <w:br/>
        <w:t>určeného rozsahu ve vztahu k dohodnutému období. Určený rozsah potřebných prací</w:t>
        <w:br/>
        <w:t>(uvedený jako počet „člověkohodin") bude zhotoviteli objednatelem sdělen vždy 1</w:t>
        <w:br/>
        <w:t>týden předem.</w:t>
      </w:r>
    </w:p>
    <w:p>
      <w:pPr>
        <w:pStyle w:val="Style6"/>
        <w:numPr>
          <w:ilvl w:val="2"/>
          <w:numId w:val="3"/>
        </w:numPr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se zavazuje zajistit dodržování všech použitelných předpisů týkajících se</w:t>
        <w:br/>
        <w:t>bezpečnosti na místě provádění díla.</w:t>
      </w:r>
    </w:p>
    <w:p>
      <w:pPr>
        <w:pStyle w:val="Style6"/>
        <w:numPr>
          <w:ilvl w:val="2"/>
          <w:numId w:val="3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5" w:line="259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se zavazuje, že bude používat pouze materiály a předměty vhodné pro daný</w:t>
        <w:br/>
        <w:t>typ prací a hospodárně zacházet s materiálem a veškerými předměty svěřenými mu</w:t>
        <w:br/>
        <w:t>případně objednatelem.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33" w:line="190" w:lineRule="exact"/>
        <w:ind w:left="40" w:right="0" w:firstLine="0"/>
      </w:pPr>
      <w:bookmarkStart w:id="6" w:name="bookmark6"/>
      <w:r>
        <w:rPr>
          <w:rStyle w:val="CharStyle16"/>
          <w:u w:val="none"/>
          <w:sz w:val="19"/>
          <w:szCs w:val="19"/>
        </w:rPr>
        <w:t>VIII.</w:t>
      </w:r>
      <w:bookmarkEnd w:id="6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18" w:line="190" w:lineRule="exact"/>
        <w:ind w:left="40" w:right="0" w:firstLine="0"/>
      </w:pPr>
      <w:bookmarkStart w:id="7" w:name="bookmark7"/>
      <w:r>
        <w:rPr>
          <w:rStyle w:val="CharStyle16"/>
          <w:u w:val="none"/>
          <w:sz w:val="19"/>
          <w:szCs w:val="19"/>
        </w:rPr>
        <w:t>Zánik smlouvy</w:t>
      </w:r>
      <w:bookmarkEnd w:id="7"/>
    </w:p>
    <w:p>
      <w:pPr>
        <w:pStyle w:val="Style6"/>
        <w:numPr>
          <w:ilvl w:val="2"/>
          <w:numId w:val="3"/>
        </w:numPr>
        <w:tabs>
          <w:tab w:leader="none" w:pos="70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720" w:right="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Smlouva zaniká provedením prací ve sjednaném termínu.</w:t>
      </w:r>
    </w:p>
    <w:p>
      <w:pPr>
        <w:pStyle w:val="Style6"/>
        <w:numPr>
          <w:ilvl w:val="2"/>
          <w:numId w:val="3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Před uplynutím sjednané doby lze smluvní vztah ukončit dohodou nebo okamžitým</w:t>
        <w:br/>
        <w:t>odstoupením od smlouvy objednatelem.</w:t>
      </w:r>
    </w:p>
    <w:p>
      <w:pPr>
        <w:pStyle w:val="Style6"/>
        <w:numPr>
          <w:ilvl w:val="2"/>
          <w:numId w:val="3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95" w:line="259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Objednatel má právo okamžitě odstoupit od smlouvy mimo jiné v případě podstatného</w:t>
        <w:br/>
        <w:t>porušení smlouvy zhotovitelem. Odstoupení od smlouvy musí být písemné a nabývá</w:t>
        <w:br/>
        <w:t>účinnosti dnem jeho doručení zhotoviteli.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4" w:line="190" w:lineRule="exact"/>
        <w:ind w:left="40" w:right="0" w:firstLine="0"/>
      </w:pPr>
      <w:bookmarkStart w:id="8" w:name="bookmark8"/>
      <w:r>
        <w:rPr>
          <w:rStyle w:val="CharStyle16"/>
          <w:u w:val="none"/>
          <w:sz w:val="19"/>
          <w:szCs w:val="19"/>
        </w:rPr>
        <w:t>IX.</w:t>
      </w:r>
      <w:bookmarkEnd w:id="8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10" w:line="190" w:lineRule="exact"/>
        <w:ind w:left="40" w:right="0" w:firstLine="0"/>
      </w:pPr>
      <w:bookmarkStart w:id="9" w:name="bookmark9"/>
      <w:r>
        <w:rPr>
          <w:rStyle w:val="CharStyle16"/>
          <w:u w:val="none"/>
          <w:sz w:val="19"/>
          <w:szCs w:val="19"/>
        </w:rPr>
        <w:t>Sankce</w:t>
      </w:r>
      <w:bookmarkEnd w:id="9"/>
    </w:p>
    <w:p>
      <w:pPr>
        <w:pStyle w:val="Style6"/>
        <w:numPr>
          <w:ilvl w:val="2"/>
          <w:numId w:val="3"/>
        </w:numPr>
        <w:tabs>
          <w:tab w:leader="none" w:pos="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případě prodlení s úhradou odměny je objednatel povinen uhradit zhotoviteli úrok</w:t>
        <w:br/>
        <w:t>z prodleni ve výši 0,05% za každý den prodlení, do zaplacení.</w:t>
      </w:r>
    </w:p>
    <w:p>
      <w:pPr>
        <w:pStyle w:val="Style6"/>
        <w:numPr>
          <w:ilvl w:val="2"/>
          <w:numId w:val="3"/>
        </w:numPr>
        <w:tabs>
          <w:tab w:leader="none" w:pos="71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303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Zhotovitel odpovídá za škody způsobené jeho pracovníky na materiálu,</w:t>
        <w:br/>
        <w:t>mechanismech, zařízení a jiném majetku objednatele.</w:t>
      </w:r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4" w:line="190" w:lineRule="exact"/>
        <w:ind w:left="40" w:right="0" w:firstLine="0"/>
      </w:pPr>
      <w:bookmarkStart w:id="10" w:name="bookmark10"/>
      <w:r>
        <w:rPr>
          <w:rStyle w:val="CharStyle16"/>
          <w:u w:val="none"/>
          <w:sz w:val="19"/>
          <w:szCs w:val="19"/>
        </w:rPr>
        <w:t>X.</w:t>
      </w:r>
      <w:bookmarkEnd w:id="10"/>
    </w:p>
    <w:p>
      <w:pPr>
        <w:pStyle w:val="Style14"/>
        <w:widowControl w:val="0"/>
        <w:keepNext/>
        <w:keepLines/>
        <w:shd w:val="clear" w:color="auto" w:fill="auto"/>
        <w:bidi w:val="0"/>
        <w:spacing w:before="0" w:after="210" w:line="190" w:lineRule="exact"/>
        <w:ind w:left="40" w:right="0" w:firstLine="0"/>
      </w:pPr>
      <w:bookmarkStart w:id="11" w:name="bookmark11"/>
      <w:r>
        <w:rPr>
          <w:rStyle w:val="CharStyle16"/>
          <w:u w:val="none"/>
          <w:sz w:val="19"/>
          <w:szCs w:val="19"/>
        </w:rPr>
        <w:t>Závěrečná ustanovení</w:t>
      </w:r>
      <w:bookmarkEnd w:id="11"/>
    </w:p>
    <w:p>
      <w:pPr>
        <w:pStyle w:val="Style6"/>
        <w:numPr>
          <w:ilvl w:val="2"/>
          <w:numId w:val="3"/>
        </w:numPr>
        <w:tabs>
          <w:tab w:leader="none" w:pos="69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Změny a doplňky této smlouvy lze provést pouze formou písemného dodatku k této</w:t>
        <w:br/>
        <w:t>smlouvě, který musí být podepsán oběma smluvními stranami.</w:t>
      </w:r>
    </w:p>
    <w:p>
      <w:pPr>
        <w:pStyle w:val="Style6"/>
        <w:numPr>
          <w:ilvl w:val="2"/>
          <w:numId w:val="3"/>
        </w:numPr>
        <w:tabs>
          <w:tab w:leader="none" w:pos="7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98" w:lineRule="exact"/>
        <w:ind w:left="720" w:right="60" w:hanging="340"/>
      </w:pPr>
      <w:r>
        <w:rPr>
          <w:rStyle w:val="CharStyle7"/>
          <w:lang w:val="cs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Smluvní strany se dohodly, že na právni poměry mezi nimi se vztahují příslušná</w:t>
        <w:br/>
        <w:t>ustanovení občanského zákoníku.</w:t>
      </w:r>
    </w:p>
    <w:sectPr>
      <w:footnotePr>
        <w:pos w:val="pageBottom"/>
        <w:numFmt w:val="decimal"/>
        <w:numRestart w:val="continuous"/>
      </w:footnotePr>
      <w:type w:val="continuous"/>
      <w:pgSz w:w="12154" w:h="17011"/>
      <w:pgMar w:top="1874" w:left="1575" w:right="1575" w:bottom="3868" w:header="0" w:footer="3" w:gutter="1094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</w:lvl>
    <w:lvl w:ilvl="1">
      <w:start w:val="1"/>
      <w:numFmt w:val="decimal"/>
      <w:lvlText w:val="%2)"/>
      <w:rPr>
        <w:lang w:val="cs"/>
        <w:b/>
        <w:bCs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%1."/>
      <w:rPr>
        <w:lang w:val="cs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6"/>
      <w:numFmt w:val="upperRoman"/>
      <w:lvlText w:val="%2."/>
    </w:lvl>
    <w:lvl w:ilvl="2">
      <w:start w:val="1"/>
      <w:numFmt w:val="decimal"/>
      <w:lvlText w:val="%3."/>
      <w:rPr>
        <w:lang w:val="cs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Body text (2)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5">
    <w:name w:val="Heading #1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7">
    <w:name w:val="Body text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8">
    <w:name w:val="Body text"/>
    <w:basedOn w:val="CharStyle7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Body text + Bold"/>
    <w:basedOn w:val="CharStyle7"/>
    <w:rPr>
      <w:lang w:val="cs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1">
    <w:name w:val="Heading #2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13">
    <w:name w:val="Body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character" w:customStyle="1" w:styleId="CharStyle15">
    <w:name w:val="Heading #1 (2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16">
    <w:name w:val="Heading #1 (2)"/>
    <w:basedOn w:val="CharStyle15"/>
    <w:rPr>
      <w:lang w:val="cs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FFFFFF"/>
      <w:jc w:val="center"/>
      <w:spacing w:after="300" w:line="0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4">
    <w:name w:val="Heading #1"/>
    <w:basedOn w:val="Normal"/>
    <w:link w:val="CharStyle5"/>
    <w:pPr>
      <w:widowControl w:val="0"/>
      <w:shd w:val="clear" w:color="auto" w:fill="FFFFFF"/>
      <w:jc w:val="center"/>
      <w:outlineLvl w:val="0"/>
      <w:spacing w:before="300" w:after="6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6">
    <w:name w:val="Body text"/>
    <w:basedOn w:val="Normal"/>
    <w:link w:val="CharStyle7"/>
    <w:pPr>
      <w:widowControl w:val="0"/>
      <w:shd w:val="clear" w:color="auto" w:fill="FFFFFF"/>
      <w:spacing w:line="269" w:lineRule="exact"/>
      <w:ind w:hanging="320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FFFFFF"/>
      <w:jc w:val="center"/>
      <w:outlineLvl w:val="1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  <w:style w:type="paragraph" w:customStyle="1" w:styleId="Style12">
    <w:name w:val="Body text (3)"/>
    <w:basedOn w:val="Normal"/>
    <w:link w:val="CharStyle13"/>
    <w:pPr>
      <w:widowControl w:val="0"/>
      <w:shd w:val="clear" w:color="auto" w:fill="FFFFFF"/>
      <w:jc w:val="center"/>
      <w:spacing w:line="51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</w:rPr>
  </w:style>
  <w:style w:type="paragraph" w:customStyle="1" w:styleId="Style14">
    <w:name w:val="Heading #1 (2)"/>
    <w:basedOn w:val="Normal"/>
    <w:link w:val="CharStyle15"/>
    <w:pPr>
      <w:widowControl w:val="0"/>
      <w:shd w:val="clear" w:color="auto" w:fill="FFFFFF"/>
      <w:jc w:val="center"/>
      <w:outlineLvl w:val="0"/>
      <w:spacing w:before="240" w:after="60" w:line="0" w:lineRule="exact"/>
    </w:pPr>
    <w:rPr>
      <w:b/>
      <w:bCs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