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60E98" w:rsidRDefault="001C4004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42"/>
          <w:szCs w:val="42"/>
        </w:rPr>
      </w:pPr>
      <w:r>
        <w:rPr>
          <w:sz w:val="42"/>
          <w:szCs w:val="42"/>
        </w:rPr>
        <w:t>Příkazní smlouva</w:t>
      </w:r>
    </w:p>
    <w:p w14:paraId="00000002" w14:textId="77777777" w:rsidR="00360E98" w:rsidRDefault="001C400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2430 a násl. Zákona č. 89/2012 Sb., občanského zákoníku</w:t>
      </w:r>
    </w:p>
    <w:p w14:paraId="00000003" w14:textId="77777777" w:rsidR="00360E98" w:rsidRDefault="00360E98">
      <w:pPr>
        <w:rPr>
          <w:sz w:val="22"/>
          <w:szCs w:val="22"/>
        </w:rPr>
      </w:pPr>
    </w:p>
    <w:p w14:paraId="00000004" w14:textId="77777777" w:rsidR="00360E98" w:rsidRDefault="00360E9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sz w:val="22"/>
          <w:szCs w:val="22"/>
        </w:rPr>
      </w:pPr>
    </w:p>
    <w:p w14:paraId="00000005" w14:textId="77777777" w:rsidR="00360E98" w:rsidRDefault="001C4004">
      <w:pPr>
        <w:numPr>
          <w:ilvl w:val="0"/>
          <w:numId w:val="1"/>
        </w:num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14:paraId="00000006" w14:textId="77777777" w:rsidR="00360E98" w:rsidRDefault="00360E98">
      <w:pPr>
        <w:rPr>
          <w:sz w:val="22"/>
          <w:szCs w:val="22"/>
        </w:rPr>
      </w:pPr>
    </w:p>
    <w:p w14:paraId="00000007" w14:textId="77777777" w:rsidR="00360E98" w:rsidRDefault="001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Příkazce:</w:t>
      </w:r>
    </w:p>
    <w:p w14:paraId="00000008" w14:textId="77777777" w:rsidR="00360E98" w:rsidRDefault="001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Jméno či název: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Beskydské divadlo Nový Jičín, příspěvková organizace</w:t>
      </w:r>
    </w:p>
    <w:p w14:paraId="00000009" w14:textId="77777777" w:rsidR="00360E98" w:rsidRDefault="001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Divadelní 873/5, 741 01 Nový Jičín</w:t>
      </w:r>
    </w:p>
    <w:p w14:paraId="0000000A" w14:textId="77777777" w:rsidR="00360E98" w:rsidRDefault="001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Bc. Jiřím </w:t>
      </w:r>
      <w:proofErr w:type="spellStart"/>
      <w:r>
        <w:rPr>
          <w:sz w:val="22"/>
          <w:szCs w:val="22"/>
        </w:rPr>
        <w:t>Močičkou</w:t>
      </w:r>
      <w:proofErr w:type="spellEnd"/>
      <w:r>
        <w:rPr>
          <w:sz w:val="22"/>
          <w:szCs w:val="22"/>
        </w:rPr>
        <w:t>, ředitelem</w:t>
      </w:r>
    </w:p>
    <w:p w14:paraId="0000000B" w14:textId="77777777" w:rsidR="00360E98" w:rsidRDefault="001C40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00096334</w:t>
      </w:r>
    </w:p>
    <w:p w14:paraId="0000000C" w14:textId="77777777" w:rsidR="00360E98" w:rsidRDefault="00360E9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10101"/>
          <w:sz w:val="22"/>
          <w:szCs w:val="22"/>
          <w:highlight w:val="white"/>
        </w:rPr>
      </w:pPr>
    </w:p>
    <w:p w14:paraId="0000000D" w14:textId="77777777" w:rsidR="00360E98" w:rsidRDefault="001C400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color w:val="010101"/>
          <w:sz w:val="22"/>
          <w:szCs w:val="22"/>
          <w:highlight w:val="white"/>
        </w:rPr>
        <w:tab/>
      </w:r>
      <w:r>
        <w:rPr>
          <w:color w:val="010101"/>
          <w:sz w:val="22"/>
          <w:szCs w:val="22"/>
          <w:highlight w:val="white"/>
        </w:rPr>
        <w:tab/>
      </w:r>
      <w:r>
        <w:rPr>
          <w:sz w:val="22"/>
          <w:szCs w:val="22"/>
        </w:rPr>
        <w:t xml:space="preserve">                                                                     </w:t>
      </w:r>
    </w:p>
    <w:p w14:paraId="0000000E" w14:textId="77777777" w:rsidR="00360E98" w:rsidRDefault="001C400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Příkazník: </w:t>
      </w:r>
      <w:r>
        <w:rPr>
          <w:b/>
          <w:sz w:val="22"/>
          <w:szCs w:val="22"/>
        </w:rPr>
        <w:tab/>
      </w:r>
    </w:p>
    <w:p w14:paraId="0000000F" w14:textId="77777777" w:rsidR="00360E98" w:rsidRDefault="001C4004">
      <w:pPr>
        <w:rPr>
          <w:sz w:val="22"/>
          <w:szCs w:val="22"/>
        </w:rPr>
      </w:pPr>
      <w:r>
        <w:rPr>
          <w:sz w:val="22"/>
          <w:szCs w:val="22"/>
        </w:rPr>
        <w:t>Jméno či název: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Divadlo Různých </w:t>
      </w:r>
      <w:proofErr w:type="gramStart"/>
      <w:r>
        <w:rPr>
          <w:sz w:val="22"/>
          <w:szCs w:val="22"/>
        </w:rPr>
        <w:t xml:space="preserve">Jmen,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>.</w:t>
      </w:r>
      <w:proofErr w:type="gramEnd"/>
    </w:p>
    <w:p w14:paraId="00000010" w14:textId="77777777" w:rsidR="00360E98" w:rsidRDefault="001C40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Nad Dolíky 1036/35, Praha 6 – Suchdol, 165 00</w:t>
      </w:r>
    </w:p>
    <w:p w14:paraId="00000011" w14:textId="77777777" w:rsidR="00360E98" w:rsidRDefault="001C4004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adresou:</w:t>
      </w:r>
      <w:r>
        <w:rPr>
          <w:sz w:val="22"/>
          <w:szCs w:val="22"/>
        </w:rPr>
        <w:tab/>
        <w:t>Opletalova 5/7, Praha 1, 111 44</w:t>
      </w:r>
    </w:p>
    <w:p w14:paraId="00000012" w14:textId="77777777" w:rsidR="00360E98" w:rsidRDefault="001C40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27007405</w:t>
      </w:r>
    </w:p>
    <w:p w14:paraId="00000013" w14:textId="77777777" w:rsidR="00360E98" w:rsidRDefault="001C40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Mgr. Romana Janáková, jednatelka</w:t>
      </w:r>
    </w:p>
    <w:p w14:paraId="00000014" w14:textId="398CEAFF" w:rsidR="00360E98" w:rsidRDefault="001C4004">
      <w:pPr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1421FB">
        <w:rPr>
          <w:sz w:val="22"/>
          <w:szCs w:val="22"/>
        </w:rPr>
        <w:t>xxx</w:t>
      </w:r>
      <w:proofErr w:type="spellEnd"/>
    </w:p>
    <w:p w14:paraId="00000015" w14:textId="77777777" w:rsidR="00360E98" w:rsidRDefault="00360E98">
      <w:pPr>
        <w:ind w:left="432"/>
        <w:rPr>
          <w:sz w:val="22"/>
          <w:szCs w:val="22"/>
        </w:rPr>
      </w:pPr>
    </w:p>
    <w:p w14:paraId="00000016" w14:textId="77777777" w:rsidR="00360E98" w:rsidRDefault="001C4004">
      <w:pPr>
        <w:numPr>
          <w:ilvl w:val="0"/>
          <w:numId w:val="1"/>
        </w:num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00000017" w14:textId="77777777" w:rsidR="00360E98" w:rsidRDefault="00360E98">
      <w:pPr>
        <w:jc w:val="both"/>
        <w:rPr>
          <w:sz w:val="22"/>
          <w:szCs w:val="22"/>
        </w:rPr>
      </w:pPr>
    </w:p>
    <w:p w14:paraId="00000018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Příkazník se zavazuje pro příkazce provést s Divadlem RB divadelní představení, a to konkrétně: </w:t>
      </w:r>
    </w:p>
    <w:p w14:paraId="00000019" w14:textId="77777777" w:rsidR="00360E98" w:rsidRDefault="00360E98">
      <w:pPr>
        <w:jc w:val="both"/>
        <w:rPr>
          <w:sz w:val="22"/>
          <w:szCs w:val="22"/>
        </w:rPr>
      </w:pPr>
    </w:p>
    <w:p w14:paraId="0000001A" w14:textId="77777777" w:rsidR="00360E98" w:rsidRDefault="001C400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Bílá nemoc</w:t>
      </w:r>
    </w:p>
    <w:p w14:paraId="0000001B" w14:textId="77777777" w:rsidR="00360E98" w:rsidRDefault="001C400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Autor: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K. Čapek</w:t>
      </w:r>
    </w:p>
    <w:p w14:paraId="0000001C" w14:textId="77777777" w:rsidR="00360E98" w:rsidRDefault="001C400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provedení: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</w:t>
      </w:r>
    </w:p>
    <w:p w14:paraId="0000001D" w14:textId="5260BC51" w:rsidR="00360E98" w:rsidRDefault="001421FB">
      <w:pPr>
        <w:ind w:firstLine="567"/>
        <w:rPr>
          <w:b/>
          <w:sz w:val="22"/>
          <w:szCs w:val="22"/>
        </w:rPr>
        <w:sectPr w:rsidR="00360E98">
          <w:headerReference w:type="default" r:id="rId9"/>
          <w:footerReference w:type="default" r:id="rId10"/>
          <w:pgSz w:w="11900" w:h="16840"/>
          <w:pgMar w:top="1417" w:right="1417" w:bottom="1417" w:left="1417" w:header="708" w:footer="708" w:gutter="0"/>
          <w:pgNumType w:start="1"/>
          <w:cols w:space="708"/>
        </w:sectPr>
      </w:pPr>
      <w:r>
        <w:rPr>
          <w:sz w:val="22"/>
          <w:szCs w:val="22"/>
        </w:rPr>
        <w:t xml:space="preserve">Termín a čas představení: </w:t>
      </w:r>
      <w:r>
        <w:rPr>
          <w:sz w:val="22"/>
          <w:szCs w:val="22"/>
        </w:rPr>
        <w:tab/>
      </w:r>
      <w:r w:rsidR="000930F7">
        <w:rPr>
          <w:b/>
          <w:sz w:val="22"/>
          <w:szCs w:val="22"/>
        </w:rPr>
        <w:t>4. a 5. 4.</w:t>
      </w:r>
      <w:bookmarkStart w:id="0" w:name="_GoBack"/>
      <w:bookmarkEnd w:id="0"/>
      <w:r w:rsidR="001C4004">
        <w:rPr>
          <w:b/>
          <w:sz w:val="22"/>
          <w:szCs w:val="22"/>
        </w:rPr>
        <w:t xml:space="preserve"> 2024 vždy od 9.00 a v 11:00 hod. </w:t>
      </w:r>
    </w:p>
    <w:p w14:paraId="0000001E" w14:textId="77777777" w:rsidR="00360E98" w:rsidRDefault="001C4004">
      <w:pPr>
        <w:keepNext/>
        <w:ind w:firstLine="567"/>
        <w:rPr>
          <w:b/>
          <w:sz w:val="22"/>
          <w:szCs w:val="22"/>
        </w:rPr>
        <w:sectPr w:rsidR="00360E98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>
        <w:rPr>
          <w:sz w:val="22"/>
          <w:szCs w:val="22"/>
        </w:rPr>
        <w:lastRenderedPageBreak/>
        <w:t>Místo provedení</w:t>
      </w:r>
      <w:r>
        <w:rPr>
          <w:b/>
          <w:color w:val="000000"/>
          <w:sz w:val="22"/>
          <w:szCs w:val="22"/>
        </w:rPr>
        <w:t>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sz w:val="22"/>
          <w:szCs w:val="22"/>
        </w:rPr>
        <w:t>Beskydské divadlo</w:t>
      </w:r>
      <w:r>
        <w:rPr>
          <w:b/>
          <w:sz w:val="22"/>
          <w:szCs w:val="22"/>
        </w:rPr>
        <w:tab/>
      </w:r>
    </w:p>
    <w:p w14:paraId="0000001F" w14:textId="77777777" w:rsidR="00360E98" w:rsidRDefault="00360E98">
      <w:pPr>
        <w:ind w:left="1440"/>
        <w:rPr>
          <w:sz w:val="22"/>
          <w:szCs w:val="22"/>
        </w:rPr>
      </w:pPr>
    </w:p>
    <w:p w14:paraId="00000020" w14:textId="77777777" w:rsidR="00360E98" w:rsidRDefault="001C4004">
      <w:pPr>
        <w:numPr>
          <w:ilvl w:val="1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Příkazce se zavazuje za představení uhradit příkazníkovi </w:t>
      </w:r>
      <w:r>
        <w:rPr>
          <w:b/>
          <w:sz w:val="22"/>
          <w:szCs w:val="22"/>
        </w:rPr>
        <w:t xml:space="preserve">částku 140 000 Kč </w:t>
      </w:r>
      <w:r>
        <w:rPr>
          <w:sz w:val="22"/>
          <w:szCs w:val="22"/>
        </w:rPr>
        <w:t xml:space="preserve">(slovy sto čtyřicet tisíc korun českých) včetně dopravy, a to převodem na základě vystavené faktury. </w:t>
      </w:r>
    </w:p>
    <w:p w14:paraId="00000021" w14:textId="77777777" w:rsidR="00360E98" w:rsidRDefault="001C4004">
      <w:pPr>
        <w:numPr>
          <w:ilvl w:val="1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Příkazce se zavazuje pro případ prodlení s platbou odměny dle této smlouvy uhradit příkazníkovi smluvní pokutu ve výši 0,5% z dlužné částky za každý započatý den prodlení s platbou. </w:t>
      </w:r>
    </w:p>
    <w:p w14:paraId="00000022" w14:textId="77777777" w:rsidR="00360E98" w:rsidRDefault="001C4004">
      <w:pPr>
        <w:numPr>
          <w:ilvl w:val="1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Příkazník prohlašuje, že se na dílo nevztahují žádné autorské poplatky. </w:t>
      </w:r>
    </w:p>
    <w:p w14:paraId="00000023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Pokud příkazce neumožní příkazníkovi ve sjednaném termínu představení provést, je povinen mu uhradit smluvní pokutu ve výši odměny sjednané za takové představení; pokud však o této skutečnosti informuje příkazníka alespoň 14 dní předem, je povinen uhradit smluvní pokutu pouze ve výši 25 % sjednané odměny, v případě 7 dnů předem pak ve výši 50 %. Uhrazením smluvní pokuty zůstává nedotčen nárok na úhradu náhrady případné škody. </w:t>
      </w:r>
    </w:p>
    <w:p w14:paraId="00000024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Pokud příkazník neprovede představení ve sjednaném termínu, je povinen uhradit příkazci jednorázově smluvní pokutu ve výši 10 000 Kč. </w:t>
      </w:r>
    </w:p>
    <w:p w14:paraId="00000025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Náklady na pronájem divadla, techniky a dalších položek s představením souvisejících hradí příkazce. </w:t>
      </w:r>
    </w:p>
    <w:p w14:paraId="00000026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Příkazník se zavazuje dodat příkazci příslušné informační a propagační materiály k představení v termínu dle požadavku příkazce.</w:t>
      </w:r>
    </w:p>
    <w:p w14:paraId="00000027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Veškeré rekvizity, kulisy, kostýmy a další pomůcky pro představení i dopravu si zajišťuje příkazník sám na své náklady, vyjma věcí dle odst. 2.9 tohoto článku smlouvy. </w:t>
      </w:r>
    </w:p>
    <w:p w14:paraId="00000028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Příkazce se zavazuje zajistit pro představení (např. technické zázemí, vybavení, osvětlení, zařízení, obsluha atp.):</w:t>
      </w:r>
    </w:p>
    <w:p w14:paraId="00000029" w14:textId="77777777" w:rsidR="00360E98" w:rsidRDefault="001C40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Přístup do prostor divadla – v </w:t>
      </w:r>
      <w:proofErr w:type="gramStart"/>
      <w:r>
        <w:rPr>
          <w:sz w:val="22"/>
          <w:szCs w:val="22"/>
        </w:rPr>
        <w:t>7:00  hod.</w:t>
      </w:r>
      <w:proofErr w:type="gramEnd"/>
    </w:p>
    <w:p w14:paraId="0000002A" w14:textId="77777777" w:rsidR="00360E98" w:rsidRDefault="001C40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Propojení zvukařské a osvětlovací kabiny</w:t>
      </w:r>
      <w:bookmarkStart w:id="1" w:name="bookmark=id.gjdgxs" w:colFirst="0" w:colLast="0"/>
      <w:bookmarkEnd w:id="1"/>
      <w:r>
        <w:rPr>
          <w:sz w:val="22"/>
          <w:szCs w:val="22"/>
          <w:u w:val="single"/>
        </w:rPr>
        <w:t>!</w:t>
      </w:r>
    </w:p>
    <w:p w14:paraId="0000002B" w14:textId="77777777" w:rsidR="00360E98" w:rsidRDefault="001C40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Připojení notebooku do zvukového pultu.</w:t>
      </w:r>
    </w:p>
    <w:p w14:paraId="0000002C" w14:textId="77777777" w:rsidR="00360E98" w:rsidRDefault="001C40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PA adekvátní prostoru.</w:t>
      </w:r>
    </w:p>
    <w:p w14:paraId="0000002D" w14:textId="77777777" w:rsidR="00360E98" w:rsidRDefault="001C40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Světlo: Bílý celek (4xFHR 1000 W); modrý celek (2x vana 1000 W s filtrem); červený celek (2x vana 1000 W vana s filtrem); 2x bod (2x světlo </w:t>
      </w:r>
      <w:proofErr w:type="spellStart"/>
      <w:r>
        <w:rPr>
          <w:sz w:val="22"/>
          <w:szCs w:val="22"/>
        </w:rPr>
        <w:t>strand</w:t>
      </w:r>
      <w:proofErr w:type="spellEnd"/>
      <w:r>
        <w:rPr>
          <w:sz w:val="22"/>
          <w:szCs w:val="22"/>
        </w:rPr>
        <w:t xml:space="preserve"> s clonou, popř. jiný spot - štych); 2x kontra s filtrem 201 - 202 přímo na podiu (bud na tahu, nebo na stativech - 2x FHR 500W, popř. PAR64); oranžová forbína (4x FHR 1000W s klapkami, 2x oranž filtr).</w:t>
      </w:r>
    </w:p>
    <w:p w14:paraId="0000002E" w14:textId="77777777" w:rsidR="00360E98" w:rsidRDefault="001C40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Přítomnost místního jevištního technika, který pomůže s vykládkou a nakládkou dekorace.</w:t>
      </w:r>
    </w:p>
    <w:p w14:paraId="0000002F" w14:textId="77777777" w:rsidR="00360E98" w:rsidRDefault="001C40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Přítomnost místního osvětlovače, který pomůže nastavit a uložit světla (cca 10 scén).</w:t>
      </w:r>
    </w:p>
    <w:p w14:paraId="00000030" w14:textId="77777777" w:rsidR="00360E98" w:rsidRDefault="001C400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Přítomnost místního zvukaře.</w:t>
      </w:r>
    </w:p>
    <w:p w14:paraId="00000031" w14:textId="6E1FFC85" w:rsidR="00360E98" w:rsidRDefault="001C400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Ubytování 10 osob </w:t>
      </w:r>
      <w:proofErr w:type="gramStart"/>
      <w:r>
        <w:rPr>
          <w:sz w:val="22"/>
          <w:szCs w:val="22"/>
        </w:rPr>
        <w:t>ze</w:t>
      </w:r>
      <w:proofErr w:type="gramEnd"/>
      <w:r>
        <w:rPr>
          <w:sz w:val="22"/>
          <w:szCs w:val="22"/>
        </w:rPr>
        <w:t xml:space="preserve"> 3. 4. 2024 na 5. 4. 2024 v blízkosti divadla. </w:t>
      </w:r>
    </w:p>
    <w:p w14:paraId="00000032" w14:textId="77777777" w:rsidR="00360E98" w:rsidRDefault="001C4004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2x jednolůžkový pokoj a 4x dvoulůžkový pokoj</w:t>
      </w:r>
    </w:p>
    <w:p w14:paraId="00000033" w14:textId="77777777" w:rsidR="00360E98" w:rsidRDefault="00360E98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</w:rPr>
      </w:pPr>
    </w:p>
    <w:p w14:paraId="00000034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Příkazník prohlašuje, že je oprávněn představení provést z hlediska souladu s autorským právem i dalšími právními předpisy. </w:t>
      </w:r>
    </w:p>
    <w:p w14:paraId="00000035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Příkazce není oprávněn během představení pořizovat jakékoliv zvukové či obrazové záznamy, a je povinen zajistit, aby takové záznamy nepořizovali ani jiné osoby. Při porušení této povinnosti je příkazce povinen nahradit příkazníkovi veškeré případně vzniklé škody. </w:t>
      </w:r>
    </w:p>
    <w:p w14:paraId="00000036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Příkazce je povinen respektovat v místě výkonu povinností dle této smlouvy pokyny příkazníka, především pokud jde o zajištění pořádku a bezpečnosti v místě. </w:t>
      </w:r>
    </w:p>
    <w:p w14:paraId="00000037" w14:textId="77777777" w:rsidR="00360E98" w:rsidRDefault="00360E98">
      <w:pPr>
        <w:rPr>
          <w:b/>
          <w:sz w:val="22"/>
          <w:szCs w:val="22"/>
        </w:rPr>
      </w:pPr>
    </w:p>
    <w:p w14:paraId="00000038" w14:textId="77777777" w:rsidR="00360E98" w:rsidRDefault="001C4004">
      <w:pPr>
        <w:numPr>
          <w:ilvl w:val="0"/>
          <w:numId w:val="1"/>
        </w:num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00000039" w14:textId="77777777" w:rsidR="00360E98" w:rsidRDefault="00360E98">
      <w:pPr>
        <w:jc w:val="both"/>
        <w:rPr>
          <w:sz w:val="22"/>
          <w:szCs w:val="22"/>
        </w:rPr>
      </w:pPr>
    </w:p>
    <w:p w14:paraId="0000003A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Tato smlouva vstupuje v platnost a nabývá účinnosti okamžikem jejího podpisu oběma smluvními stranami. </w:t>
      </w:r>
    </w:p>
    <w:p w14:paraId="0000003B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Příkazce může příkaz 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2443 zák. č. 89/2012 Sb. občanského zákoníku, odvolat podle libosti písemně, nahradí však příkazníkovi náklady, které do té doby měl, a škodu, pokud ji utrpěl, jakož i část odměny přiměřenou vynaložené námaze příkazníka.</w:t>
      </w:r>
    </w:p>
    <w:p w14:paraId="0000003C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Příkazník může příkaz 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2440 odst. 1) zák. č. 89/2012 Sb. občanského zákoníku, vypovědět nejdříve ke konci měsíce následujícího po měsíci, v němž byla výpověď doručena.</w:t>
      </w:r>
    </w:p>
    <w:p w14:paraId="0000003D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Smlouva zaniká též jejím splněním. </w:t>
      </w:r>
    </w:p>
    <w:p w14:paraId="0000003E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Tato smlouva je sepsána ve dvou vyhotoveních, z nichž každá smluvní strana obdrží jedno vyhotovení. </w:t>
      </w:r>
    </w:p>
    <w:p w14:paraId="0000003F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Veškeré změny či doplňky této smlouvy musí mít písemnou formu, jinak jsou takové změny neplatné (postačí písemný návrh změny a její písemné schválení, není nutno na téže listině). </w:t>
      </w:r>
    </w:p>
    <w:p w14:paraId="00000040" w14:textId="77777777" w:rsidR="00360E98" w:rsidRDefault="001C400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tato smlouva vyjadřuje srozumitelně a jasně jejich pravou a svobodnou vůli a není uzavřena v tísni ani za nápadně nevýhodných podmínek, což strany potvrzují svými podpisy. </w:t>
      </w:r>
    </w:p>
    <w:p w14:paraId="00000041" w14:textId="77777777" w:rsidR="00360E98" w:rsidRDefault="00360E98">
      <w:pPr>
        <w:rPr>
          <w:sz w:val="22"/>
          <w:szCs w:val="22"/>
        </w:rPr>
      </w:pPr>
    </w:p>
    <w:p w14:paraId="00000042" w14:textId="77777777" w:rsidR="00360E98" w:rsidRDefault="00360E98">
      <w:pPr>
        <w:rPr>
          <w:sz w:val="22"/>
          <w:szCs w:val="22"/>
        </w:rPr>
      </w:pPr>
    </w:p>
    <w:p w14:paraId="00000043" w14:textId="77777777" w:rsidR="00360E98" w:rsidRDefault="001C400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44" w14:textId="6F15EEC5" w:rsidR="00360E98" w:rsidRDefault="001C4004">
      <w:pPr>
        <w:rPr>
          <w:sz w:val="22"/>
          <w:szCs w:val="22"/>
        </w:rPr>
      </w:pPr>
      <w:r>
        <w:rPr>
          <w:sz w:val="22"/>
          <w:szCs w:val="22"/>
        </w:rPr>
        <w:t xml:space="preserve">V Novém Jičíně dne </w:t>
      </w:r>
      <w:proofErr w:type="gramStart"/>
      <w:r w:rsidR="001421FB">
        <w:rPr>
          <w:sz w:val="22"/>
          <w:szCs w:val="22"/>
        </w:rPr>
        <w:t>28.3.2024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Praze dne</w:t>
      </w:r>
      <w:r w:rsidR="001421FB">
        <w:rPr>
          <w:sz w:val="22"/>
          <w:szCs w:val="22"/>
        </w:rPr>
        <w:t xml:space="preserve"> 27.3.2024</w:t>
      </w:r>
    </w:p>
    <w:p w14:paraId="00000045" w14:textId="77777777" w:rsidR="00360E98" w:rsidRDefault="00360E98">
      <w:pPr>
        <w:rPr>
          <w:sz w:val="22"/>
          <w:szCs w:val="22"/>
        </w:rPr>
      </w:pPr>
    </w:p>
    <w:p w14:paraId="00000046" w14:textId="77777777" w:rsidR="00360E98" w:rsidRDefault="00360E98">
      <w:pPr>
        <w:rPr>
          <w:sz w:val="22"/>
          <w:szCs w:val="22"/>
        </w:rPr>
      </w:pPr>
    </w:p>
    <w:p w14:paraId="00000047" w14:textId="77777777" w:rsidR="00360E98" w:rsidRDefault="001C4004">
      <w:pPr>
        <w:rPr>
          <w:sz w:val="22"/>
          <w:szCs w:val="22"/>
        </w:rPr>
      </w:pPr>
      <w:r>
        <w:rPr>
          <w:sz w:val="22"/>
          <w:szCs w:val="22"/>
        </w:rPr>
        <w:t xml:space="preserve">Příkazce: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Příkazník:</w:t>
      </w:r>
    </w:p>
    <w:p w14:paraId="00000048" w14:textId="77777777" w:rsidR="00360E98" w:rsidRDefault="00360E98">
      <w:pPr>
        <w:rPr>
          <w:sz w:val="22"/>
          <w:szCs w:val="22"/>
        </w:rPr>
      </w:pPr>
    </w:p>
    <w:p w14:paraId="00000049" w14:textId="77777777" w:rsidR="00360E98" w:rsidRDefault="00360E98">
      <w:pPr>
        <w:rPr>
          <w:sz w:val="22"/>
          <w:szCs w:val="22"/>
        </w:rPr>
      </w:pPr>
    </w:p>
    <w:p w14:paraId="0000004A" w14:textId="77777777" w:rsidR="00360E98" w:rsidRDefault="00360E98">
      <w:pPr>
        <w:rPr>
          <w:sz w:val="22"/>
          <w:szCs w:val="22"/>
        </w:rPr>
      </w:pPr>
    </w:p>
    <w:p w14:paraId="0000004B" w14:textId="77777777" w:rsidR="00360E98" w:rsidRDefault="001C4004">
      <w:pPr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14:paraId="0000004C" w14:textId="77777777" w:rsidR="00360E98" w:rsidRDefault="001C4004">
      <w:pPr>
        <w:ind w:firstLine="720"/>
        <w:rPr>
          <w:b/>
          <w:sz w:val="22"/>
          <w:szCs w:val="22"/>
        </w:rPr>
      </w:pPr>
      <w:r>
        <w:rPr>
          <w:b/>
          <w:color w:val="191B21"/>
          <w:sz w:val="22"/>
          <w:szCs w:val="22"/>
          <w:highlight w:val="white"/>
        </w:rPr>
        <w:t xml:space="preserve">Bc. Jiří </w:t>
      </w:r>
      <w:proofErr w:type="spellStart"/>
      <w:r>
        <w:rPr>
          <w:b/>
          <w:color w:val="191B21"/>
          <w:sz w:val="22"/>
          <w:szCs w:val="22"/>
          <w:highlight w:val="white"/>
        </w:rPr>
        <w:t>Močička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Mgr. Romana Janáková</w:t>
      </w:r>
    </w:p>
    <w:p w14:paraId="0000004D" w14:textId="77777777" w:rsidR="00360E98" w:rsidRDefault="001C4004">
      <w:pPr>
        <w:rPr>
          <w:sz w:val="22"/>
          <w:szCs w:val="22"/>
        </w:rPr>
      </w:pPr>
      <w:r>
        <w:rPr>
          <w:sz w:val="22"/>
          <w:szCs w:val="22"/>
        </w:rPr>
        <w:t xml:space="preserve">Beskydské divadlo,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Nový Jičín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Divadlo Různých Jmen</w:t>
      </w:r>
    </w:p>
    <w:p w14:paraId="0000004E" w14:textId="77777777" w:rsidR="00360E98" w:rsidRDefault="00360E98">
      <w:pPr>
        <w:rPr>
          <w:sz w:val="22"/>
          <w:szCs w:val="22"/>
        </w:rPr>
      </w:pPr>
    </w:p>
    <w:sectPr w:rsidR="00360E98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E6B62" w14:textId="77777777" w:rsidR="00902F87" w:rsidRDefault="00902F87">
      <w:r>
        <w:separator/>
      </w:r>
    </w:p>
  </w:endnote>
  <w:endnote w:type="continuationSeparator" w:id="0">
    <w:p w14:paraId="566DE1DE" w14:textId="77777777" w:rsidR="00902F87" w:rsidRDefault="0090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0" w14:textId="77777777" w:rsidR="00360E98" w:rsidRDefault="00360E9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8673D" w14:textId="77777777" w:rsidR="00902F87" w:rsidRDefault="00902F87">
      <w:r>
        <w:separator/>
      </w:r>
    </w:p>
  </w:footnote>
  <w:footnote w:type="continuationSeparator" w:id="0">
    <w:p w14:paraId="3FA0F383" w14:textId="77777777" w:rsidR="00902F87" w:rsidRDefault="00902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F" w14:textId="77777777" w:rsidR="00360E98" w:rsidRDefault="00360E9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DB3"/>
    <w:multiLevelType w:val="multilevel"/>
    <w:tmpl w:val="7A94FB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9661344"/>
    <w:multiLevelType w:val="multilevel"/>
    <w:tmpl w:val="84C4B4B2"/>
    <w:lvl w:ilvl="0">
      <w:start w:val="1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0E98"/>
    <w:rsid w:val="000930F7"/>
    <w:rsid w:val="001421FB"/>
    <w:rsid w:val="001C4004"/>
    <w:rsid w:val="002E68DC"/>
    <w:rsid w:val="00360E98"/>
    <w:rsid w:val="0090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ind w:left="720" w:hanging="720"/>
      <w:jc w:val="both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pPr>
      <w:keepNext/>
      <w:keepLines/>
      <w:spacing w:after="120"/>
      <w:ind w:left="1440" w:hanging="720"/>
      <w:outlineLvl w:val="1"/>
    </w:pPr>
    <w:rPr>
      <w:color w:val="000000"/>
      <w:sz w:val="22"/>
      <w:szCs w:val="22"/>
    </w:rPr>
  </w:style>
  <w:style w:type="paragraph" w:styleId="Nadpis3">
    <w:name w:val="heading 3"/>
    <w:basedOn w:val="Normln"/>
    <w:next w:val="Normln"/>
    <w:pPr>
      <w:keepNext/>
      <w:keepLines/>
      <w:spacing w:before="200"/>
      <w:ind w:left="2160" w:hanging="720"/>
      <w:outlineLvl w:val="2"/>
    </w:pPr>
    <w:rPr>
      <w:rFonts w:ascii="Helvetica Neue" w:eastAsia="Helvetica Neue" w:hAnsi="Helvetica Neue" w:cs="Helvetica Neue"/>
      <w:b/>
      <w:color w:val="4F81BD"/>
    </w:rPr>
  </w:style>
  <w:style w:type="paragraph" w:styleId="Nadpis4">
    <w:name w:val="heading 4"/>
    <w:basedOn w:val="Normln"/>
    <w:next w:val="Normln"/>
    <w:pPr>
      <w:keepNext/>
      <w:keepLines/>
      <w:spacing w:before="200"/>
      <w:ind w:left="2880" w:hanging="720"/>
      <w:outlineLvl w:val="3"/>
    </w:pPr>
    <w:rPr>
      <w:rFonts w:ascii="Helvetica Neue" w:eastAsia="Helvetica Neue" w:hAnsi="Helvetica Neue" w:cs="Helvetica Neue"/>
      <w:b/>
      <w:i/>
      <w:color w:val="4F81BD"/>
    </w:rPr>
  </w:style>
  <w:style w:type="paragraph" w:styleId="Nadpis5">
    <w:name w:val="heading 5"/>
    <w:basedOn w:val="Normln"/>
    <w:next w:val="Normln"/>
    <w:pPr>
      <w:keepNext/>
      <w:keepLines/>
      <w:spacing w:before="200"/>
      <w:ind w:left="3600" w:hanging="720"/>
      <w:outlineLvl w:val="4"/>
    </w:pPr>
    <w:rPr>
      <w:rFonts w:ascii="Helvetica Neue" w:eastAsia="Helvetica Neue" w:hAnsi="Helvetica Neue" w:cs="Helvetica Neue"/>
      <w:color w:val="243F61"/>
    </w:rPr>
  </w:style>
  <w:style w:type="paragraph" w:styleId="Nadpis6">
    <w:name w:val="heading 6"/>
    <w:basedOn w:val="Normln"/>
    <w:next w:val="Normln"/>
    <w:pPr>
      <w:keepNext/>
      <w:keepLines/>
      <w:spacing w:before="200"/>
      <w:ind w:left="4320" w:hanging="720"/>
      <w:outlineLvl w:val="5"/>
    </w:pPr>
    <w:rPr>
      <w:rFonts w:ascii="Helvetica Neue" w:eastAsia="Helvetica Neue" w:hAnsi="Helvetica Neue" w:cs="Helvetica Neue"/>
      <w:i/>
      <w:color w:val="243F6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Bookman Old Style" w:eastAsia="Bookman Old Style" w:hAnsi="Bookman Old Style" w:cs="Bookman Old Style"/>
      <w:b/>
      <w:smallCaps/>
      <w:color w:val="000000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rPr>
      <w:rFonts w:ascii="Helvetica Neue" w:eastAsia="Helvetica Neue" w:hAnsi="Helvetica Neue" w:cs="Helvetica Neue"/>
      <w:i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ind w:left="720" w:hanging="720"/>
      <w:jc w:val="both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pPr>
      <w:keepNext/>
      <w:keepLines/>
      <w:spacing w:after="120"/>
      <w:ind w:left="1440" w:hanging="720"/>
      <w:outlineLvl w:val="1"/>
    </w:pPr>
    <w:rPr>
      <w:color w:val="000000"/>
      <w:sz w:val="22"/>
      <w:szCs w:val="22"/>
    </w:rPr>
  </w:style>
  <w:style w:type="paragraph" w:styleId="Nadpis3">
    <w:name w:val="heading 3"/>
    <w:basedOn w:val="Normln"/>
    <w:next w:val="Normln"/>
    <w:pPr>
      <w:keepNext/>
      <w:keepLines/>
      <w:spacing w:before="200"/>
      <w:ind w:left="2160" w:hanging="720"/>
      <w:outlineLvl w:val="2"/>
    </w:pPr>
    <w:rPr>
      <w:rFonts w:ascii="Helvetica Neue" w:eastAsia="Helvetica Neue" w:hAnsi="Helvetica Neue" w:cs="Helvetica Neue"/>
      <w:b/>
      <w:color w:val="4F81BD"/>
    </w:rPr>
  </w:style>
  <w:style w:type="paragraph" w:styleId="Nadpis4">
    <w:name w:val="heading 4"/>
    <w:basedOn w:val="Normln"/>
    <w:next w:val="Normln"/>
    <w:pPr>
      <w:keepNext/>
      <w:keepLines/>
      <w:spacing w:before="200"/>
      <w:ind w:left="2880" w:hanging="720"/>
      <w:outlineLvl w:val="3"/>
    </w:pPr>
    <w:rPr>
      <w:rFonts w:ascii="Helvetica Neue" w:eastAsia="Helvetica Neue" w:hAnsi="Helvetica Neue" w:cs="Helvetica Neue"/>
      <w:b/>
      <w:i/>
      <w:color w:val="4F81BD"/>
    </w:rPr>
  </w:style>
  <w:style w:type="paragraph" w:styleId="Nadpis5">
    <w:name w:val="heading 5"/>
    <w:basedOn w:val="Normln"/>
    <w:next w:val="Normln"/>
    <w:pPr>
      <w:keepNext/>
      <w:keepLines/>
      <w:spacing w:before="200"/>
      <w:ind w:left="3600" w:hanging="720"/>
      <w:outlineLvl w:val="4"/>
    </w:pPr>
    <w:rPr>
      <w:rFonts w:ascii="Helvetica Neue" w:eastAsia="Helvetica Neue" w:hAnsi="Helvetica Neue" w:cs="Helvetica Neue"/>
      <w:color w:val="243F61"/>
    </w:rPr>
  </w:style>
  <w:style w:type="paragraph" w:styleId="Nadpis6">
    <w:name w:val="heading 6"/>
    <w:basedOn w:val="Normln"/>
    <w:next w:val="Normln"/>
    <w:pPr>
      <w:keepNext/>
      <w:keepLines/>
      <w:spacing w:before="200"/>
      <w:ind w:left="4320" w:hanging="720"/>
      <w:outlineLvl w:val="5"/>
    </w:pPr>
    <w:rPr>
      <w:rFonts w:ascii="Helvetica Neue" w:eastAsia="Helvetica Neue" w:hAnsi="Helvetica Neue" w:cs="Helvetica Neue"/>
      <w:i/>
      <w:color w:val="243F6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Bookman Old Style" w:eastAsia="Bookman Old Style" w:hAnsi="Bookman Old Style" w:cs="Bookman Old Style"/>
      <w:b/>
      <w:smallCaps/>
      <w:color w:val="000000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rPr>
      <w:rFonts w:ascii="Helvetica Neue" w:eastAsia="Helvetica Neue" w:hAnsi="Helvetica Neue" w:cs="Helvetica Neue"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6x5Ms6ktDaOYjZdUlHs8c0ehg==">CgMxLjAyCWlkLmdqZGd4czgAciExMkQzdWFHRkpSZDdDUTJGZllOb21Xa0ZmTGVTYVlYRjQ=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Svobodová</dc:creator>
  <cp:lastModifiedBy>Milena Kožušková</cp:lastModifiedBy>
  <cp:revision>3</cp:revision>
  <dcterms:created xsi:type="dcterms:W3CDTF">2024-04-02T04:15:00Z</dcterms:created>
  <dcterms:modified xsi:type="dcterms:W3CDTF">2024-04-02T04:15:00Z</dcterms:modified>
</cp:coreProperties>
</file>